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77E" w:rsidRPr="00536AAF" w:rsidRDefault="00F4677E" w:rsidP="006E056C">
      <w:pPr>
        <w:spacing w:line="360" w:lineRule="auto"/>
        <w:jc w:val="center"/>
        <w:rPr>
          <w:b/>
          <w:sz w:val="24"/>
        </w:rPr>
      </w:pPr>
      <w:bookmarkStart w:id="0" w:name="_GoBack"/>
      <w:bookmarkEnd w:id="0"/>
      <w:r w:rsidRPr="00536AAF">
        <w:rPr>
          <w:b/>
          <w:sz w:val="24"/>
        </w:rPr>
        <w:t>华夏基金管理有限公司关于</w:t>
      </w:r>
      <w:r w:rsidRPr="00333B3D">
        <w:rPr>
          <w:b/>
          <w:sz w:val="24"/>
        </w:rPr>
        <w:t>调整旗下部分</w:t>
      </w:r>
      <w:r w:rsidR="00DD26B0" w:rsidRPr="00333B3D">
        <w:rPr>
          <w:b/>
          <w:sz w:val="24"/>
        </w:rPr>
        <w:t>上交所</w:t>
      </w:r>
      <w:r w:rsidR="00DD26B0" w:rsidRPr="00333B3D">
        <w:rPr>
          <w:b/>
          <w:sz w:val="24"/>
        </w:rPr>
        <w:t>E</w:t>
      </w:r>
      <w:r w:rsidR="00DD26B0" w:rsidRPr="00536AAF">
        <w:rPr>
          <w:b/>
          <w:sz w:val="24"/>
        </w:rPr>
        <w:t>TF</w:t>
      </w:r>
      <w:r w:rsidR="006D0F61" w:rsidRPr="00333B3D">
        <w:rPr>
          <w:b/>
          <w:sz w:val="24"/>
        </w:rPr>
        <w:t>基金份额参考净值（</w:t>
      </w:r>
      <w:r w:rsidR="006D0F61" w:rsidRPr="00333B3D">
        <w:rPr>
          <w:b/>
          <w:sz w:val="24"/>
        </w:rPr>
        <w:t>IOPV</w:t>
      </w:r>
      <w:r w:rsidR="006D0F61" w:rsidRPr="00333B3D">
        <w:rPr>
          <w:b/>
          <w:sz w:val="24"/>
        </w:rPr>
        <w:t>）</w:t>
      </w:r>
      <w:r w:rsidR="00DB16F2" w:rsidRPr="00333B3D">
        <w:rPr>
          <w:b/>
          <w:sz w:val="24"/>
        </w:rPr>
        <w:t>计算</w:t>
      </w:r>
      <w:r w:rsidR="00D21861" w:rsidRPr="00333B3D">
        <w:rPr>
          <w:b/>
          <w:sz w:val="24"/>
        </w:rPr>
        <w:t>机构</w:t>
      </w:r>
      <w:r w:rsidRPr="00536AAF">
        <w:rPr>
          <w:b/>
          <w:sz w:val="24"/>
        </w:rPr>
        <w:t>并修订</w:t>
      </w:r>
      <w:r w:rsidR="009C2A18" w:rsidRPr="00333B3D">
        <w:rPr>
          <w:b/>
          <w:sz w:val="24"/>
        </w:rPr>
        <w:t>基金合同</w:t>
      </w:r>
      <w:r w:rsidR="0031779F" w:rsidRPr="00333B3D">
        <w:rPr>
          <w:b/>
          <w:sz w:val="24"/>
        </w:rPr>
        <w:t>、</w:t>
      </w:r>
      <w:r w:rsidRPr="00536AAF">
        <w:rPr>
          <w:b/>
          <w:sz w:val="24"/>
        </w:rPr>
        <w:t>招募说明书的公告</w:t>
      </w:r>
    </w:p>
    <w:p w:rsidR="00F4677E" w:rsidRPr="00333B3D" w:rsidRDefault="00F4677E" w:rsidP="006E056C">
      <w:pPr>
        <w:spacing w:line="360" w:lineRule="auto"/>
        <w:jc w:val="center"/>
        <w:rPr>
          <w:b/>
          <w:sz w:val="24"/>
        </w:rPr>
      </w:pPr>
    </w:p>
    <w:p w:rsidR="009D6102" w:rsidRPr="00536AAF" w:rsidRDefault="003F757B" w:rsidP="006E056C">
      <w:pPr>
        <w:autoSpaceDE w:val="0"/>
        <w:autoSpaceDN w:val="0"/>
        <w:adjustRightInd w:val="0"/>
        <w:spacing w:line="360" w:lineRule="auto"/>
        <w:ind w:firstLineChars="200" w:firstLine="480"/>
        <w:jc w:val="left"/>
        <w:rPr>
          <w:sz w:val="24"/>
        </w:rPr>
      </w:pPr>
      <w:r w:rsidRPr="00AD35A5">
        <w:rPr>
          <w:sz w:val="24"/>
        </w:rPr>
        <w:t>基于</w:t>
      </w:r>
      <w:r w:rsidRPr="00536AAF">
        <w:rPr>
          <w:sz w:val="24"/>
        </w:rPr>
        <w:t>中证指数有限公司</w:t>
      </w:r>
      <w:r w:rsidRPr="00AD35A5">
        <w:rPr>
          <w:sz w:val="24"/>
        </w:rPr>
        <w:t>关于上证系列指数</w:t>
      </w:r>
      <w:r w:rsidRPr="00AD35A5">
        <w:rPr>
          <w:sz w:val="24"/>
        </w:rPr>
        <w:t>ETF</w:t>
      </w:r>
      <w:r w:rsidRPr="00AD35A5">
        <w:rPr>
          <w:sz w:val="24"/>
        </w:rPr>
        <w:t>的</w:t>
      </w:r>
      <w:r w:rsidRPr="00AD35A5">
        <w:rPr>
          <w:sz w:val="24"/>
        </w:rPr>
        <w:t>IOPV</w:t>
      </w:r>
      <w:r w:rsidRPr="00AD35A5">
        <w:rPr>
          <w:sz w:val="24"/>
        </w:rPr>
        <w:t>计算迁移安排，</w:t>
      </w:r>
      <w:r w:rsidR="00F4677E" w:rsidRPr="00AD35A5">
        <w:rPr>
          <w:sz w:val="24"/>
        </w:rPr>
        <w:t>为维护基金份额持有人利益，根据相关基金基金合同及招募说明书（更新）的规定，经与基金托管人沟通一致，自</w:t>
      </w:r>
      <w:r w:rsidR="00F4677E" w:rsidRPr="00AD35A5">
        <w:rPr>
          <w:sz w:val="24"/>
        </w:rPr>
        <w:t>2</w:t>
      </w:r>
      <w:r w:rsidR="00F4677E" w:rsidRPr="00536AAF">
        <w:rPr>
          <w:sz w:val="24"/>
        </w:rPr>
        <w:t>02</w:t>
      </w:r>
      <w:r w:rsidRPr="00536AAF">
        <w:rPr>
          <w:sz w:val="24"/>
        </w:rPr>
        <w:t>6</w:t>
      </w:r>
      <w:r w:rsidR="00F4677E" w:rsidRPr="00AD35A5">
        <w:rPr>
          <w:sz w:val="24"/>
        </w:rPr>
        <w:t>年</w:t>
      </w:r>
      <w:r w:rsidR="00416861" w:rsidRPr="00536AAF">
        <w:rPr>
          <w:sz w:val="24"/>
        </w:rPr>
        <w:t>2</w:t>
      </w:r>
      <w:r w:rsidR="00F4677E" w:rsidRPr="00AD35A5">
        <w:rPr>
          <w:sz w:val="24"/>
        </w:rPr>
        <w:t>月</w:t>
      </w:r>
      <w:r w:rsidR="00416861" w:rsidRPr="00AD35A5">
        <w:rPr>
          <w:sz w:val="24"/>
        </w:rPr>
        <w:t>9</w:t>
      </w:r>
      <w:r w:rsidR="00F4677E" w:rsidRPr="00AD35A5">
        <w:rPr>
          <w:sz w:val="24"/>
        </w:rPr>
        <w:t>日起</w:t>
      </w:r>
      <w:r w:rsidR="0070155E" w:rsidRPr="00AD35A5">
        <w:rPr>
          <w:sz w:val="24"/>
        </w:rPr>
        <w:t>，</w:t>
      </w:r>
      <w:r w:rsidR="003B5FEA" w:rsidRPr="00536AAF">
        <w:rPr>
          <w:sz w:val="24"/>
        </w:rPr>
        <w:t>华夏基金管理有限公司（以下简称</w:t>
      </w:r>
      <w:r w:rsidR="003B5FEA" w:rsidRPr="00536AAF">
        <w:rPr>
          <w:sz w:val="24"/>
        </w:rPr>
        <w:t>“</w:t>
      </w:r>
      <w:r w:rsidR="003B5FEA" w:rsidRPr="00625E99">
        <w:rPr>
          <w:sz w:val="24"/>
        </w:rPr>
        <w:t>基金管理人</w:t>
      </w:r>
      <w:r w:rsidR="003B5FEA" w:rsidRPr="00625E99">
        <w:rPr>
          <w:sz w:val="24"/>
        </w:rPr>
        <w:t>”</w:t>
      </w:r>
      <w:r w:rsidR="003B5FEA" w:rsidRPr="00625E99">
        <w:rPr>
          <w:sz w:val="24"/>
        </w:rPr>
        <w:t>）</w:t>
      </w:r>
      <w:r w:rsidR="00F4677E" w:rsidRPr="00AD35A5">
        <w:rPr>
          <w:sz w:val="24"/>
        </w:rPr>
        <w:t>旗下</w:t>
      </w:r>
      <w:r w:rsidR="00AA0701" w:rsidRPr="00AD35A5">
        <w:rPr>
          <w:sz w:val="24"/>
        </w:rPr>
        <w:t>9</w:t>
      </w:r>
      <w:r w:rsidR="00913FF4" w:rsidRPr="00AD35A5">
        <w:rPr>
          <w:sz w:val="24"/>
        </w:rPr>
        <w:t>只</w:t>
      </w:r>
      <w:r w:rsidR="0070155E" w:rsidRPr="00AD35A5">
        <w:rPr>
          <w:sz w:val="24"/>
        </w:rPr>
        <w:t>上交所</w:t>
      </w:r>
      <w:r w:rsidR="0070155E" w:rsidRPr="00536AAF">
        <w:rPr>
          <w:sz w:val="24"/>
        </w:rPr>
        <w:t>ETF</w:t>
      </w:r>
      <w:r w:rsidR="009F00A8" w:rsidRPr="00AD35A5">
        <w:rPr>
          <w:sz w:val="24"/>
        </w:rPr>
        <w:t>的</w:t>
      </w:r>
      <w:r w:rsidR="0034254A" w:rsidRPr="00536AAF">
        <w:rPr>
          <w:sz w:val="24"/>
        </w:rPr>
        <w:t>基金份额参考净值（</w:t>
      </w:r>
      <w:r w:rsidR="0034254A" w:rsidRPr="00536AAF">
        <w:rPr>
          <w:sz w:val="24"/>
        </w:rPr>
        <w:t>IOPV</w:t>
      </w:r>
      <w:r w:rsidR="0034254A" w:rsidRPr="00625E99">
        <w:rPr>
          <w:sz w:val="24"/>
        </w:rPr>
        <w:t>）</w:t>
      </w:r>
      <w:r w:rsidR="009F00A8" w:rsidRPr="00AD35A5">
        <w:rPr>
          <w:sz w:val="24"/>
        </w:rPr>
        <w:t>由</w:t>
      </w:r>
      <w:r w:rsidR="009F00A8" w:rsidRPr="00536AAF">
        <w:rPr>
          <w:sz w:val="24"/>
        </w:rPr>
        <w:t>中证指数有限公司</w:t>
      </w:r>
      <w:r w:rsidR="009F00A8" w:rsidRPr="00AD35A5">
        <w:rPr>
          <w:sz w:val="24"/>
        </w:rPr>
        <w:t>计算</w:t>
      </w:r>
      <w:r w:rsidR="0034254A" w:rsidRPr="00AD35A5">
        <w:rPr>
          <w:sz w:val="24"/>
        </w:rPr>
        <w:t>。</w:t>
      </w:r>
      <w:r w:rsidR="000C4F1B" w:rsidRPr="00AD35A5">
        <w:rPr>
          <w:sz w:val="24"/>
        </w:rPr>
        <w:t>基金管理人</w:t>
      </w:r>
      <w:r w:rsidR="00CA52CD" w:rsidRPr="00AD35A5">
        <w:rPr>
          <w:sz w:val="24"/>
        </w:rPr>
        <w:t>据此</w:t>
      </w:r>
      <w:r w:rsidR="000C4F1B" w:rsidRPr="00AD35A5">
        <w:rPr>
          <w:sz w:val="24"/>
        </w:rPr>
        <w:t>对</w:t>
      </w:r>
      <w:r w:rsidR="003225C8" w:rsidRPr="00AD35A5">
        <w:rPr>
          <w:sz w:val="24"/>
        </w:rPr>
        <w:t>华夏上证</w:t>
      </w:r>
      <w:r w:rsidR="003225C8" w:rsidRPr="00AD35A5">
        <w:rPr>
          <w:sz w:val="24"/>
        </w:rPr>
        <w:t>50ETF</w:t>
      </w:r>
      <w:r w:rsidR="00237C31" w:rsidRPr="00AD35A5">
        <w:rPr>
          <w:sz w:val="24"/>
        </w:rPr>
        <w:t>基金合同及招募说明书（更新）</w:t>
      </w:r>
      <w:r w:rsidR="00D21646">
        <w:rPr>
          <w:rFonts w:hint="eastAsia"/>
          <w:sz w:val="24"/>
        </w:rPr>
        <w:t>、</w:t>
      </w:r>
      <w:r w:rsidR="003225C8" w:rsidRPr="00AD35A5">
        <w:rPr>
          <w:sz w:val="24"/>
        </w:rPr>
        <w:t>华夏消费</w:t>
      </w:r>
      <w:r w:rsidR="003225C8" w:rsidRPr="00AD35A5">
        <w:rPr>
          <w:sz w:val="24"/>
        </w:rPr>
        <w:t>ETF</w:t>
      </w:r>
      <w:r w:rsidR="00D21646">
        <w:rPr>
          <w:rFonts w:hint="eastAsia"/>
          <w:sz w:val="24"/>
        </w:rPr>
        <w:t>及</w:t>
      </w:r>
      <w:r w:rsidR="003225C8" w:rsidRPr="00AD35A5">
        <w:rPr>
          <w:sz w:val="24"/>
        </w:rPr>
        <w:t>华夏上证科创板</w:t>
      </w:r>
      <w:r w:rsidR="003225C8" w:rsidRPr="00AD35A5">
        <w:rPr>
          <w:sz w:val="24"/>
        </w:rPr>
        <w:t>50</w:t>
      </w:r>
      <w:r w:rsidR="003225C8" w:rsidRPr="00AD35A5">
        <w:rPr>
          <w:sz w:val="24"/>
        </w:rPr>
        <w:t>成份</w:t>
      </w:r>
      <w:r w:rsidR="003225C8" w:rsidRPr="00AD35A5">
        <w:rPr>
          <w:sz w:val="24"/>
        </w:rPr>
        <w:t>ETF</w:t>
      </w:r>
      <w:r w:rsidR="00F4677E" w:rsidRPr="00AD35A5">
        <w:rPr>
          <w:sz w:val="24"/>
        </w:rPr>
        <w:t>招募说明书（更新）中</w:t>
      </w:r>
      <w:r w:rsidR="000C4F1B" w:rsidRPr="00536AAF">
        <w:rPr>
          <w:sz w:val="24"/>
        </w:rPr>
        <w:t>IOPV</w:t>
      </w:r>
      <w:r w:rsidR="000C4F1B" w:rsidRPr="00536AAF">
        <w:rPr>
          <w:sz w:val="24"/>
        </w:rPr>
        <w:t>计算</w:t>
      </w:r>
      <w:r w:rsidR="000C4F1B" w:rsidRPr="00AD35A5">
        <w:rPr>
          <w:sz w:val="24"/>
        </w:rPr>
        <w:t>的</w:t>
      </w:r>
      <w:r w:rsidR="00F4677E" w:rsidRPr="00AD35A5">
        <w:rPr>
          <w:sz w:val="24"/>
        </w:rPr>
        <w:t>相关内容进行</w:t>
      </w:r>
      <w:r w:rsidR="006F4189" w:rsidRPr="00AD35A5">
        <w:rPr>
          <w:sz w:val="24"/>
        </w:rPr>
        <w:t>了</w:t>
      </w:r>
      <w:r w:rsidR="00F4677E" w:rsidRPr="00AD35A5">
        <w:rPr>
          <w:sz w:val="24"/>
        </w:rPr>
        <w:t>修订</w:t>
      </w:r>
      <w:r w:rsidR="005C2FBD" w:rsidRPr="00AD35A5">
        <w:rPr>
          <w:sz w:val="24"/>
        </w:rPr>
        <w:t>，</w:t>
      </w:r>
      <w:r w:rsidR="00F962B3" w:rsidRPr="00536AAF">
        <w:rPr>
          <w:sz w:val="24"/>
        </w:rPr>
        <w:t>修订内容</w:t>
      </w:r>
      <w:r w:rsidR="00F962B3" w:rsidRPr="00AD35A5">
        <w:rPr>
          <w:sz w:val="24"/>
        </w:rPr>
        <w:t>自</w:t>
      </w:r>
      <w:r w:rsidR="00F962B3" w:rsidRPr="00536AAF">
        <w:rPr>
          <w:sz w:val="24"/>
        </w:rPr>
        <w:t>202</w:t>
      </w:r>
      <w:r w:rsidR="000C4F1B" w:rsidRPr="00536AAF">
        <w:rPr>
          <w:sz w:val="24"/>
        </w:rPr>
        <w:t>6</w:t>
      </w:r>
      <w:r w:rsidR="00F962B3" w:rsidRPr="00625E99">
        <w:rPr>
          <w:sz w:val="24"/>
        </w:rPr>
        <w:t>年</w:t>
      </w:r>
      <w:r w:rsidR="00275E77" w:rsidRPr="00625E99">
        <w:rPr>
          <w:sz w:val="24"/>
        </w:rPr>
        <w:t>2</w:t>
      </w:r>
      <w:r w:rsidR="00F962B3" w:rsidRPr="00625E99">
        <w:rPr>
          <w:sz w:val="24"/>
        </w:rPr>
        <w:t>月</w:t>
      </w:r>
      <w:r w:rsidR="00275E77" w:rsidRPr="00AD35A5">
        <w:rPr>
          <w:sz w:val="24"/>
        </w:rPr>
        <w:t>9</w:t>
      </w:r>
      <w:r w:rsidR="00F962B3" w:rsidRPr="00536AAF">
        <w:rPr>
          <w:sz w:val="24"/>
        </w:rPr>
        <w:t>日</w:t>
      </w:r>
      <w:r w:rsidR="00F962B3" w:rsidRPr="00AD35A5">
        <w:rPr>
          <w:sz w:val="24"/>
        </w:rPr>
        <w:t>起</w:t>
      </w:r>
      <w:r w:rsidR="00F962B3" w:rsidRPr="00536AAF">
        <w:rPr>
          <w:sz w:val="24"/>
        </w:rPr>
        <w:t>生效。现将具体情况公告如下：</w:t>
      </w:r>
    </w:p>
    <w:p w:rsidR="00F4677E" w:rsidRPr="00536AAF" w:rsidRDefault="00F4677E" w:rsidP="006E056C">
      <w:pPr>
        <w:pStyle w:val="a6"/>
        <w:numPr>
          <w:ilvl w:val="0"/>
          <w:numId w:val="1"/>
        </w:numPr>
        <w:autoSpaceDE w:val="0"/>
        <w:autoSpaceDN w:val="0"/>
        <w:adjustRightInd w:val="0"/>
        <w:spacing w:line="360" w:lineRule="auto"/>
        <w:ind w:firstLineChars="0"/>
        <w:jc w:val="left"/>
        <w:rPr>
          <w:sz w:val="24"/>
        </w:rPr>
      </w:pPr>
      <w:r w:rsidRPr="00AD35A5">
        <w:rPr>
          <w:sz w:val="24"/>
        </w:rPr>
        <w:t>涉及基金</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5"/>
        <w:gridCol w:w="888"/>
        <w:gridCol w:w="1898"/>
        <w:gridCol w:w="2727"/>
      </w:tblGrid>
      <w:tr w:rsidR="00AA0701" w:rsidRPr="00575965" w:rsidTr="00574995">
        <w:trPr>
          <w:trHeight w:val="280"/>
        </w:trPr>
        <w:tc>
          <w:tcPr>
            <w:tcW w:w="1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
                <w:bCs/>
                <w:color w:val="000000"/>
                <w:kern w:val="0"/>
                <w:szCs w:val="21"/>
              </w:rPr>
            </w:pPr>
            <w:r w:rsidRPr="00575965">
              <w:rPr>
                <w:b/>
                <w:bCs/>
                <w:color w:val="000000"/>
                <w:kern w:val="0"/>
                <w:szCs w:val="21"/>
              </w:rPr>
              <w:t>基金全称</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
                <w:bCs/>
                <w:color w:val="000000"/>
                <w:kern w:val="0"/>
                <w:szCs w:val="21"/>
              </w:rPr>
            </w:pPr>
            <w:r w:rsidRPr="00575965">
              <w:rPr>
                <w:b/>
                <w:bCs/>
                <w:color w:val="000000"/>
                <w:kern w:val="0"/>
                <w:szCs w:val="21"/>
              </w:rPr>
              <w:t>代码</w:t>
            </w:r>
          </w:p>
        </w:tc>
        <w:tc>
          <w:tcPr>
            <w:tcW w:w="10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
                <w:bCs/>
                <w:color w:val="000000"/>
                <w:kern w:val="0"/>
                <w:szCs w:val="21"/>
              </w:rPr>
            </w:pPr>
            <w:r w:rsidRPr="00575965">
              <w:rPr>
                <w:b/>
                <w:bCs/>
                <w:color w:val="000000"/>
                <w:kern w:val="0"/>
                <w:szCs w:val="21"/>
              </w:rPr>
              <w:t>基金简称</w:t>
            </w:r>
          </w:p>
        </w:tc>
        <w:tc>
          <w:tcPr>
            <w:tcW w:w="1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
                <w:bCs/>
                <w:color w:val="000000"/>
                <w:kern w:val="0"/>
                <w:szCs w:val="21"/>
              </w:rPr>
            </w:pPr>
            <w:r w:rsidRPr="00575965">
              <w:rPr>
                <w:b/>
                <w:bCs/>
                <w:color w:val="000000"/>
                <w:kern w:val="0"/>
                <w:szCs w:val="21"/>
              </w:rPr>
              <w:t>场内简称</w:t>
            </w:r>
          </w:p>
        </w:tc>
      </w:tr>
      <w:tr w:rsidR="00AA0701" w:rsidRPr="00575965" w:rsidTr="00574995">
        <w:trPr>
          <w:trHeight w:val="280"/>
        </w:trPr>
        <w:tc>
          <w:tcPr>
            <w:tcW w:w="1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9E3FC2">
            <w:pPr>
              <w:widowControl/>
              <w:jc w:val="left"/>
              <w:rPr>
                <w:bCs/>
                <w:color w:val="000000"/>
                <w:kern w:val="0"/>
                <w:szCs w:val="21"/>
              </w:rPr>
            </w:pPr>
            <w:r w:rsidRPr="00575965">
              <w:rPr>
                <w:bCs/>
                <w:color w:val="000000"/>
                <w:kern w:val="0"/>
                <w:szCs w:val="21"/>
              </w:rPr>
              <w:t>上证主要消费交易型开放式指数发起式证券投资基金</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510630</w:t>
            </w:r>
          </w:p>
        </w:tc>
        <w:tc>
          <w:tcPr>
            <w:tcW w:w="10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华夏消费</w:t>
            </w:r>
            <w:r w:rsidRPr="00575965">
              <w:rPr>
                <w:bCs/>
                <w:color w:val="000000"/>
                <w:kern w:val="0"/>
                <w:szCs w:val="21"/>
              </w:rPr>
              <w:t>ETF</w:t>
            </w:r>
          </w:p>
        </w:tc>
        <w:tc>
          <w:tcPr>
            <w:tcW w:w="1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消费</w:t>
            </w:r>
            <w:r w:rsidRPr="00575965">
              <w:rPr>
                <w:bCs/>
                <w:color w:val="000000"/>
                <w:kern w:val="0"/>
                <w:szCs w:val="21"/>
              </w:rPr>
              <w:t>30</w:t>
            </w:r>
            <w:r w:rsidRPr="00575965">
              <w:rPr>
                <w:bCs/>
                <w:color w:val="000000"/>
                <w:kern w:val="0"/>
                <w:szCs w:val="21"/>
              </w:rPr>
              <w:t>（扩位证券简称：消费</w:t>
            </w:r>
            <w:r w:rsidRPr="00575965">
              <w:rPr>
                <w:bCs/>
                <w:color w:val="000000"/>
                <w:kern w:val="0"/>
                <w:szCs w:val="21"/>
              </w:rPr>
              <w:t>ETF</w:t>
            </w:r>
            <w:r w:rsidRPr="00575965">
              <w:rPr>
                <w:bCs/>
                <w:color w:val="000000"/>
                <w:kern w:val="0"/>
                <w:szCs w:val="21"/>
              </w:rPr>
              <w:t>华夏）</w:t>
            </w:r>
          </w:p>
        </w:tc>
      </w:tr>
      <w:tr w:rsidR="00AA0701" w:rsidRPr="00575965" w:rsidTr="00574995">
        <w:trPr>
          <w:trHeight w:val="280"/>
        </w:trPr>
        <w:tc>
          <w:tcPr>
            <w:tcW w:w="1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9E3FC2">
            <w:pPr>
              <w:widowControl/>
              <w:jc w:val="left"/>
              <w:rPr>
                <w:bCs/>
                <w:color w:val="000000"/>
                <w:kern w:val="0"/>
                <w:szCs w:val="21"/>
              </w:rPr>
            </w:pPr>
            <w:r w:rsidRPr="00575965">
              <w:rPr>
                <w:bCs/>
                <w:color w:val="000000"/>
                <w:kern w:val="0"/>
                <w:szCs w:val="21"/>
              </w:rPr>
              <w:t>华夏上证</w:t>
            </w:r>
            <w:r w:rsidRPr="00575965">
              <w:rPr>
                <w:bCs/>
                <w:color w:val="000000"/>
                <w:kern w:val="0"/>
                <w:szCs w:val="21"/>
              </w:rPr>
              <w:t>580</w:t>
            </w:r>
            <w:r w:rsidRPr="00575965">
              <w:rPr>
                <w:bCs/>
                <w:color w:val="000000"/>
                <w:kern w:val="0"/>
                <w:szCs w:val="21"/>
              </w:rPr>
              <w:t>交易型开放式指数证券投资基金</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530530</w:t>
            </w:r>
          </w:p>
        </w:tc>
        <w:tc>
          <w:tcPr>
            <w:tcW w:w="10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华夏上证</w:t>
            </w:r>
            <w:r w:rsidRPr="00575965">
              <w:rPr>
                <w:bCs/>
                <w:color w:val="000000"/>
                <w:kern w:val="0"/>
                <w:szCs w:val="21"/>
              </w:rPr>
              <w:t>580ETF</w:t>
            </w:r>
          </w:p>
        </w:tc>
        <w:tc>
          <w:tcPr>
            <w:tcW w:w="1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580ETF</w:t>
            </w:r>
            <w:r w:rsidRPr="00575965">
              <w:rPr>
                <w:bCs/>
                <w:color w:val="000000"/>
                <w:kern w:val="0"/>
                <w:szCs w:val="21"/>
              </w:rPr>
              <w:t>（扩位证券简称：上证</w:t>
            </w:r>
            <w:r w:rsidRPr="00575965">
              <w:rPr>
                <w:bCs/>
                <w:color w:val="000000"/>
                <w:kern w:val="0"/>
                <w:szCs w:val="21"/>
              </w:rPr>
              <w:t>580ETF</w:t>
            </w:r>
            <w:r w:rsidRPr="00575965">
              <w:rPr>
                <w:bCs/>
                <w:color w:val="000000"/>
                <w:kern w:val="0"/>
                <w:szCs w:val="21"/>
              </w:rPr>
              <w:t>华夏）</w:t>
            </w:r>
          </w:p>
        </w:tc>
      </w:tr>
      <w:tr w:rsidR="00AA0701" w:rsidRPr="00575965" w:rsidTr="00574995">
        <w:trPr>
          <w:trHeight w:val="280"/>
        </w:trPr>
        <w:tc>
          <w:tcPr>
            <w:tcW w:w="1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9E3FC2">
            <w:pPr>
              <w:widowControl/>
              <w:jc w:val="left"/>
              <w:rPr>
                <w:bCs/>
                <w:color w:val="000000"/>
                <w:kern w:val="0"/>
                <w:szCs w:val="21"/>
              </w:rPr>
            </w:pPr>
            <w:r w:rsidRPr="00575965">
              <w:rPr>
                <w:bCs/>
                <w:color w:val="000000"/>
                <w:kern w:val="0"/>
                <w:szCs w:val="21"/>
              </w:rPr>
              <w:t>华夏上证科创板</w:t>
            </w:r>
            <w:r w:rsidRPr="00575965">
              <w:rPr>
                <w:bCs/>
                <w:color w:val="000000"/>
                <w:kern w:val="0"/>
                <w:szCs w:val="21"/>
              </w:rPr>
              <w:t>200</w:t>
            </w:r>
            <w:r w:rsidRPr="00575965">
              <w:rPr>
                <w:bCs/>
                <w:color w:val="000000"/>
                <w:kern w:val="0"/>
                <w:szCs w:val="21"/>
              </w:rPr>
              <w:t>交易型开放式指数证券投资基金</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588820</w:t>
            </w:r>
          </w:p>
        </w:tc>
        <w:tc>
          <w:tcPr>
            <w:tcW w:w="10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华夏上证科创板</w:t>
            </w:r>
            <w:r w:rsidRPr="00575965">
              <w:rPr>
                <w:bCs/>
                <w:color w:val="000000"/>
                <w:kern w:val="0"/>
                <w:szCs w:val="21"/>
              </w:rPr>
              <w:t>200ETF</w:t>
            </w:r>
          </w:p>
        </w:tc>
        <w:tc>
          <w:tcPr>
            <w:tcW w:w="1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科创</w:t>
            </w:r>
            <w:r w:rsidRPr="00575965">
              <w:rPr>
                <w:bCs/>
                <w:color w:val="000000"/>
                <w:kern w:val="0"/>
                <w:szCs w:val="21"/>
              </w:rPr>
              <w:t>200E</w:t>
            </w:r>
            <w:r w:rsidRPr="00575965">
              <w:rPr>
                <w:bCs/>
                <w:color w:val="000000"/>
                <w:kern w:val="0"/>
                <w:szCs w:val="21"/>
              </w:rPr>
              <w:t>（扩位简称：科创</w:t>
            </w:r>
            <w:r w:rsidRPr="00575965">
              <w:rPr>
                <w:bCs/>
                <w:color w:val="000000"/>
                <w:kern w:val="0"/>
                <w:szCs w:val="21"/>
              </w:rPr>
              <w:t>200ETF</w:t>
            </w:r>
            <w:r w:rsidRPr="00575965">
              <w:rPr>
                <w:bCs/>
                <w:color w:val="000000"/>
                <w:kern w:val="0"/>
                <w:szCs w:val="21"/>
              </w:rPr>
              <w:t>华夏）</w:t>
            </w:r>
          </w:p>
        </w:tc>
      </w:tr>
      <w:tr w:rsidR="00AA0701" w:rsidRPr="00575965" w:rsidTr="00574995">
        <w:trPr>
          <w:trHeight w:val="280"/>
        </w:trPr>
        <w:tc>
          <w:tcPr>
            <w:tcW w:w="1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9E3FC2">
            <w:pPr>
              <w:widowControl/>
              <w:jc w:val="left"/>
              <w:rPr>
                <w:bCs/>
                <w:color w:val="000000"/>
                <w:kern w:val="0"/>
                <w:szCs w:val="21"/>
              </w:rPr>
            </w:pPr>
            <w:r w:rsidRPr="00575965">
              <w:rPr>
                <w:bCs/>
                <w:color w:val="000000"/>
                <w:kern w:val="0"/>
                <w:szCs w:val="21"/>
              </w:rPr>
              <w:t>华夏上证科创板综合交易型开放式指数证券投资基金</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589000</w:t>
            </w:r>
          </w:p>
        </w:tc>
        <w:tc>
          <w:tcPr>
            <w:tcW w:w="10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华夏上证科创板综合</w:t>
            </w:r>
            <w:r w:rsidRPr="00575965">
              <w:rPr>
                <w:bCs/>
                <w:color w:val="000000"/>
                <w:kern w:val="0"/>
                <w:szCs w:val="21"/>
              </w:rPr>
              <w:t>ETF</w:t>
            </w:r>
          </w:p>
        </w:tc>
        <w:tc>
          <w:tcPr>
            <w:tcW w:w="1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科创综指（扩位证券简称：科创综指</w:t>
            </w:r>
            <w:r w:rsidRPr="00575965">
              <w:rPr>
                <w:bCs/>
                <w:color w:val="000000"/>
                <w:kern w:val="0"/>
                <w:szCs w:val="21"/>
              </w:rPr>
              <w:t>ETF</w:t>
            </w:r>
            <w:r w:rsidRPr="00575965">
              <w:rPr>
                <w:bCs/>
                <w:color w:val="000000"/>
                <w:kern w:val="0"/>
                <w:szCs w:val="21"/>
              </w:rPr>
              <w:t>华夏）</w:t>
            </w:r>
          </w:p>
        </w:tc>
      </w:tr>
      <w:tr w:rsidR="00AA0701" w:rsidRPr="00575965" w:rsidTr="00574995">
        <w:trPr>
          <w:trHeight w:val="280"/>
        </w:trPr>
        <w:tc>
          <w:tcPr>
            <w:tcW w:w="1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9E3FC2">
            <w:pPr>
              <w:widowControl/>
              <w:jc w:val="left"/>
              <w:rPr>
                <w:bCs/>
                <w:color w:val="000000"/>
                <w:kern w:val="0"/>
                <w:szCs w:val="21"/>
              </w:rPr>
            </w:pPr>
            <w:r w:rsidRPr="00575965">
              <w:rPr>
                <w:bCs/>
                <w:color w:val="000000"/>
                <w:kern w:val="0"/>
                <w:szCs w:val="21"/>
              </w:rPr>
              <w:t>华夏上证科创板</w:t>
            </w:r>
            <w:r w:rsidRPr="00575965">
              <w:rPr>
                <w:bCs/>
                <w:color w:val="000000"/>
                <w:kern w:val="0"/>
                <w:szCs w:val="21"/>
              </w:rPr>
              <w:t>100</w:t>
            </w:r>
            <w:r w:rsidRPr="00575965">
              <w:rPr>
                <w:bCs/>
                <w:color w:val="000000"/>
                <w:kern w:val="0"/>
                <w:szCs w:val="21"/>
              </w:rPr>
              <w:t>交易型开放式指数证券投资基金</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588800</w:t>
            </w:r>
          </w:p>
        </w:tc>
        <w:tc>
          <w:tcPr>
            <w:tcW w:w="10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华夏上证科创板</w:t>
            </w:r>
            <w:r w:rsidRPr="00575965">
              <w:rPr>
                <w:bCs/>
                <w:color w:val="000000"/>
                <w:kern w:val="0"/>
                <w:szCs w:val="21"/>
              </w:rPr>
              <w:t>100ETF</w:t>
            </w:r>
          </w:p>
        </w:tc>
        <w:tc>
          <w:tcPr>
            <w:tcW w:w="1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科创</w:t>
            </w:r>
            <w:r w:rsidRPr="00575965">
              <w:rPr>
                <w:bCs/>
                <w:color w:val="000000"/>
                <w:kern w:val="0"/>
                <w:szCs w:val="21"/>
              </w:rPr>
              <w:t>100C</w:t>
            </w:r>
            <w:r w:rsidRPr="00575965">
              <w:rPr>
                <w:bCs/>
                <w:color w:val="000000"/>
                <w:kern w:val="0"/>
                <w:szCs w:val="21"/>
              </w:rPr>
              <w:t>（扩位简称：科创</w:t>
            </w:r>
            <w:r w:rsidRPr="00575965">
              <w:rPr>
                <w:bCs/>
                <w:color w:val="000000"/>
                <w:kern w:val="0"/>
                <w:szCs w:val="21"/>
              </w:rPr>
              <w:t>100ETF</w:t>
            </w:r>
            <w:r w:rsidRPr="00575965">
              <w:rPr>
                <w:bCs/>
                <w:color w:val="000000"/>
                <w:kern w:val="0"/>
                <w:szCs w:val="21"/>
              </w:rPr>
              <w:t>华夏）</w:t>
            </w:r>
          </w:p>
        </w:tc>
      </w:tr>
      <w:tr w:rsidR="00AA0701" w:rsidRPr="00575965" w:rsidTr="00574995">
        <w:trPr>
          <w:trHeight w:val="280"/>
        </w:trPr>
        <w:tc>
          <w:tcPr>
            <w:tcW w:w="1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9E3FC2">
            <w:pPr>
              <w:widowControl/>
              <w:jc w:val="left"/>
              <w:rPr>
                <w:bCs/>
                <w:color w:val="000000"/>
                <w:kern w:val="0"/>
                <w:szCs w:val="21"/>
              </w:rPr>
            </w:pPr>
            <w:r w:rsidRPr="00575965">
              <w:rPr>
                <w:bCs/>
                <w:color w:val="000000"/>
                <w:kern w:val="0"/>
                <w:szCs w:val="21"/>
              </w:rPr>
              <w:t>华夏上证科创板人工智能交易型开放式指数证券投资基金</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589010</w:t>
            </w:r>
          </w:p>
        </w:tc>
        <w:tc>
          <w:tcPr>
            <w:tcW w:w="10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华夏上证科创板人工智能</w:t>
            </w:r>
            <w:r w:rsidRPr="00575965">
              <w:rPr>
                <w:bCs/>
                <w:color w:val="000000"/>
                <w:kern w:val="0"/>
                <w:szCs w:val="21"/>
              </w:rPr>
              <w:t>ETF</w:t>
            </w:r>
          </w:p>
        </w:tc>
        <w:tc>
          <w:tcPr>
            <w:tcW w:w="1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科创</w:t>
            </w:r>
            <w:r w:rsidRPr="00575965">
              <w:rPr>
                <w:bCs/>
                <w:color w:val="000000"/>
                <w:kern w:val="0"/>
                <w:szCs w:val="21"/>
              </w:rPr>
              <w:t>AI</w:t>
            </w:r>
            <w:r w:rsidRPr="00575965">
              <w:rPr>
                <w:bCs/>
                <w:color w:val="000000"/>
                <w:kern w:val="0"/>
                <w:szCs w:val="21"/>
              </w:rPr>
              <w:t>指（扩位简称：科创人工智能</w:t>
            </w:r>
            <w:r w:rsidRPr="00575965">
              <w:rPr>
                <w:bCs/>
                <w:color w:val="000000"/>
                <w:kern w:val="0"/>
                <w:szCs w:val="21"/>
              </w:rPr>
              <w:t>ETF</w:t>
            </w:r>
            <w:r w:rsidRPr="00575965">
              <w:rPr>
                <w:bCs/>
                <w:color w:val="000000"/>
                <w:kern w:val="0"/>
                <w:szCs w:val="21"/>
              </w:rPr>
              <w:t>华夏）</w:t>
            </w:r>
          </w:p>
        </w:tc>
      </w:tr>
      <w:tr w:rsidR="00AA0701" w:rsidRPr="00575965" w:rsidTr="00574995">
        <w:trPr>
          <w:trHeight w:val="280"/>
        </w:trPr>
        <w:tc>
          <w:tcPr>
            <w:tcW w:w="1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9E3FC2">
            <w:pPr>
              <w:widowControl/>
              <w:jc w:val="left"/>
              <w:rPr>
                <w:bCs/>
                <w:color w:val="000000"/>
                <w:kern w:val="0"/>
                <w:szCs w:val="21"/>
              </w:rPr>
            </w:pPr>
            <w:r w:rsidRPr="00575965">
              <w:rPr>
                <w:bCs/>
                <w:color w:val="000000"/>
                <w:kern w:val="0"/>
                <w:szCs w:val="21"/>
              </w:rPr>
              <w:t>华夏上证科创板半导体材料设备主题交易型开放式指数证券投资基金</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588170</w:t>
            </w:r>
          </w:p>
        </w:tc>
        <w:tc>
          <w:tcPr>
            <w:tcW w:w="10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华夏上证科创板半导体材料设备主题</w:t>
            </w:r>
            <w:r w:rsidRPr="00575965">
              <w:rPr>
                <w:bCs/>
                <w:color w:val="000000"/>
                <w:kern w:val="0"/>
                <w:szCs w:val="21"/>
              </w:rPr>
              <w:t>ETF</w:t>
            </w:r>
          </w:p>
        </w:tc>
        <w:tc>
          <w:tcPr>
            <w:tcW w:w="1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科创半导（扩位证券简称：科创半导体</w:t>
            </w:r>
            <w:r w:rsidRPr="00575965">
              <w:rPr>
                <w:bCs/>
                <w:color w:val="000000"/>
                <w:kern w:val="0"/>
                <w:szCs w:val="21"/>
              </w:rPr>
              <w:t>ETF</w:t>
            </w:r>
            <w:r w:rsidRPr="00575965">
              <w:rPr>
                <w:bCs/>
                <w:color w:val="000000"/>
                <w:kern w:val="0"/>
                <w:szCs w:val="21"/>
              </w:rPr>
              <w:t>）</w:t>
            </w:r>
          </w:p>
        </w:tc>
      </w:tr>
      <w:tr w:rsidR="00AA0701" w:rsidRPr="00575965" w:rsidTr="00574995">
        <w:trPr>
          <w:trHeight w:val="280"/>
        </w:trPr>
        <w:tc>
          <w:tcPr>
            <w:tcW w:w="1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9E3FC2">
            <w:pPr>
              <w:widowControl/>
              <w:jc w:val="left"/>
              <w:rPr>
                <w:bCs/>
                <w:color w:val="000000"/>
                <w:kern w:val="0"/>
                <w:szCs w:val="21"/>
              </w:rPr>
            </w:pPr>
            <w:r w:rsidRPr="00575965">
              <w:rPr>
                <w:bCs/>
                <w:color w:val="000000"/>
                <w:kern w:val="0"/>
                <w:szCs w:val="21"/>
              </w:rPr>
              <w:t>华夏上证科创板</w:t>
            </w:r>
            <w:r w:rsidRPr="00575965">
              <w:rPr>
                <w:bCs/>
                <w:color w:val="000000"/>
                <w:kern w:val="0"/>
                <w:szCs w:val="21"/>
              </w:rPr>
              <w:t>50</w:t>
            </w:r>
            <w:r w:rsidRPr="00575965">
              <w:rPr>
                <w:bCs/>
                <w:color w:val="000000"/>
                <w:kern w:val="0"/>
                <w:szCs w:val="21"/>
              </w:rPr>
              <w:t>成份交易型开放式指数证券投资基金</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588000</w:t>
            </w:r>
          </w:p>
        </w:tc>
        <w:tc>
          <w:tcPr>
            <w:tcW w:w="10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华夏上证科创板</w:t>
            </w:r>
            <w:r w:rsidRPr="00575965">
              <w:rPr>
                <w:bCs/>
                <w:color w:val="000000"/>
                <w:kern w:val="0"/>
                <w:szCs w:val="21"/>
              </w:rPr>
              <w:t>50</w:t>
            </w:r>
            <w:r w:rsidRPr="00575965">
              <w:rPr>
                <w:bCs/>
                <w:color w:val="000000"/>
                <w:kern w:val="0"/>
                <w:szCs w:val="21"/>
              </w:rPr>
              <w:t>成份</w:t>
            </w:r>
            <w:r w:rsidRPr="00575965">
              <w:rPr>
                <w:bCs/>
                <w:color w:val="000000"/>
                <w:kern w:val="0"/>
                <w:szCs w:val="21"/>
              </w:rPr>
              <w:t>ETF</w:t>
            </w:r>
          </w:p>
        </w:tc>
        <w:tc>
          <w:tcPr>
            <w:tcW w:w="1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科创</w:t>
            </w:r>
            <w:r w:rsidRPr="00575965">
              <w:rPr>
                <w:bCs/>
                <w:color w:val="000000"/>
                <w:kern w:val="0"/>
                <w:szCs w:val="21"/>
              </w:rPr>
              <w:t>50</w:t>
            </w:r>
            <w:r w:rsidRPr="00575965">
              <w:rPr>
                <w:bCs/>
                <w:color w:val="000000"/>
                <w:kern w:val="0"/>
                <w:szCs w:val="21"/>
              </w:rPr>
              <w:t>（扩位证券简称：科创</w:t>
            </w:r>
            <w:r w:rsidRPr="00575965">
              <w:rPr>
                <w:bCs/>
                <w:color w:val="000000"/>
                <w:kern w:val="0"/>
                <w:szCs w:val="21"/>
              </w:rPr>
              <w:t>50ETF</w:t>
            </w:r>
            <w:r w:rsidRPr="00575965">
              <w:rPr>
                <w:bCs/>
                <w:color w:val="000000"/>
                <w:kern w:val="0"/>
                <w:szCs w:val="21"/>
              </w:rPr>
              <w:t>）</w:t>
            </w:r>
          </w:p>
        </w:tc>
      </w:tr>
      <w:tr w:rsidR="00AA0701" w:rsidRPr="00575965" w:rsidTr="00574995">
        <w:trPr>
          <w:trHeight w:val="280"/>
        </w:trPr>
        <w:tc>
          <w:tcPr>
            <w:tcW w:w="1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9E3FC2">
            <w:pPr>
              <w:widowControl/>
              <w:jc w:val="left"/>
              <w:rPr>
                <w:bCs/>
                <w:color w:val="000000"/>
                <w:kern w:val="0"/>
                <w:szCs w:val="21"/>
              </w:rPr>
            </w:pPr>
            <w:r w:rsidRPr="00575965">
              <w:rPr>
                <w:bCs/>
                <w:color w:val="000000"/>
                <w:kern w:val="0"/>
                <w:szCs w:val="21"/>
              </w:rPr>
              <w:t>上证</w:t>
            </w:r>
            <w:r w:rsidRPr="00575965">
              <w:rPr>
                <w:bCs/>
                <w:color w:val="000000"/>
                <w:kern w:val="0"/>
                <w:szCs w:val="21"/>
              </w:rPr>
              <w:t>50</w:t>
            </w:r>
            <w:r w:rsidRPr="00575965">
              <w:rPr>
                <w:bCs/>
                <w:color w:val="000000"/>
                <w:kern w:val="0"/>
                <w:szCs w:val="21"/>
              </w:rPr>
              <w:t>交易型开放式指数证券投资基金</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510050</w:t>
            </w:r>
          </w:p>
        </w:tc>
        <w:tc>
          <w:tcPr>
            <w:tcW w:w="10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华夏上证</w:t>
            </w:r>
            <w:r w:rsidRPr="00575965">
              <w:rPr>
                <w:bCs/>
                <w:color w:val="000000"/>
                <w:kern w:val="0"/>
                <w:szCs w:val="21"/>
              </w:rPr>
              <w:t>50ETF</w:t>
            </w:r>
          </w:p>
        </w:tc>
        <w:tc>
          <w:tcPr>
            <w:tcW w:w="15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701" w:rsidRPr="00536AAF" w:rsidRDefault="00AA0701" w:rsidP="00AA0701">
            <w:pPr>
              <w:widowControl/>
              <w:jc w:val="center"/>
              <w:rPr>
                <w:bCs/>
                <w:color w:val="000000"/>
                <w:kern w:val="0"/>
                <w:szCs w:val="21"/>
              </w:rPr>
            </w:pPr>
            <w:r w:rsidRPr="00575965">
              <w:rPr>
                <w:bCs/>
                <w:color w:val="000000"/>
                <w:kern w:val="0"/>
                <w:szCs w:val="21"/>
              </w:rPr>
              <w:t>50ETF</w:t>
            </w:r>
            <w:r w:rsidRPr="00575965">
              <w:rPr>
                <w:bCs/>
                <w:color w:val="000000"/>
                <w:kern w:val="0"/>
                <w:szCs w:val="21"/>
              </w:rPr>
              <w:t>（扩位证券简称：上证</w:t>
            </w:r>
            <w:r w:rsidRPr="00575965">
              <w:rPr>
                <w:bCs/>
                <w:color w:val="000000"/>
                <w:kern w:val="0"/>
                <w:szCs w:val="21"/>
              </w:rPr>
              <w:t>50ETF</w:t>
            </w:r>
            <w:r w:rsidRPr="00575965">
              <w:rPr>
                <w:bCs/>
                <w:color w:val="000000"/>
                <w:kern w:val="0"/>
                <w:szCs w:val="21"/>
              </w:rPr>
              <w:t>）</w:t>
            </w:r>
          </w:p>
        </w:tc>
      </w:tr>
    </w:tbl>
    <w:p w:rsidR="00F4677E" w:rsidRPr="00536AAF" w:rsidRDefault="00F4677E" w:rsidP="006E056C">
      <w:pPr>
        <w:spacing w:line="360" w:lineRule="auto"/>
        <w:ind w:firstLineChars="200" w:firstLine="480"/>
        <w:rPr>
          <w:sz w:val="24"/>
        </w:rPr>
      </w:pPr>
      <w:r w:rsidRPr="00AD35A5">
        <w:rPr>
          <w:sz w:val="24"/>
        </w:rPr>
        <w:t>二、</w:t>
      </w:r>
      <w:r w:rsidR="00A16C2D" w:rsidRPr="00AD35A5">
        <w:rPr>
          <w:sz w:val="24"/>
        </w:rPr>
        <w:t>调整</w:t>
      </w:r>
      <w:r w:rsidR="00A16C2D" w:rsidRPr="00AD35A5">
        <w:rPr>
          <w:sz w:val="24"/>
        </w:rPr>
        <w:t>ETF</w:t>
      </w:r>
      <w:r w:rsidR="00B554A8" w:rsidRPr="00AD35A5">
        <w:rPr>
          <w:sz w:val="24"/>
        </w:rPr>
        <w:t xml:space="preserve"> </w:t>
      </w:r>
      <w:r w:rsidR="00A16C2D" w:rsidRPr="00AD35A5">
        <w:rPr>
          <w:sz w:val="24"/>
        </w:rPr>
        <w:t>IOPV</w:t>
      </w:r>
      <w:r w:rsidR="00A16C2D" w:rsidRPr="00AD35A5">
        <w:rPr>
          <w:sz w:val="24"/>
        </w:rPr>
        <w:t>计算机构及</w:t>
      </w:r>
      <w:r w:rsidR="00987735" w:rsidRPr="00AD35A5">
        <w:rPr>
          <w:sz w:val="24"/>
        </w:rPr>
        <w:t>法律文件</w:t>
      </w:r>
      <w:r w:rsidRPr="00AD35A5">
        <w:rPr>
          <w:sz w:val="24"/>
        </w:rPr>
        <w:t>修订</w:t>
      </w:r>
    </w:p>
    <w:p w:rsidR="00C05126" w:rsidRPr="00536AAF" w:rsidRDefault="002334DC" w:rsidP="006E056C">
      <w:pPr>
        <w:spacing w:line="360" w:lineRule="auto"/>
        <w:ind w:firstLineChars="200" w:firstLine="480"/>
        <w:rPr>
          <w:sz w:val="24"/>
        </w:rPr>
      </w:pPr>
      <w:r w:rsidRPr="00AD35A5">
        <w:rPr>
          <w:sz w:val="24"/>
        </w:rPr>
        <w:t>自</w:t>
      </w:r>
      <w:r w:rsidRPr="00AD35A5">
        <w:rPr>
          <w:sz w:val="24"/>
        </w:rPr>
        <w:t>2</w:t>
      </w:r>
      <w:r w:rsidRPr="00536AAF">
        <w:rPr>
          <w:sz w:val="24"/>
        </w:rPr>
        <w:t>026</w:t>
      </w:r>
      <w:r w:rsidRPr="00AD35A5">
        <w:rPr>
          <w:sz w:val="24"/>
        </w:rPr>
        <w:t>年</w:t>
      </w:r>
      <w:r w:rsidR="00E963F0" w:rsidRPr="00536AAF">
        <w:rPr>
          <w:sz w:val="24"/>
        </w:rPr>
        <w:t>2</w:t>
      </w:r>
      <w:r w:rsidRPr="00AD35A5">
        <w:rPr>
          <w:sz w:val="24"/>
        </w:rPr>
        <w:t>月</w:t>
      </w:r>
      <w:r w:rsidR="00E963F0" w:rsidRPr="00536AAF">
        <w:rPr>
          <w:sz w:val="24"/>
        </w:rPr>
        <w:t>9</w:t>
      </w:r>
      <w:r w:rsidRPr="00AD35A5">
        <w:rPr>
          <w:sz w:val="24"/>
        </w:rPr>
        <w:t>日起，上述</w:t>
      </w:r>
      <w:r w:rsidR="00E963F0" w:rsidRPr="00536AAF">
        <w:rPr>
          <w:sz w:val="24"/>
        </w:rPr>
        <w:t>9</w:t>
      </w:r>
      <w:r w:rsidRPr="00AD35A5">
        <w:rPr>
          <w:sz w:val="24"/>
        </w:rPr>
        <w:t>只</w:t>
      </w:r>
      <w:r w:rsidRPr="00536AAF">
        <w:rPr>
          <w:sz w:val="24"/>
        </w:rPr>
        <w:t>ETF</w:t>
      </w:r>
      <w:r w:rsidRPr="00AD35A5">
        <w:rPr>
          <w:sz w:val="24"/>
        </w:rPr>
        <w:t>的</w:t>
      </w:r>
      <w:r w:rsidRPr="00536AAF">
        <w:rPr>
          <w:sz w:val="24"/>
        </w:rPr>
        <w:t>基金份额参考净值（</w:t>
      </w:r>
      <w:r w:rsidRPr="00536AAF">
        <w:rPr>
          <w:sz w:val="24"/>
        </w:rPr>
        <w:t>IOPV</w:t>
      </w:r>
      <w:r w:rsidRPr="00625E99">
        <w:rPr>
          <w:sz w:val="24"/>
        </w:rPr>
        <w:t>）</w:t>
      </w:r>
      <w:r w:rsidR="00112DE4" w:rsidRPr="00AD35A5">
        <w:rPr>
          <w:sz w:val="24"/>
        </w:rPr>
        <w:t>调整为</w:t>
      </w:r>
      <w:r w:rsidRPr="00AD35A5">
        <w:rPr>
          <w:sz w:val="24"/>
        </w:rPr>
        <w:t>由</w:t>
      </w:r>
      <w:r w:rsidRPr="00536AAF">
        <w:rPr>
          <w:sz w:val="24"/>
        </w:rPr>
        <w:t>中证指数有限公司</w:t>
      </w:r>
      <w:r w:rsidRPr="00AD35A5">
        <w:rPr>
          <w:sz w:val="24"/>
        </w:rPr>
        <w:t>计算。</w:t>
      </w:r>
      <w:r w:rsidR="00F4677E" w:rsidRPr="00AD35A5">
        <w:rPr>
          <w:sz w:val="24"/>
        </w:rPr>
        <w:t>基金管理人</w:t>
      </w:r>
      <w:r w:rsidR="00184F40" w:rsidRPr="00AD35A5">
        <w:rPr>
          <w:sz w:val="24"/>
        </w:rPr>
        <w:t>据此</w:t>
      </w:r>
      <w:r w:rsidR="00F4677E" w:rsidRPr="00AD35A5">
        <w:rPr>
          <w:sz w:val="24"/>
        </w:rPr>
        <w:t>对</w:t>
      </w:r>
      <w:r w:rsidR="00636375" w:rsidRPr="00AD35A5">
        <w:rPr>
          <w:sz w:val="24"/>
        </w:rPr>
        <w:t>华夏上证</w:t>
      </w:r>
      <w:r w:rsidR="00636375" w:rsidRPr="00AD35A5">
        <w:rPr>
          <w:sz w:val="24"/>
        </w:rPr>
        <w:t>50ETF</w:t>
      </w:r>
      <w:r w:rsidR="00636375" w:rsidRPr="00AD35A5">
        <w:rPr>
          <w:sz w:val="24"/>
        </w:rPr>
        <w:t>基金合同及招募说明书（更新）</w:t>
      </w:r>
      <w:r w:rsidR="002D0DBE">
        <w:rPr>
          <w:rFonts w:hint="eastAsia"/>
          <w:sz w:val="24"/>
        </w:rPr>
        <w:t>、</w:t>
      </w:r>
      <w:r w:rsidR="00636375" w:rsidRPr="00AD35A5">
        <w:rPr>
          <w:sz w:val="24"/>
        </w:rPr>
        <w:t>华夏消费</w:t>
      </w:r>
      <w:r w:rsidR="00636375" w:rsidRPr="00AD35A5">
        <w:rPr>
          <w:sz w:val="24"/>
        </w:rPr>
        <w:t>ETF</w:t>
      </w:r>
      <w:r w:rsidR="002D0DBE">
        <w:rPr>
          <w:rFonts w:hint="eastAsia"/>
          <w:sz w:val="24"/>
        </w:rPr>
        <w:t>及</w:t>
      </w:r>
      <w:r w:rsidR="00636375" w:rsidRPr="00AD35A5">
        <w:rPr>
          <w:sz w:val="24"/>
        </w:rPr>
        <w:t>华夏上证科创板</w:t>
      </w:r>
      <w:r w:rsidR="00636375" w:rsidRPr="00AD35A5">
        <w:rPr>
          <w:sz w:val="24"/>
        </w:rPr>
        <w:t>50</w:t>
      </w:r>
      <w:r w:rsidR="00636375" w:rsidRPr="00AD35A5">
        <w:rPr>
          <w:sz w:val="24"/>
        </w:rPr>
        <w:t>成份</w:t>
      </w:r>
      <w:r w:rsidR="00636375" w:rsidRPr="00AD35A5">
        <w:rPr>
          <w:sz w:val="24"/>
        </w:rPr>
        <w:t>ETF</w:t>
      </w:r>
      <w:r w:rsidR="00636375" w:rsidRPr="00AD35A5">
        <w:rPr>
          <w:sz w:val="24"/>
        </w:rPr>
        <w:t>招募说明书（更</w:t>
      </w:r>
      <w:r w:rsidR="00636375" w:rsidRPr="00AD35A5">
        <w:rPr>
          <w:sz w:val="24"/>
        </w:rPr>
        <w:lastRenderedPageBreak/>
        <w:t>新）中</w:t>
      </w:r>
      <w:r w:rsidR="00636375" w:rsidRPr="00536AAF">
        <w:rPr>
          <w:sz w:val="24"/>
        </w:rPr>
        <w:t>IOPV</w:t>
      </w:r>
      <w:r w:rsidR="00636375" w:rsidRPr="00536AAF">
        <w:rPr>
          <w:sz w:val="24"/>
        </w:rPr>
        <w:t>计算</w:t>
      </w:r>
      <w:r w:rsidR="00636375" w:rsidRPr="00AD35A5">
        <w:rPr>
          <w:sz w:val="24"/>
        </w:rPr>
        <w:t>的相关内容进行了修订</w:t>
      </w:r>
      <w:r w:rsidR="00362EC0" w:rsidRPr="00AD35A5">
        <w:rPr>
          <w:sz w:val="24"/>
        </w:rPr>
        <w:t>，修订内容如下：</w:t>
      </w:r>
    </w:p>
    <w:p w:rsidR="00D169AD" w:rsidRPr="00536AAF" w:rsidRDefault="00D169AD" w:rsidP="00D169AD">
      <w:pPr>
        <w:spacing w:line="360" w:lineRule="auto"/>
        <w:ind w:firstLineChars="200" w:firstLine="480"/>
        <w:rPr>
          <w:sz w:val="24"/>
        </w:rPr>
      </w:pPr>
      <w:r w:rsidRPr="00AD35A5">
        <w:rPr>
          <w:sz w:val="24"/>
        </w:rPr>
        <w:t>（一）</w:t>
      </w:r>
      <w:r w:rsidR="00536AAF" w:rsidRPr="00AD35A5">
        <w:rPr>
          <w:sz w:val="24"/>
        </w:rPr>
        <w:t>华夏上证</w:t>
      </w:r>
      <w:r w:rsidR="00536AAF" w:rsidRPr="00AD35A5">
        <w:rPr>
          <w:sz w:val="24"/>
        </w:rPr>
        <w:t>50ETF</w:t>
      </w:r>
    </w:p>
    <w:p w:rsidR="00FC287B" w:rsidRPr="00536AAF" w:rsidRDefault="00665596" w:rsidP="00D169AD">
      <w:pPr>
        <w:spacing w:line="360" w:lineRule="auto"/>
        <w:ind w:firstLineChars="200" w:firstLine="480"/>
        <w:rPr>
          <w:sz w:val="24"/>
        </w:rPr>
      </w:pPr>
      <w:r w:rsidRPr="00536AAF">
        <w:rPr>
          <w:sz w:val="24"/>
        </w:rPr>
        <w:t>1</w:t>
      </w:r>
      <w:r w:rsidRPr="00AD35A5">
        <w:rPr>
          <w:sz w:val="24"/>
        </w:rPr>
        <w:t>、基金合同修订</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9"/>
        <w:gridCol w:w="1302"/>
        <w:gridCol w:w="2957"/>
        <w:gridCol w:w="2964"/>
      </w:tblGrid>
      <w:tr w:rsidR="00FC287B" w:rsidRPr="00AD35A5" w:rsidTr="00B80051">
        <w:tc>
          <w:tcPr>
            <w:tcW w:w="762" w:type="pct"/>
            <w:tcBorders>
              <w:top w:val="single" w:sz="4" w:space="0" w:color="000000"/>
              <w:left w:val="single" w:sz="4" w:space="0" w:color="000000"/>
              <w:bottom w:val="single" w:sz="4" w:space="0" w:color="000000"/>
              <w:right w:val="single" w:sz="4" w:space="0" w:color="000000"/>
            </w:tcBorders>
          </w:tcPr>
          <w:p w:rsidR="00FC287B" w:rsidRPr="00AD35A5" w:rsidRDefault="00FC287B" w:rsidP="00B80051">
            <w:pPr>
              <w:spacing w:line="360" w:lineRule="auto"/>
              <w:jc w:val="center"/>
              <w:rPr>
                <w:b/>
                <w:bCs/>
                <w:szCs w:val="21"/>
              </w:rPr>
            </w:pPr>
            <w:r w:rsidRPr="00AD35A5">
              <w:rPr>
                <w:b/>
                <w:bCs/>
                <w:szCs w:val="21"/>
              </w:rPr>
              <w:t>章节</w:t>
            </w:r>
          </w:p>
        </w:tc>
        <w:tc>
          <w:tcPr>
            <w:tcW w:w="764" w:type="pct"/>
            <w:tcBorders>
              <w:top w:val="single" w:sz="4" w:space="0" w:color="000000"/>
              <w:left w:val="single" w:sz="4" w:space="0" w:color="000000"/>
              <w:bottom w:val="single" w:sz="4" w:space="0" w:color="000000"/>
              <w:right w:val="single" w:sz="4" w:space="0" w:color="000000"/>
            </w:tcBorders>
          </w:tcPr>
          <w:p w:rsidR="00FC287B" w:rsidRPr="00AD35A5" w:rsidRDefault="00FC287B" w:rsidP="00B80051">
            <w:pPr>
              <w:spacing w:line="360" w:lineRule="auto"/>
              <w:jc w:val="center"/>
              <w:rPr>
                <w:b/>
                <w:bCs/>
                <w:szCs w:val="21"/>
              </w:rPr>
            </w:pPr>
            <w:r w:rsidRPr="00AD35A5">
              <w:rPr>
                <w:b/>
                <w:bCs/>
                <w:szCs w:val="21"/>
              </w:rPr>
              <w:t>标题</w:t>
            </w:r>
          </w:p>
        </w:tc>
        <w:tc>
          <w:tcPr>
            <w:tcW w:w="1735" w:type="pct"/>
            <w:tcBorders>
              <w:top w:val="single" w:sz="4" w:space="0" w:color="000000"/>
              <w:left w:val="single" w:sz="4" w:space="0" w:color="000000"/>
              <w:bottom w:val="single" w:sz="4" w:space="0" w:color="000000"/>
              <w:right w:val="single" w:sz="4" w:space="0" w:color="000000"/>
            </w:tcBorders>
          </w:tcPr>
          <w:p w:rsidR="00FC287B" w:rsidRPr="00AD35A5" w:rsidRDefault="00FC287B" w:rsidP="00B80051">
            <w:pPr>
              <w:spacing w:line="360" w:lineRule="auto"/>
              <w:jc w:val="center"/>
              <w:rPr>
                <w:b/>
                <w:bCs/>
                <w:szCs w:val="21"/>
              </w:rPr>
            </w:pPr>
            <w:r w:rsidRPr="00AD35A5">
              <w:rPr>
                <w:b/>
                <w:bCs/>
                <w:szCs w:val="21"/>
              </w:rPr>
              <w:t>修订前</w:t>
            </w:r>
          </w:p>
        </w:tc>
        <w:tc>
          <w:tcPr>
            <w:tcW w:w="1739" w:type="pct"/>
            <w:tcBorders>
              <w:top w:val="single" w:sz="4" w:space="0" w:color="000000"/>
              <w:left w:val="single" w:sz="4" w:space="0" w:color="000000"/>
              <w:bottom w:val="single" w:sz="4" w:space="0" w:color="000000"/>
              <w:right w:val="single" w:sz="4" w:space="0" w:color="000000"/>
            </w:tcBorders>
          </w:tcPr>
          <w:p w:rsidR="00FC287B" w:rsidRPr="00AD35A5" w:rsidRDefault="00FC287B" w:rsidP="00B80051">
            <w:pPr>
              <w:spacing w:line="360" w:lineRule="auto"/>
              <w:jc w:val="center"/>
              <w:rPr>
                <w:b/>
                <w:bCs/>
                <w:szCs w:val="21"/>
              </w:rPr>
            </w:pPr>
            <w:r w:rsidRPr="00AD35A5">
              <w:rPr>
                <w:b/>
                <w:bCs/>
                <w:szCs w:val="21"/>
              </w:rPr>
              <w:t>修订后</w:t>
            </w:r>
          </w:p>
        </w:tc>
      </w:tr>
      <w:tr w:rsidR="00FC287B" w:rsidRPr="00AD35A5" w:rsidTr="00B80051">
        <w:tc>
          <w:tcPr>
            <w:tcW w:w="762" w:type="pct"/>
            <w:tcBorders>
              <w:top w:val="single" w:sz="4" w:space="0" w:color="000000"/>
              <w:left w:val="single" w:sz="4" w:space="0" w:color="000000"/>
              <w:right w:val="single" w:sz="4" w:space="0" w:color="000000"/>
            </w:tcBorders>
          </w:tcPr>
          <w:p w:rsidR="00FC287B" w:rsidRPr="00536AAF" w:rsidRDefault="00FC287B" w:rsidP="00B80051">
            <w:pPr>
              <w:spacing w:line="360" w:lineRule="auto"/>
              <w:jc w:val="left"/>
              <w:rPr>
                <w:szCs w:val="21"/>
              </w:rPr>
            </w:pPr>
            <w:bookmarkStart w:id="1" w:name="_Toc88553960"/>
            <w:r w:rsidRPr="00AD35A5">
              <w:t>二、释义</w:t>
            </w:r>
            <w:bookmarkEnd w:id="1"/>
          </w:p>
        </w:tc>
        <w:tc>
          <w:tcPr>
            <w:tcW w:w="764" w:type="pct"/>
            <w:tcBorders>
              <w:top w:val="single" w:sz="4" w:space="0" w:color="000000"/>
              <w:left w:val="single" w:sz="4" w:space="0" w:color="000000"/>
              <w:right w:val="single" w:sz="4" w:space="0" w:color="000000"/>
            </w:tcBorders>
          </w:tcPr>
          <w:p w:rsidR="00FC287B" w:rsidRPr="00AD35A5" w:rsidRDefault="00FC287B" w:rsidP="00B80051">
            <w:pPr>
              <w:spacing w:line="360" w:lineRule="auto"/>
              <w:jc w:val="center"/>
              <w:rPr>
                <w:bCs/>
                <w:szCs w:val="21"/>
              </w:rPr>
            </w:pPr>
          </w:p>
        </w:tc>
        <w:tc>
          <w:tcPr>
            <w:tcW w:w="1735" w:type="pct"/>
            <w:tcBorders>
              <w:top w:val="single" w:sz="4" w:space="0" w:color="000000"/>
              <w:left w:val="single" w:sz="4" w:space="0" w:color="000000"/>
              <w:bottom w:val="single" w:sz="4" w:space="0" w:color="000000"/>
              <w:right w:val="single" w:sz="4" w:space="0" w:color="000000"/>
            </w:tcBorders>
          </w:tcPr>
          <w:p w:rsidR="00FC287B" w:rsidRPr="00536AAF" w:rsidRDefault="00FC287B" w:rsidP="00B80051">
            <w:pPr>
              <w:spacing w:line="360" w:lineRule="auto"/>
              <w:jc w:val="left"/>
              <w:rPr>
                <w:b/>
                <w:i/>
              </w:rPr>
            </w:pPr>
            <w:r w:rsidRPr="00AD35A5">
              <w:t>基金份额参考净值：指上海证券交易所在交易时间内根据基金管理人提供的申购、赎回清单和组合证券内各只证券的实时成交数据计算并发布的基金份额参考净值，简称</w:t>
            </w:r>
            <w:r w:rsidRPr="00AD35A5">
              <w:t>IOPV</w:t>
            </w:r>
          </w:p>
        </w:tc>
        <w:tc>
          <w:tcPr>
            <w:tcW w:w="1739" w:type="pct"/>
            <w:tcBorders>
              <w:top w:val="single" w:sz="4" w:space="0" w:color="000000"/>
              <w:left w:val="single" w:sz="4" w:space="0" w:color="000000"/>
              <w:bottom w:val="single" w:sz="4" w:space="0" w:color="000000"/>
              <w:right w:val="single" w:sz="4" w:space="0" w:color="000000"/>
            </w:tcBorders>
          </w:tcPr>
          <w:p w:rsidR="00FC287B" w:rsidRPr="00AD35A5" w:rsidRDefault="00FC287B" w:rsidP="00D538E6">
            <w:pPr>
              <w:spacing w:line="360" w:lineRule="auto"/>
            </w:pPr>
            <w:r w:rsidRPr="00AD35A5">
              <w:t>基金份额参考净值：</w:t>
            </w:r>
            <w:r w:rsidR="00D538E6" w:rsidRPr="00AD35A5">
              <w:rPr>
                <w:b/>
                <w:i/>
              </w:rPr>
              <w:t>指</w:t>
            </w:r>
            <w:r w:rsidR="00D538E6" w:rsidRPr="00AD35A5">
              <w:rPr>
                <w:b/>
                <w:bCs/>
                <w:i/>
                <w:kern w:val="0"/>
                <w:szCs w:val="21"/>
              </w:rPr>
              <w:t>由基金管理人或基金管理人委托的机构</w:t>
            </w:r>
            <w:r w:rsidR="00D538E6" w:rsidRPr="00AD35A5">
              <w:rPr>
                <w:b/>
                <w:i/>
              </w:rPr>
              <w:t>在交易时间内根据申购、赎回清单和组合证券内各只证券的实时成交数据计算并由上海证券交易所发布的基金份额参考净值</w:t>
            </w:r>
            <w:r w:rsidR="00D538E6" w:rsidRPr="00AD35A5">
              <w:t>，简称</w:t>
            </w:r>
            <w:r w:rsidR="00D538E6" w:rsidRPr="00AD35A5">
              <w:t>IOPV</w:t>
            </w:r>
          </w:p>
        </w:tc>
      </w:tr>
    </w:tbl>
    <w:p w:rsidR="00665596" w:rsidRPr="00536AAF" w:rsidRDefault="00665596" w:rsidP="00D169AD">
      <w:pPr>
        <w:spacing w:line="360" w:lineRule="auto"/>
        <w:ind w:firstLineChars="200" w:firstLine="480"/>
        <w:rPr>
          <w:sz w:val="24"/>
        </w:rPr>
      </w:pPr>
      <w:r w:rsidRPr="00AD35A5">
        <w:rPr>
          <w:sz w:val="24"/>
        </w:rPr>
        <w:t>2</w:t>
      </w:r>
      <w:r w:rsidRPr="00AD35A5">
        <w:rPr>
          <w:sz w:val="24"/>
        </w:rPr>
        <w:t>、招募说明书</w:t>
      </w:r>
      <w:r w:rsidR="00536AAF">
        <w:rPr>
          <w:rFonts w:hint="eastAsia"/>
          <w:sz w:val="24"/>
        </w:rPr>
        <w:t>（更新）</w:t>
      </w:r>
      <w:r w:rsidRPr="00AD35A5">
        <w:rPr>
          <w:sz w:val="24"/>
        </w:rPr>
        <w:t>修订</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9"/>
        <w:gridCol w:w="1302"/>
        <w:gridCol w:w="2957"/>
        <w:gridCol w:w="2964"/>
      </w:tblGrid>
      <w:tr w:rsidR="00D169AD" w:rsidRPr="00625E99" w:rsidTr="00B80051">
        <w:tc>
          <w:tcPr>
            <w:tcW w:w="762" w:type="pct"/>
            <w:tcBorders>
              <w:top w:val="single" w:sz="4" w:space="0" w:color="000000"/>
              <w:left w:val="single" w:sz="4" w:space="0" w:color="000000"/>
              <w:bottom w:val="single" w:sz="4" w:space="0" w:color="000000"/>
              <w:right w:val="single" w:sz="4" w:space="0" w:color="000000"/>
            </w:tcBorders>
          </w:tcPr>
          <w:p w:rsidR="00D169AD" w:rsidRPr="00625E99" w:rsidRDefault="00D169AD" w:rsidP="00B80051">
            <w:pPr>
              <w:spacing w:line="360" w:lineRule="auto"/>
              <w:jc w:val="center"/>
              <w:rPr>
                <w:b/>
                <w:bCs/>
                <w:szCs w:val="21"/>
              </w:rPr>
            </w:pPr>
            <w:r w:rsidRPr="00625E99">
              <w:rPr>
                <w:b/>
                <w:bCs/>
                <w:szCs w:val="21"/>
              </w:rPr>
              <w:t>章节</w:t>
            </w:r>
          </w:p>
        </w:tc>
        <w:tc>
          <w:tcPr>
            <w:tcW w:w="764" w:type="pct"/>
            <w:tcBorders>
              <w:top w:val="single" w:sz="4" w:space="0" w:color="000000"/>
              <w:left w:val="single" w:sz="4" w:space="0" w:color="000000"/>
              <w:bottom w:val="single" w:sz="4" w:space="0" w:color="000000"/>
              <w:right w:val="single" w:sz="4" w:space="0" w:color="000000"/>
            </w:tcBorders>
          </w:tcPr>
          <w:p w:rsidR="00D169AD" w:rsidRPr="00625E99" w:rsidRDefault="00D169AD" w:rsidP="00B80051">
            <w:pPr>
              <w:spacing w:line="360" w:lineRule="auto"/>
              <w:jc w:val="center"/>
              <w:rPr>
                <w:b/>
                <w:bCs/>
                <w:szCs w:val="21"/>
              </w:rPr>
            </w:pPr>
            <w:r w:rsidRPr="00625E99">
              <w:rPr>
                <w:b/>
                <w:bCs/>
                <w:szCs w:val="21"/>
              </w:rPr>
              <w:t>标题</w:t>
            </w:r>
          </w:p>
        </w:tc>
        <w:tc>
          <w:tcPr>
            <w:tcW w:w="1735" w:type="pct"/>
            <w:tcBorders>
              <w:top w:val="single" w:sz="4" w:space="0" w:color="000000"/>
              <w:left w:val="single" w:sz="4" w:space="0" w:color="000000"/>
              <w:bottom w:val="single" w:sz="4" w:space="0" w:color="000000"/>
              <w:right w:val="single" w:sz="4" w:space="0" w:color="000000"/>
            </w:tcBorders>
          </w:tcPr>
          <w:p w:rsidR="00D169AD" w:rsidRPr="00625E99" w:rsidRDefault="00D169AD" w:rsidP="00B80051">
            <w:pPr>
              <w:spacing w:line="360" w:lineRule="auto"/>
              <w:jc w:val="center"/>
              <w:rPr>
                <w:b/>
                <w:bCs/>
                <w:szCs w:val="21"/>
              </w:rPr>
            </w:pPr>
            <w:r w:rsidRPr="00625E99">
              <w:rPr>
                <w:b/>
                <w:bCs/>
                <w:szCs w:val="21"/>
              </w:rPr>
              <w:t>修订前</w:t>
            </w:r>
          </w:p>
        </w:tc>
        <w:tc>
          <w:tcPr>
            <w:tcW w:w="1739" w:type="pct"/>
            <w:tcBorders>
              <w:top w:val="single" w:sz="4" w:space="0" w:color="000000"/>
              <w:left w:val="single" w:sz="4" w:space="0" w:color="000000"/>
              <w:bottom w:val="single" w:sz="4" w:space="0" w:color="000000"/>
              <w:right w:val="single" w:sz="4" w:space="0" w:color="000000"/>
            </w:tcBorders>
          </w:tcPr>
          <w:p w:rsidR="00D169AD" w:rsidRPr="00625E99" w:rsidRDefault="00D169AD" w:rsidP="00B80051">
            <w:pPr>
              <w:spacing w:line="360" w:lineRule="auto"/>
              <w:jc w:val="center"/>
              <w:rPr>
                <w:b/>
                <w:bCs/>
                <w:szCs w:val="21"/>
              </w:rPr>
            </w:pPr>
            <w:r w:rsidRPr="00625E99">
              <w:rPr>
                <w:b/>
                <w:bCs/>
                <w:szCs w:val="21"/>
              </w:rPr>
              <w:t>修订后</w:t>
            </w:r>
          </w:p>
        </w:tc>
      </w:tr>
      <w:tr w:rsidR="00D169AD" w:rsidRPr="00625E99" w:rsidTr="00B80051">
        <w:tc>
          <w:tcPr>
            <w:tcW w:w="762" w:type="pct"/>
            <w:tcBorders>
              <w:top w:val="single" w:sz="4" w:space="0" w:color="000000"/>
              <w:left w:val="single" w:sz="4" w:space="0" w:color="000000"/>
              <w:right w:val="single" w:sz="4" w:space="0" w:color="000000"/>
            </w:tcBorders>
          </w:tcPr>
          <w:p w:rsidR="00D169AD" w:rsidRPr="00536AAF" w:rsidRDefault="00D169AD" w:rsidP="00B80051">
            <w:pPr>
              <w:spacing w:line="360" w:lineRule="auto"/>
              <w:jc w:val="left"/>
              <w:rPr>
                <w:szCs w:val="21"/>
              </w:rPr>
            </w:pPr>
            <w:bookmarkStart w:id="2" w:name="_Toc66802472"/>
            <w:r w:rsidRPr="00625E99">
              <w:t>九、基金份额的上市交易</w:t>
            </w:r>
            <w:bookmarkEnd w:id="2"/>
          </w:p>
        </w:tc>
        <w:tc>
          <w:tcPr>
            <w:tcW w:w="764" w:type="pct"/>
            <w:tcBorders>
              <w:top w:val="single" w:sz="4" w:space="0" w:color="000000"/>
              <w:left w:val="single" w:sz="4" w:space="0" w:color="000000"/>
              <w:right w:val="single" w:sz="4" w:space="0" w:color="000000"/>
            </w:tcBorders>
          </w:tcPr>
          <w:p w:rsidR="00D169AD" w:rsidRPr="00536AAF" w:rsidRDefault="00D169AD" w:rsidP="00B80051">
            <w:pPr>
              <w:spacing w:line="360" w:lineRule="auto"/>
              <w:jc w:val="center"/>
              <w:rPr>
                <w:bCs/>
                <w:szCs w:val="21"/>
              </w:rPr>
            </w:pPr>
            <w:r w:rsidRPr="00625E99">
              <w:t>（三）基金份额参考净值的计算与公告</w:t>
            </w:r>
          </w:p>
        </w:tc>
        <w:tc>
          <w:tcPr>
            <w:tcW w:w="1735" w:type="pct"/>
            <w:tcBorders>
              <w:top w:val="single" w:sz="4" w:space="0" w:color="000000"/>
              <w:left w:val="single" w:sz="4" w:space="0" w:color="000000"/>
              <w:bottom w:val="single" w:sz="4" w:space="0" w:color="000000"/>
              <w:right w:val="single" w:sz="4" w:space="0" w:color="000000"/>
            </w:tcBorders>
          </w:tcPr>
          <w:p w:rsidR="00D169AD" w:rsidRPr="00625E99" w:rsidRDefault="00D169AD" w:rsidP="00B80051">
            <w:pPr>
              <w:spacing w:line="360" w:lineRule="auto"/>
              <w:jc w:val="left"/>
            </w:pPr>
            <w:r w:rsidRPr="00625E99">
              <w:t>基金管理人在每一交易日开市前向上海证券交易所提供当日的申购、赎回清单，上海证券交易所在开市后根据申购、赎回清单和组合证券内各只证券的实时成交数据，计算并发布基金份额参考净值（</w:t>
            </w:r>
            <w:r w:rsidRPr="00536AAF">
              <w:t>IOPV</w:t>
            </w:r>
            <w:r w:rsidRPr="00625E99">
              <w:t>），供投资者交易、申购、赎回基金份额时参考。</w:t>
            </w:r>
          </w:p>
          <w:p w:rsidR="00D169AD" w:rsidRPr="00536AAF" w:rsidRDefault="00D169AD" w:rsidP="00B80051">
            <w:pPr>
              <w:spacing w:line="360" w:lineRule="auto"/>
              <w:jc w:val="left"/>
              <w:rPr>
                <w:b/>
                <w:i/>
              </w:rPr>
            </w:pPr>
            <w:r w:rsidRPr="00625E99">
              <w:t>……</w:t>
            </w:r>
          </w:p>
        </w:tc>
        <w:tc>
          <w:tcPr>
            <w:tcW w:w="1739" w:type="pct"/>
            <w:tcBorders>
              <w:top w:val="single" w:sz="4" w:space="0" w:color="000000"/>
              <w:left w:val="single" w:sz="4" w:space="0" w:color="000000"/>
              <w:bottom w:val="single" w:sz="4" w:space="0" w:color="000000"/>
              <w:right w:val="single" w:sz="4" w:space="0" w:color="000000"/>
            </w:tcBorders>
          </w:tcPr>
          <w:p w:rsidR="00625E99" w:rsidRDefault="00D538E6" w:rsidP="00B80051">
            <w:pPr>
              <w:spacing w:line="360" w:lineRule="auto"/>
              <w:rPr>
                <w:b/>
                <w:i/>
              </w:rPr>
            </w:pPr>
            <w:r w:rsidRPr="00536AAF">
              <w:rPr>
                <w:b/>
                <w:i/>
                <w:kern w:val="0"/>
                <w:szCs w:val="21"/>
              </w:rPr>
              <w:t>基金管理人在每一交易日开市前公告当日的申购、赎回清单，</w:t>
            </w:r>
            <w:r w:rsidRPr="00625E99">
              <w:rPr>
                <w:b/>
                <w:bCs/>
                <w:i/>
                <w:kern w:val="0"/>
                <w:szCs w:val="21"/>
              </w:rPr>
              <w:t>由基金管理人或基金管理人委托的机构</w:t>
            </w:r>
            <w:r w:rsidRPr="00625E99">
              <w:rPr>
                <w:b/>
                <w:i/>
                <w:kern w:val="0"/>
                <w:szCs w:val="21"/>
              </w:rPr>
              <w:t>在开市后根据申购、赎回清单和组合证券内各只证券的实时成交数据，计算基金份额参考净值（</w:t>
            </w:r>
            <w:r w:rsidRPr="00625E99">
              <w:rPr>
                <w:b/>
                <w:i/>
                <w:kern w:val="0"/>
                <w:szCs w:val="21"/>
              </w:rPr>
              <w:t>IOPV</w:t>
            </w:r>
            <w:r w:rsidRPr="00625E99">
              <w:rPr>
                <w:b/>
                <w:i/>
                <w:kern w:val="0"/>
                <w:szCs w:val="21"/>
              </w:rPr>
              <w:t>），并将计算结果向上海证券交易所发送，由上海证券交易所对外发布，</w:t>
            </w:r>
            <w:r w:rsidRPr="00625E99">
              <w:rPr>
                <w:b/>
                <w:bCs/>
                <w:i/>
                <w:kern w:val="0"/>
                <w:szCs w:val="21"/>
              </w:rPr>
              <w:t>仅供投资者交易、申购、赎回基金份额时参考</w:t>
            </w:r>
            <w:r w:rsidRPr="00625E99">
              <w:rPr>
                <w:b/>
                <w:i/>
              </w:rPr>
              <w:t>。</w:t>
            </w:r>
          </w:p>
          <w:p w:rsidR="00D169AD" w:rsidRPr="00625E99" w:rsidRDefault="00D169AD" w:rsidP="00B80051">
            <w:pPr>
              <w:spacing w:line="360" w:lineRule="auto"/>
            </w:pPr>
            <w:r w:rsidRPr="00625E99">
              <w:rPr>
                <w:szCs w:val="21"/>
              </w:rPr>
              <w:t>……</w:t>
            </w:r>
          </w:p>
        </w:tc>
      </w:tr>
      <w:tr w:rsidR="00D169AD" w:rsidRPr="00625E99" w:rsidTr="00B80051">
        <w:tc>
          <w:tcPr>
            <w:tcW w:w="762" w:type="pct"/>
            <w:tcBorders>
              <w:top w:val="single" w:sz="4" w:space="0" w:color="000000"/>
              <w:left w:val="single" w:sz="4" w:space="0" w:color="000000"/>
              <w:right w:val="single" w:sz="4" w:space="0" w:color="000000"/>
            </w:tcBorders>
          </w:tcPr>
          <w:p w:rsidR="00D169AD" w:rsidRPr="00536AAF" w:rsidRDefault="00D169AD" w:rsidP="00B80051">
            <w:pPr>
              <w:spacing w:line="360" w:lineRule="auto"/>
              <w:jc w:val="left"/>
              <w:rPr>
                <w:b/>
                <w:bCs/>
                <w:szCs w:val="21"/>
              </w:rPr>
            </w:pPr>
            <w:r w:rsidRPr="00625E99">
              <w:rPr>
                <w:bCs/>
                <w:kern w:val="44"/>
              </w:rPr>
              <w:t>十九、风险揭示</w:t>
            </w:r>
          </w:p>
        </w:tc>
        <w:tc>
          <w:tcPr>
            <w:tcW w:w="764" w:type="pct"/>
            <w:tcBorders>
              <w:top w:val="single" w:sz="4" w:space="0" w:color="000000"/>
              <w:left w:val="single" w:sz="4" w:space="0" w:color="000000"/>
              <w:right w:val="single" w:sz="4" w:space="0" w:color="000000"/>
            </w:tcBorders>
          </w:tcPr>
          <w:p w:rsidR="00D169AD" w:rsidRPr="00536AAF" w:rsidRDefault="00D169AD" w:rsidP="00B80051">
            <w:pPr>
              <w:spacing w:line="360" w:lineRule="auto"/>
              <w:jc w:val="center"/>
              <w:rPr>
                <w:b/>
                <w:bCs/>
                <w:szCs w:val="21"/>
              </w:rPr>
            </w:pPr>
            <w:r w:rsidRPr="00625E99">
              <w:t>（一）投资于本基金的主要风险</w:t>
            </w:r>
          </w:p>
        </w:tc>
        <w:tc>
          <w:tcPr>
            <w:tcW w:w="1735" w:type="pct"/>
            <w:tcBorders>
              <w:top w:val="single" w:sz="4" w:space="0" w:color="000000"/>
              <w:left w:val="single" w:sz="4" w:space="0" w:color="000000"/>
              <w:bottom w:val="single" w:sz="4" w:space="0" w:color="000000"/>
              <w:right w:val="single" w:sz="4" w:space="0" w:color="000000"/>
            </w:tcBorders>
          </w:tcPr>
          <w:p w:rsidR="00D169AD" w:rsidRPr="00625E99" w:rsidRDefault="00D169AD" w:rsidP="00B80051">
            <w:pPr>
              <w:spacing w:line="360" w:lineRule="auto"/>
              <w:jc w:val="left"/>
              <w:rPr>
                <w:b/>
                <w:bCs/>
                <w:szCs w:val="21"/>
              </w:rPr>
            </w:pPr>
            <w:r w:rsidRPr="00625E99">
              <w:rPr>
                <w:b/>
                <w:bCs/>
                <w:szCs w:val="21"/>
              </w:rPr>
              <w:t>……</w:t>
            </w:r>
          </w:p>
          <w:p w:rsidR="00D169AD" w:rsidRPr="00536AAF" w:rsidRDefault="00D169AD" w:rsidP="00B80051">
            <w:pPr>
              <w:pStyle w:val="affc"/>
              <w:tabs>
                <w:tab w:val="left" w:pos="3686"/>
              </w:tabs>
              <w:autoSpaceDE w:val="0"/>
              <w:autoSpaceDN w:val="0"/>
              <w:adjustRightInd w:val="0"/>
              <w:spacing w:line="360" w:lineRule="auto"/>
            </w:pPr>
            <w:r w:rsidRPr="00625E99">
              <w:t>8</w:t>
            </w:r>
            <w:r w:rsidRPr="00625E99">
              <w:t>、参考</w:t>
            </w:r>
            <w:r w:rsidRPr="00536AAF">
              <w:t>IOPV</w:t>
            </w:r>
            <w:r w:rsidRPr="00625E99">
              <w:t>决策和</w:t>
            </w:r>
            <w:r w:rsidRPr="00536AAF">
              <w:t>IOPV</w:t>
            </w:r>
            <w:r w:rsidRPr="00625E99">
              <w:t>计算错误的风险</w:t>
            </w:r>
          </w:p>
          <w:p w:rsidR="00D169AD" w:rsidRPr="00625E99" w:rsidRDefault="00D169AD" w:rsidP="00B80051">
            <w:pPr>
              <w:spacing w:line="360" w:lineRule="auto"/>
              <w:jc w:val="left"/>
            </w:pPr>
            <w:r w:rsidRPr="00625E99">
              <w:t>证券交易所在开市后根据申</w:t>
            </w:r>
            <w:r w:rsidRPr="00625E99">
              <w:lastRenderedPageBreak/>
              <w:t>购、赎回清单和组合证券内各只证券的实时成交数据，计算并发布基金份额参考净值（</w:t>
            </w:r>
            <w:r w:rsidRPr="00536AAF">
              <w:t>IOPV</w:t>
            </w:r>
            <w:r w:rsidRPr="00625E99">
              <w:t>），供投资者交易、申购、赎回基金份额时参考。</w:t>
            </w:r>
            <w:r w:rsidRPr="00536AAF">
              <w:t>IOPV</w:t>
            </w:r>
            <w:r w:rsidRPr="00625E99">
              <w:t>与实时的基金份额净值可能存在差异，</w:t>
            </w:r>
            <w:r w:rsidRPr="00536AAF">
              <w:t>IOPV</w:t>
            </w:r>
            <w:r w:rsidRPr="00625E99">
              <w:t>计算可能出现错误，投资者若参考</w:t>
            </w:r>
            <w:r w:rsidRPr="00536AAF">
              <w:t>IOPV</w:t>
            </w:r>
            <w:r w:rsidRPr="00625E99">
              <w:t>进行投资决策可能导致损失，需投资者自行承担。</w:t>
            </w:r>
          </w:p>
          <w:p w:rsidR="00D169AD" w:rsidRPr="00536AAF" w:rsidRDefault="00D169AD" w:rsidP="00B80051">
            <w:pPr>
              <w:spacing w:line="360" w:lineRule="auto"/>
              <w:rPr>
                <w:b/>
                <w:bCs/>
                <w:i/>
                <w:szCs w:val="21"/>
              </w:rPr>
            </w:pPr>
            <w:r w:rsidRPr="00536AAF">
              <w:rPr>
                <w:b/>
                <w:bCs/>
                <w:i/>
                <w:szCs w:val="21"/>
              </w:rPr>
              <w:t>……</w:t>
            </w:r>
          </w:p>
        </w:tc>
        <w:tc>
          <w:tcPr>
            <w:tcW w:w="1739" w:type="pct"/>
            <w:tcBorders>
              <w:top w:val="single" w:sz="4" w:space="0" w:color="000000"/>
              <w:left w:val="single" w:sz="4" w:space="0" w:color="000000"/>
              <w:bottom w:val="single" w:sz="4" w:space="0" w:color="000000"/>
              <w:right w:val="single" w:sz="4" w:space="0" w:color="000000"/>
            </w:tcBorders>
          </w:tcPr>
          <w:p w:rsidR="00D169AD" w:rsidRPr="00625E99" w:rsidRDefault="00D169AD" w:rsidP="00B80051">
            <w:pPr>
              <w:spacing w:line="360" w:lineRule="auto"/>
              <w:rPr>
                <w:b/>
                <w:bCs/>
                <w:i/>
                <w:szCs w:val="21"/>
              </w:rPr>
            </w:pPr>
            <w:r w:rsidRPr="00625E99">
              <w:rPr>
                <w:b/>
                <w:bCs/>
                <w:i/>
                <w:szCs w:val="21"/>
              </w:rPr>
              <w:lastRenderedPageBreak/>
              <w:t>……</w:t>
            </w:r>
          </w:p>
          <w:p w:rsidR="00D169AD" w:rsidRPr="00536AAF" w:rsidRDefault="00D169AD" w:rsidP="00B80051">
            <w:pPr>
              <w:pStyle w:val="affc"/>
              <w:tabs>
                <w:tab w:val="left" w:pos="3686"/>
              </w:tabs>
              <w:autoSpaceDE w:val="0"/>
              <w:autoSpaceDN w:val="0"/>
              <w:adjustRightInd w:val="0"/>
              <w:spacing w:line="360" w:lineRule="auto"/>
            </w:pPr>
            <w:r w:rsidRPr="00625E99">
              <w:t>8</w:t>
            </w:r>
            <w:r w:rsidRPr="00625E99">
              <w:t>、参考</w:t>
            </w:r>
            <w:r w:rsidRPr="00536AAF">
              <w:t>IOPV</w:t>
            </w:r>
            <w:r w:rsidRPr="00625E99">
              <w:t>决策和</w:t>
            </w:r>
            <w:r w:rsidRPr="00536AAF">
              <w:t>IOPV</w:t>
            </w:r>
            <w:r w:rsidRPr="00625E99">
              <w:t>计算错误的风险</w:t>
            </w:r>
          </w:p>
          <w:p w:rsidR="00625E99" w:rsidRDefault="00D538E6" w:rsidP="00B80051">
            <w:pPr>
              <w:spacing w:line="360" w:lineRule="auto"/>
              <w:rPr>
                <w:b/>
                <w:i/>
              </w:rPr>
            </w:pPr>
            <w:r w:rsidRPr="00625E99">
              <w:rPr>
                <w:b/>
                <w:i/>
              </w:rPr>
              <w:t>证券交易所在开市后发布基金</w:t>
            </w:r>
            <w:r w:rsidRPr="00625E99">
              <w:rPr>
                <w:b/>
                <w:i/>
              </w:rPr>
              <w:lastRenderedPageBreak/>
              <w:t>份额参考净值（</w:t>
            </w:r>
            <w:r w:rsidRPr="00625E99">
              <w:rPr>
                <w:b/>
                <w:i/>
              </w:rPr>
              <w:t>IOPV</w:t>
            </w:r>
            <w:r w:rsidRPr="00625E99">
              <w:rPr>
                <w:b/>
                <w:i/>
              </w:rPr>
              <w:t>），供投资者交易、申购、赎回基金份额时参考，存在</w:t>
            </w:r>
            <w:r w:rsidRPr="00625E99">
              <w:rPr>
                <w:b/>
                <w:i/>
              </w:rPr>
              <w:t>IOPV</w:t>
            </w:r>
            <w:r w:rsidRPr="00625E99">
              <w:rPr>
                <w:b/>
                <w:i/>
              </w:rPr>
              <w:t>不予发布的风险。</w:t>
            </w:r>
            <w:r w:rsidRPr="00625E99">
              <w:rPr>
                <w:b/>
                <w:i/>
              </w:rPr>
              <w:t>IOPV</w:t>
            </w:r>
            <w:r w:rsidRPr="00625E99">
              <w:rPr>
                <w:b/>
                <w:i/>
              </w:rPr>
              <w:t>与实际的基金份额净值可能存在差异，</w:t>
            </w:r>
            <w:r w:rsidRPr="00625E99">
              <w:rPr>
                <w:b/>
                <w:i/>
              </w:rPr>
              <w:t>IOPV</w:t>
            </w:r>
            <w:r w:rsidRPr="00625E99">
              <w:rPr>
                <w:b/>
                <w:i/>
              </w:rPr>
              <w:t>计算还可能出现错误，投资者若参考</w:t>
            </w:r>
            <w:r w:rsidRPr="00625E99">
              <w:rPr>
                <w:b/>
                <w:i/>
              </w:rPr>
              <w:t>IOPV</w:t>
            </w:r>
            <w:r w:rsidRPr="00625E99">
              <w:rPr>
                <w:b/>
                <w:i/>
              </w:rPr>
              <w:t>进行投资决策可能导致损失，需投资者自行承担。</w:t>
            </w:r>
          </w:p>
          <w:p w:rsidR="00D169AD" w:rsidRPr="00AD35A5" w:rsidRDefault="00D169AD" w:rsidP="00B80051">
            <w:pPr>
              <w:spacing w:line="360" w:lineRule="auto"/>
              <w:rPr>
                <w:bCs/>
                <w:i/>
                <w:szCs w:val="21"/>
              </w:rPr>
            </w:pPr>
            <w:r w:rsidRPr="00625E99">
              <w:rPr>
                <w:bCs/>
                <w:i/>
                <w:szCs w:val="21"/>
              </w:rPr>
              <w:t>……</w:t>
            </w:r>
          </w:p>
        </w:tc>
      </w:tr>
    </w:tbl>
    <w:p w:rsidR="007F0A02" w:rsidRPr="00536AAF" w:rsidRDefault="007F0A02" w:rsidP="006E056C">
      <w:pPr>
        <w:spacing w:line="360" w:lineRule="auto"/>
        <w:ind w:firstLineChars="200" w:firstLine="480"/>
        <w:rPr>
          <w:sz w:val="24"/>
        </w:rPr>
      </w:pPr>
      <w:r w:rsidRPr="00AD35A5">
        <w:rPr>
          <w:sz w:val="24"/>
        </w:rPr>
        <w:lastRenderedPageBreak/>
        <w:t>（</w:t>
      </w:r>
      <w:r w:rsidR="00C364F5" w:rsidRPr="00AD35A5">
        <w:rPr>
          <w:sz w:val="24"/>
        </w:rPr>
        <w:t>二</w:t>
      </w:r>
      <w:r w:rsidRPr="00AD35A5">
        <w:rPr>
          <w:sz w:val="24"/>
        </w:rPr>
        <w:t>）</w:t>
      </w:r>
      <w:r w:rsidR="001C5DF6" w:rsidRPr="00B90CFF">
        <w:rPr>
          <w:sz w:val="24"/>
        </w:rPr>
        <w:t>华夏消费</w:t>
      </w:r>
      <w:r w:rsidR="001C5DF6" w:rsidRPr="00B90CFF">
        <w:rPr>
          <w:sz w:val="24"/>
        </w:rPr>
        <w:t>ETF</w:t>
      </w:r>
      <w:r w:rsidR="00C364F5" w:rsidRPr="00AD35A5">
        <w:rPr>
          <w:sz w:val="24"/>
        </w:rPr>
        <w:t>招募说明书（更新）修订</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9"/>
        <w:gridCol w:w="1302"/>
        <w:gridCol w:w="2957"/>
        <w:gridCol w:w="2964"/>
      </w:tblGrid>
      <w:tr w:rsidR="001552C8" w:rsidRPr="001C5DF6" w:rsidTr="00E2577C">
        <w:tc>
          <w:tcPr>
            <w:tcW w:w="762" w:type="pct"/>
            <w:tcBorders>
              <w:top w:val="single" w:sz="4" w:space="0" w:color="000000"/>
              <w:left w:val="single" w:sz="4" w:space="0" w:color="000000"/>
              <w:bottom w:val="single" w:sz="4" w:space="0" w:color="000000"/>
              <w:right w:val="single" w:sz="4" w:space="0" w:color="000000"/>
            </w:tcBorders>
          </w:tcPr>
          <w:p w:rsidR="001552C8" w:rsidRPr="001C5DF6" w:rsidRDefault="001552C8" w:rsidP="00E2577C">
            <w:pPr>
              <w:spacing w:line="360" w:lineRule="auto"/>
              <w:jc w:val="center"/>
              <w:rPr>
                <w:b/>
                <w:bCs/>
                <w:szCs w:val="21"/>
              </w:rPr>
            </w:pPr>
            <w:r w:rsidRPr="001C5DF6">
              <w:rPr>
                <w:b/>
                <w:bCs/>
                <w:szCs w:val="21"/>
              </w:rPr>
              <w:t>章节</w:t>
            </w:r>
          </w:p>
        </w:tc>
        <w:tc>
          <w:tcPr>
            <w:tcW w:w="764" w:type="pct"/>
            <w:tcBorders>
              <w:top w:val="single" w:sz="4" w:space="0" w:color="000000"/>
              <w:left w:val="single" w:sz="4" w:space="0" w:color="000000"/>
              <w:bottom w:val="single" w:sz="4" w:space="0" w:color="000000"/>
              <w:right w:val="single" w:sz="4" w:space="0" w:color="000000"/>
            </w:tcBorders>
          </w:tcPr>
          <w:p w:rsidR="001552C8" w:rsidRPr="001C5DF6" w:rsidRDefault="001552C8" w:rsidP="00E2577C">
            <w:pPr>
              <w:spacing w:line="360" w:lineRule="auto"/>
              <w:jc w:val="center"/>
              <w:rPr>
                <w:b/>
                <w:bCs/>
                <w:szCs w:val="21"/>
              </w:rPr>
            </w:pPr>
            <w:r w:rsidRPr="001C5DF6">
              <w:rPr>
                <w:b/>
                <w:bCs/>
                <w:szCs w:val="21"/>
              </w:rPr>
              <w:t>标题</w:t>
            </w:r>
          </w:p>
        </w:tc>
        <w:tc>
          <w:tcPr>
            <w:tcW w:w="1735" w:type="pct"/>
            <w:tcBorders>
              <w:top w:val="single" w:sz="4" w:space="0" w:color="000000"/>
              <w:left w:val="single" w:sz="4" w:space="0" w:color="000000"/>
              <w:bottom w:val="single" w:sz="4" w:space="0" w:color="000000"/>
              <w:right w:val="single" w:sz="4" w:space="0" w:color="000000"/>
            </w:tcBorders>
          </w:tcPr>
          <w:p w:rsidR="001552C8" w:rsidRPr="001C5DF6" w:rsidRDefault="001552C8" w:rsidP="00E2577C">
            <w:pPr>
              <w:spacing w:line="360" w:lineRule="auto"/>
              <w:jc w:val="center"/>
              <w:rPr>
                <w:b/>
                <w:bCs/>
                <w:szCs w:val="21"/>
              </w:rPr>
            </w:pPr>
            <w:r w:rsidRPr="001C5DF6">
              <w:rPr>
                <w:b/>
                <w:bCs/>
                <w:szCs w:val="21"/>
              </w:rPr>
              <w:t>修订前</w:t>
            </w:r>
          </w:p>
        </w:tc>
        <w:tc>
          <w:tcPr>
            <w:tcW w:w="1739" w:type="pct"/>
            <w:tcBorders>
              <w:top w:val="single" w:sz="4" w:space="0" w:color="000000"/>
              <w:left w:val="single" w:sz="4" w:space="0" w:color="000000"/>
              <w:bottom w:val="single" w:sz="4" w:space="0" w:color="000000"/>
              <w:right w:val="single" w:sz="4" w:space="0" w:color="000000"/>
            </w:tcBorders>
          </w:tcPr>
          <w:p w:rsidR="001552C8" w:rsidRPr="001C5DF6" w:rsidRDefault="001552C8" w:rsidP="00E2577C">
            <w:pPr>
              <w:spacing w:line="360" w:lineRule="auto"/>
              <w:jc w:val="center"/>
              <w:rPr>
                <w:b/>
                <w:bCs/>
                <w:szCs w:val="21"/>
              </w:rPr>
            </w:pPr>
            <w:r w:rsidRPr="001C5DF6">
              <w:rPr>
                <w:b/>
                <w:bCs/>
                <w:szCs w:val="21"/>
              </w:rPr>
              <w:t>修订后</w:t>
            </w:r>
          </w:p>
        </w:tc>
      </w:tr>
      <w:tr w:rsidR="001552C8" w:rsidRPr="001C5DF6" w:rsidTr="00E2577C">
        <w:tc>
          <w:tcPr>
            <w:tcW w:w="762" w:type="pct"/>
            <w:tcBorders>
              <w:top w:val="single" w:sz="4" w:space="0" w:color="000000"/>
              <w:left w:val="single" w:sz="4" w:space="0" w:color="000000"/>
              <w:right w:val="single" w:sz="4" w:space="0" w:color="000000"/>
            </w:tcBorders>
          </w:tcPr>
          <w:p w:rsidR="001552C8" w:rsidRPr="00536AAF" w:rsidRDefault="001552C8" w:rsidP="0056533C">
            <w:pPr>
              <w:spacing w:line="360" w:lineRule="auto"/>
              <w:jc w:val="left"/>
              <w:rPr>
                <w:szCs w:val="21"/>
              </w:rPr>
            </w:pPr>
            <w:bookmarkStart w:id="3" w:name="_Toc127083922"/>
            <w:bookmarkStart w:id="4" w:name="_Toc102749222"/>
            <w:r w:rsidRPr="001C5DF6">
              <w:t>八、基金份额的交易</w:t>
            </w:r>
            <w:bookmarkEnd w:id="3"/>
            <w:bookmarkEnd w:id="4"/>
          </w:p>
        </w:tc>
        <w:tc>
          <w:tcPr>
            <w:tcW w:w="764" w:type="pct"/>
            <w:tcBorders>
              <w:top w:val="single" w:sz="4" w:space="0" w:color="000000"/>
              <w:left w:val="single" w:sz="4" w:space="0" w:color="000000"/>
              <w:right w:val="single" w:sz="4" w:space="0" w:color="000000"/>
            </w:tcBorders>
          </w:tcPr>
          <w:p w:rsidR="001552C8" w:rsidRPr="00536AAF" w:rsidRDefault="001552C8" w:rsidP="0056533C">
            <w:pPr>
              <w:spacing w:line="360" w:lineRule="auto"/>
              <w:jc w:val="center"/>
              <w:rPr>
                <w:bCs/>
                <w:szCs w:val="21"/>
              </w:rPr>
            </w:pPr>
            <w:r w:rsidRPr="001C5DF6">
              <w:t>（三）</w:t>
            </w:r>
            <w:r w:rsidRPr="00536AAF">
              <w:t>IOPV</w:t>
            </w:r>
            <w:r w:rsidRPr="001C5DF6">
              <w:t>的计算</w:t>
            </w:r>
          </w:p>
        </w:tc>
        <w:tc>
          <w:tcPr>
            <w:tcW w:w="1735" w:type="pct"/>
            <w:tcBorders>
              <w:top w:val="single" w:sz="4" w:space="0" w:color="000000"/>
              <w:left w:val="single" w:sz="4" w:space="0" w:color="000000"/>
              <w:bottom w:val="single" w:sz="4" w:space="0" w:color="000000"/>
              <w:right w:val="single" w:sz="4" w:space="0" w:color="000000"/>
            </w:tcBorders>
          </w:tcPr>
          <w:p w:rsidR="001552C8" w:rsidRPr="001C5DF6" w:rsidRDefault="001552C8" w:rsidP="00E2577C">
            <w:pPr>
              <w:spacing w:line="360" w:lineRule="auto"/>
              <w:jc w:val="left"/>
            </w:pPr>
            <w:r w:rsidRPr="001C5DF6">
              <w:t>基金管理人在每一交易日开市前向上海证券交易所提供当日本基金的申购赎回清单，上海证券交易所在开市后根据申购赎回清单和组合证券内各只证券的实时成交数据，计算并发布本基金的基金份额参考净值（</w:t>
            </w:r>
            <w:r w:rsidRPr="00536AAF">
              <w:t>IOPV</w:t>
            </w:r>
            <w:r w:rsidRPr="001C5DF6">
              <w:t>），供投资者交易、申购、赎回基金份额时参考。</w:t>
            </w:r>
          </w:p>
          <w:p w:rsidR="001552C8" w:rsidRPr="00625E99" w:rsidRDefault="001552C8" w:rsidP="00E2577C">
            <w:pPr>
              <w:spacing w:line="360" w:lineRule="auto"/>
              <w:jc w:val="left"/>
              <w:rPr>
                <w:b/>
                <w:i/>
              </w:rPr>
            </w:pPr>
            <w:r w:rsidRPr="001C5DF6">
              <w:t>……</w:t>
            </w:r>
          </w:p>
        </w:tc>
        <w:tc>
          <w:tcPr>
            <w:tcW w:w="1739" w:type="pct"/>
            <w:tcBorders>
              <w:top w:val="single" w:sz="4" w:space="0" w:color="000000"/>
              <w:left w:val="single" w:sz="4" w:space="0" w:color="000000"/>
              <w:bottom w:val="single" w:sz="4" w:space="0" w:color="000000"/>
              <w:right w:val="single" w:sz="4" w:space="0" w:color="000000"/>
            </w:tcBorders>
          </w:tcPr>
          <w:p w:rsidR="00502B44" w:rsidRPr="00536AAF" w:rsidRDefault="00D538E6" w:rsidP="00E2577C">
            <w:pPr>
              <w:spacing w:line="360" w:lineRule="auto"/>
              <w:rPr>
                <w:szCs w:val="21"/>
              </w:rPr>
            </w:pPr>
            <w:r w:rsidRPr="001C5DF6">
              <w:rPr>
                <w:b/>
                <w:i/>
                <w:kern w:val="0"/>
                <w:szCs w:val="21"/>
              </w:rPr>
              <w:t>基金管理人在每一交易日开市前公告当日的申购赎回清单，</w:t>
            </w:r>
            <w:r w:rsidRPr="001C5DF6">
              <w:rPr>
                <w:b/>
                <w:bCs/>
                <w:i/>
                <w:kern w:val="0"/>
                <w:szCs w:val="21"/>
              </w:rPr>
              <w:t>由基金管理人或基金管理人委托的机构</w:t>
            </w:r>
            <w:r w:rsidRPr="001C5DF6">
              <w:rPr>
                <w:b/>
                <w:i/>
                <w:kern w:val="0"/>
                <w:szCs w:val="21"/>
              </w:rPr>
              <w:t>在开市后根据申购赎回清单和组合证券内各只证券的实时成交数据，计算基金份额参考净值（</w:t>
            </w:r>
            <w:r w:rsidRPr="00536AAF">
              <w:rPr>
                <w:b/>
                <w:i/>
                <w:kern w:val="0"/>
                <w:szCs w:val="21"/>
              </w:rPr>
              <w:t>IOPV</w:t>
            </w:r>
            <w:r w:rsidRPr="001C5DF6">
              <w:rPr>
                <w:b/>
                <w:i/>
                <w:kern w:val="0"/>
                <w:szCs w:val="21"/>
              </w:rPr>
              <w:t>），并将计算结果向上海证券交易所发送，由上海证券交易所对外发布，</w:t>
            </w:r>
            <w:r w:rsidRPr="001C5DF6">
              <w:rPr>
                <w:b/>
                <w:bCs/>
                <w:i/>
                <w:kern w:val="0"/>
                <w:szCs w:val="21"/>
              </w:rPr>
              <w:t>仅供投资者交易、申购、赎回基金份额时参考</w:t>
            </w:r>
            <w:r w:rsidRPr="001C5DF6">
              <w:rPr>
                <w:b/>
                <w:i/>
                <w:szCs w:val="21"/>
              </w:rPr>
              <w:t>。</w:t>
            </w:r>
          </w:p>
          <w:p w:rsidR="00D538E6" w:rsidRPr="00536AAF" w:rsidRDefault="00D538E6" w:rsidP="00E2577C">
            <w:pPr>
              <w:spacing w:line="360" w:lineRule="auto"/>
            </w:pPr>
            <w:r w:rsidRPr="001C5DF6">
              <w:t>……</w:t>
            </w:r>
          </w:p>
        </w:tc>
      </w:tr>
      <w:tr w:rsidR="001552C8" w:rsidRPr="001C5DF6" w:rsidTr="00E2577C">
        <w:tc>
          <w:tcPr>
            <w:tcW w:w="762" w:type="pct"/>
            <w:tcBorders>
              <w:top w:val="single" w:sz="4" w:space="0" w:color="000000"/>
              <w:left w:val="single" w:sz="4" w:space="0" w:color="000000"/>
              <w:right w:val="single" w:sz="4" w:space="0" w:color="000000"/>
            </w:tcBorders>
          </w:tcPr>
          <w:p w:rsidR="001552C8" w:rsidRPr="00536AAF" w:rsidRDefault="00502B44" w:rsidP="00E2577C">
            <w:pPr>
              <w:spacing w:line="360" w:lineRule="auto"/>
              <w:jc w:val="left"/>
              <w:rPr>
                <w:b/>
                <w:bCs/>
                <w:szCs w:val="21"/>
              </w:rPr>
            </w:pPr>
            <w:r w:rsidRPr="001C5DF6">
              <w:rPr>
                <w:bCs/>
                <w:kern w:val="44"/>
              </w:rPr>
              <w:t>十八、风险揭示</w:t>
            </w:r>
          </w:p>
        </w:tc>
        <w:tc>
          <w:tcPr>
            <w:tcW w:w="764" w:type="pct"/>
            <w:tcBorders>
              <w:top w:val="single" w:sz="4" w:space="0" w:color="000000"/>
              <w:left w:val="single" w:sz="4" w:space="0" w:color="000000"/>
              <w:right w:val="single" w:sz="4" w:space="0" w:color="000000"/>
            </w:tcBorders>
          </w:tcPr>
          <w:p w:rsidR="001552C8" w:rsidRPr="00536AAF" w:rsidRDefault="00502B44" w:rsidP="00E2577C">
            <w:pPr>
              <w:spacing w:line="360" w:lineRule="auto"/>
              <w:jc w:val="center"/>
              <w:rPr>
                <w:b/>
                <w:bCs/>
                <w:szCs w:val="21"/>
              </w:rPr>
            </w:pPr>
            <w:r w:rsidRPr="001C5DF6">
              <w:t>（一）投资于本基金的主要风险</w:t>
            </w:r>
          </w:p>
        </w:tc>
        <w:tc>
          <w:tcPr>
            <w:tcW w:w="1735" w:type="pct"/>
            <w:tcBorders>
              <w:top w:val="single" w:sz="4" w:space="0" w:color="000000"/>
              <w:left w:val="single" w:sz="4" w:space="0" w:color="000000"/>
              <w:bottom w:val="single" w:sz="4" w:space="0" w:color="000000"/>
              <w:right w:val="single" w:sz="4" w:space="0" w:color="000000"/>
            </w:tcBorders>
          </w:tcPr>
          <w:p w:rsidR="001552C8" w:rsidRPr="001C5DF6" w:rsidRDefault="00DA26BD" w:rsidP="00E2577C">
            <w:pPr>
              <w:spacing w:line="360" w:lineRule="auto"/>
              <w:jc w:val="left"/>
              <w:rPr>
                <w:b/>
                <w:bCs/>
                <w:szCs w:val="21"/>
              </w:rPr>
            </w:pPr>
            <w:r w:rsidRPr="001C5DF6">
              <w:rPr>
                <w:b/>
                <w:bCs/>
                <w:szCs w:val="21"/>
              </w:rPr>
              <w:t>……</w:t>
            </w:r>
          </w:p>
          <w:p w:rsidR="00DA26BD" w:rsidRPr="00536AAF" w:rsidRDefault="00DA26BD" w:rsidP="00AE7D78">
            <w:pPr>
              <w:pStyle w:val="affc"/>
              <w:tabs>
                <w:tab w:val="left" w:pos="3686"/>
              </w:tabs>
              <w:autoSpaceDE w:val="0"/>
              <w:autoSpaceDN w:val="0"/>
              <w:adjustRightInd w:val="0"/>
              <w:spacing w:line="360" w:lineRule="auto"/>
            </w:pPr>
            <w:r w:rsidRPr="001C5DF6">
              <w:t>8</w:t>
            </w:r>
            <w:r w:rsidRPr="001C5DF6">
              <w:t>、参考</w:t>
            </w:r>
            <w:r w:rsidRPr="00536AAF">
              <w:t>IOPV</w:t>
            </w:r>
            <w:r w:rsidRPr="001C5DF6">
              <w:t>决策和</w:t>
            </w:r>
            <w:r w:rsidRPr="00536AAF">
              <w:t>IOPV</w:t>
            </w:r>
            <w:r w:rsidRPr="001C5DF6">
              <w:t>计算错误的风险</w:t>
            </w:r>
          </w:p>
          <w:p w:rsidR="00DA26BD" w:rsidRPr="001C5DF6" w:rsidRDefault="00DA26BD" w:rsidP="00DA26BD">
            <w:pPr>
              <w:spacing w:line="360" w:lineRule="auto"/>
              <w:jc w:val="left"/>
            </w:pPr>
            <w:r w:rsidRPr="001C5DF6">
              <w:t>证券交易所在开市后根据申购赎回清单和组合证券内各只证券的实时成交数据，计算并发布基金份额参考净值（</w:t>
            </w:r>
            <w:r w:rsidRPr="00536AAF">
              <w:t>IOPV</w:t>
            </w:r>
            <w:r w:rsidRPr="001C5DF6">
              <w:t>），供投资者交易、申购、赎回基金份额时参考。</w:t>
            </w:r>
            <w:r w:rsidRPr="00536AAF">
              <w:t>IOPV</w:t>
            </w:r>
            <w:r w:rsidRPr="001C5DF6">
              <w:t>与实时的基金份额净值可能存在差异，</w:t>
            </w:r>
            <w:r w:rsidRPr="00536AAF">
              <w:t>IOPV</w:t>
            </w:r>
            <w:r w:rsidRPr="001C5DF6">
              <w:t>计算还可能出现错误，投资者若参考</w:t>
            </w:r>
            <w:r w:rsidRPr="00536AAF">
              <w:t>IOPV</w:t>
            </w:r>
            <w:r w:rsidRPr="001C5DF6">
              <w:t>进行投资决策可能导致损失，需投资者自行承担。</w:t>
            </w:r>
          </w:p>
          <w:p w:rsidR="00DA26BD" w:rsidRPr="00AD35A5" w:rsidRDefault="007E38D4" w:rsidP="00AE7D78">
            <w:pPr>
              <w:spacing w:line="360" w:lineRule="auto"/>
              <w:rPr>
                <w:bCs/>
                <w:i/>
                <w:szCs w:val="21"/>
              </w:rPr>
            </w:pPr>
            <w:r w:rsidRPr="00AD35A5">
              <w:rPr>
                <w:bCs/>
                <w:i/>
                <w:szCs w:val="21"/>
              </w:rPr>
              <w:t>……</w:t>
            </w:r>
          </w:p>
        </w:tc>
        <w:tc>
          <w:tcPr>
            <w:tcW w:w="1739" w:type="pct"/>
            <w:tcBorders>
              <w:top w:val="single" w:sz="4" w:space="0" w:color="000000"/>
              <w:left w:val="single" w:sz="4" w:space="0" w:color="000000"/>
              <w:bottom w:val="single" w:sz="4" w:space="0" w:color="000000"/>
              <w:right w:val="single" w:sz="4" w:space="0" w:color="000000"/>
            </w:tcBorders>
          </w:tcPr>
          <w:p w:rsidR="001552C8" w:rsidRPr="001C5DF6" w:rsidRDefault="00F06261" w:rsidP="00E2577C">
            <w:pPr>
              <w:spacing w:line="360" w:lineRule="auto"/>
              <w:rPr>
                <w:b/>
                <w:bCs/>
                <w:i/>
                <w:szCs w:val="21"/>
              </w:rPr>
            </w:pPr>
            <w:r w:rsidRPr="001C5DF6">
              <w:rPr>
                <w:b/>
                <w:bCs/>
                <w:i/>
                <w:szCs w:val="21"/>
              </w:rPr>
              <w:t>……</w:t>
            </w:r>
          </w:p>
          <w:p w:rsidR="00F06261" w:rsidRPr="00536AAF" w:rsidRDefault="00F06261" w:rsidP="00AE7D78">
            <w:pPr>
              <w:pStyle w:val="affc"/>
              <w:tabs>
                <w:tab w:val="left" w:pos="3686"/>
              </w:tabs>
              <w:autoSpaceDE w:val="0"/>
              <w:autoSpaceDN w:val="0"/>
              <w:adjustRightInd w:val="0"/>
              <w:spacing w:line="360" w:lineRule="auto"/>
            </w:pPr>
            <w:r w:rsidRPr="001C5DF6">
              <w:t>8</w:t>
            </w:r>
            <w:r w:rsidRPr="001C5DF6">
              <w:t>、参考</w:t>
            </w:r>
            <w:r w:rsidRPr="00536AAF">
              <w:t>IOPV</w:t>
            </w:r>
            <w:r w:rsidRPr="001C5DF6">
              <w:t>决策和</w:t>
            </w:r>
            <w:r w:rsidRPr="00536AAF">
              <w:t>IOPV</w:t>
            </w:r>
            <w:r w:rsidRPr="001C5DF6">
              <w:t>计算错误的风险</w:t>
            </w:r>
          </w:p>
          <w:p w:rsidR="00D538E6" w:rsidRPr="00536AAF" w:rsidRDefault="00D538E6" w:rsidP="00D538E6">
            <w:pPr>
              <w:pStyle w:val="affe"/>
              <w:autoSpaceDE w:val="0"/>
              <w:autoSpaceDN w:val="0"/>
              <w:adjustRightInd w:val="0"/>
              <w:spacing w:line="360" w:lineRule="auto"/>
              <w:ind w:firstLine="420"/>
              <w:rPr>
                <w:b/>
                <w:i/>
              </w:rPr>
            </w:pPr>
            <w:r w:rsidRPr="00AD35A5">
              <w:rPr>
                <w:b/>
                <w:i/>
              </w:rPr>
              <w:t>证券交易所在开市后发布基金份额参考净值（</w:t>
            </w:r>
            <w:r w:rsidRPr="00AD35A5">
              <w:rPr>
                <w:b/>
                <w:i/>
              </w:rPr>
              <w:t>IOPV</w:t>
            </w:r>
            <w:r w:rsidRPr="00AD35A5">
              <w:rPr>
                <w:b/>
                <w:i/>
              </w:rPr>
              <w:t>），供投资者交易、申购、赎回基金份额时参考，存在</w:t>
            </w:r>
            <w:r w:rsidRPr="00AD35A5">
              <w:rPr>
                <w:b/>
                <w:i/>
              </w:rPr>
              <w:t>IOPV</w:t>
            </w:r>
            <w:r w:rsidRPr="00AD35A5">
              <w:rPr>
                <w:b/>
                <w:i/>
              </w:rPr>
              <w:t>不予发布的风险。</w:t>
            </w:r>
            <w:r w:rsidRPr="00AD35A5">
              <w:rPr>
                <w:b/>
                <w:i/>
              </w:rPr>
              <w:t>IOPV</w:t>
            </w:r>
            <w:r w:rsidRPr="00AD35A5">
              <w:rPr>
                <w:b/>
                <w:i/>
              </w:rPr>
              <w:t>与实际的基金份额净值可能存在差异，</w:t>
            </w:r>
            <w:r w:rsidRPr="00AD35A5">
              <w:rPr>
                <w:b/>
                <w:i/>
              </w:rPr>
              <w:t>IOPV</w:t>
            </w:r>
            <w:r w:rsidRPr="00AD35A5">
              <w:rPr>
                <w:b/>
                <w:i/>
              </w:rPr>
              <w:t>计算还可能出现错误，投资者若参考</w:t>
            </w:r>
            <w:r w:rsidRPr="00AD35A5">
              <w:rPr>
                <w:b/>
                <w:i/>
              </w:rPr>
              <w:t>IOPV</w:t>
            </w:r>
            <w:r w:rsidRPr="00AD35A5">
              <w:rPr>
                <w:b/>
                <w:i/>
              </w:rPr>
              <w:t>进行投资决策可能导致损失，需投资者自行承担</w:t>
            </w:r>
            <w:r w:rsidRPr="001C5DF6">
              <w:t>。</w:t>
            </w:r>
          </w:p>
          <w:p w:rsidR="00F06261" w:rsidRPr="00AD35A5" w:rsidRDefault="007E38D4" w:rsidP="00F06261">
            <w:pPr>
              <w:spacing w:line="360" w:lineRule="auto"/>
              <w:rPr>
                <w:bCs/>
                <w:i/>
                <w:szCs w:val="21"/>
              </w:rPr>
            </w:pPr>
            <w:r w:rsidRPr="00AD35A5">
              <w:rPr>
                <w:bCs/>
                <w:i/>
                <w:szCs w:val="21"/>
              </w:rPr>
              <w:t>……</w:t>
            </w:r>
          </w:p>
        </w:tc>
      </w:tr>
    </w:tbl>
    <w:p w:rsidR="00D538E6" w:rsidRPr="00536AAF" w:rsidRDefault="00D538E6" w:rsidP="00D538E6">
      <w:pPr>
        <w:spacing w:line="360" w:lineRule="auto"/>
        <w:ind w:firstLineChars="200" w:firstLine="480"/>
        <w:rPr>
          <w:sz w:val="24"/>
        </w:rPr>
      </w:pPr>
      <w:r w:rsidRPr="00AD35A5">
        <w:rPr>
          <w:sz w:val="24"/>
        </w:rPr>
        <w:t>（三）</w:t>
      </w:r>
      <w:r w:rsidR="00AD35A5" w:rsidRPr="00B90CFF">
        <w:rPr>
          <w:sz w:val="24"/>
        </w:rPr>
        <w:t>华夏上证科创板</w:t>
      </w:r>
      <w:r w:rsidR="00AD35A5" w:rsidRPr="00B90CFF">
        <w:rPr>
          <w:sz w:val="24"/>
        </w:rPr>
        <w:t>50</w:t>
      </w:r>
      <w:r w:rsidR="00AD35A5" w:rsidRPr="00B90CFF">
        <w:rPr>
          <w:sz w:val="24"/>
        </w:rPr>
        <w:t>成份</w:t>
      </w:r>
      <w:r w:rsidR="00AD35A5" w:rsidRPr="00B90CFF">
        <w:rPr>
          <w:sz w:val="24"/>
        </w:rPr>
        <w:t>ETF</w:t>
      </w:r>
      <w:r w:rsidRPr="00AD35A5">
        <w:rPr>
          <w:sz w:val="24"/>
        </w:rPr>
        <w:t>招募说明书（更新）修订</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9"/>
        <w:gridCol w:w="1302"/>
        <w:gridCol w:w="2957"/>
        <w:gridCol w:w="2964"/>
      </w:tblGrid>
      <w:tr w:rsidR="00D538E6" w:rsidRPr="00AD35A5" w:rsidTr="00ED0DB5">
        <w:tc>
          <w:tcPr>
            <w:tcW w:w="762" w:type="pct"/>
            <w:tcBorders>
              <w:top w:val="single" w:sz="4" w:space="0" w:color="000000"/>
              <w:left w:val="single" w:sz="4" w:space="0" w:color="000000"/>
              <w:right w:val="single" w:sz="4" w:space="0" w:color="000000"/>
            </w:tcBorders>
          </w:tcPr>
          <w:p w:rsidR="00D538E6" w:rsidRPr="00536AAF" w:rsidRDefault="00D538E6" w:rsidP="00ED0DB5">
            <w:pPr>
              <w:spacing w:line="360" w:lineRule="auto"/>
              <w:jc w:val="left"/>
              <w:rPr>
                <w:b/>
                <w:bCs/>
                <w:szCs w:val="21"/>
              </w:rPr>
            </w:pPr>
            <w:r w:rsidRPr="00AD35A5">
              <w:rPr>
                <w:bCs/>
                <w:kern w:val="44"/>
              </w:rPr>
              <w:t>十八、风险揭示</w:t>
            </w:r>
          </w:p>
        </w:tc>
        <w:tc>
          <w:tcPr>
            <w:tcW w:w="764" w:type="pct"/>
            <w:tcBorders>
              <w:top w:val="single" w:sz="4" w:space="0" w:color="000000"/>
              <w:left w:val="single" w:sz="4" w:space="0" w:color="000000"/>
              <w:right w:val="single" w:sz="4" w:space="0" w:color="000000"/>
            </w:tcBorders>
          </w:tcPr>
          <w:p w:rsidR="00D538E6" w:rsidRPr="00536AAF" w:rsidRDefault="00D538E6" w:rsidP="00ED0DB5">
            <w:pPr>
              <w:spacing w:line="360" w:lineRule="auto"/>
              <w:jc w:val="center"/>
              <w:rPr>
                <w:b/>
                <w:bCs/>
                <w:szCs w:val="21"/>
              </w:rPr>
            </w:pPr>
            <w:r w:rsidRPr="00AD35A5">
              <w:t>（一）投资于本基金的主要风险</w:t>
            </w:r>
          </w:p>
        </w:tc>
        <w:tc>
          <w:tcPr>
            <w:tcW w:w="1735" w:type="pct"/>
            <w:tcBorders>
              <w:top w:val="single" w:sz="4" w:space="0" w:color="000000"/>
              <w:left w:val="single" w:sz="4" w:space="0" w:color="000000"/>
              <w:bottom w:val="single" w:sz="4" w:space="0" w:color="000000"/>
              <w:right w:val="single" w:sz="4" w:space="0" w:color="000000"/>
            </w:tcBorders>
          </w:tcPr>
          <w:p w:rsidR="00D538E6" w:rsidRPr="00AD35A5" w:rsidRDefault="00D538E6" w:rsidP="00ED0DB5">
            <w:pPr>
              <w:spacing w:line="360" w:lineRule="auto"/>
              <w:jc w:val="left"/>
              <w:rPr>
                <w:bCs/>
                <w:szCs w:val="21"/>
              </w:rPr>
            </w:pPr>
            <w:r w:rsidRPr="00AD35A5">
              <w:rPr>
                <w:bCs/>
                <w:szCs w:val="21"/>
              </w:rPr>
              <w:t>……</w:t>
            </w:r>
          </w:p>
          <w:p w:rsidR="00D538E6" w:rsidRPr="00536AAF" w:rsidRDefault="00D538E6" w:rsidP="00574995">
            <w:pPr>
              <w:pStyle w:val="affa"/>
              <w:spacing w:line="360" w:lineRule="auto"/>
              <w:rPr>
                <w:bCs/>
                <w:szCs w:val="21"/>
              </w:rPr>
            </w:pPr>
            <w:r w:rsidRPr="00AD35A5">
              <w:t>10</w:t>
            </w:r>
            <w:r w:rsidRPr="00AD35A5">
              <w:t>、</w:t>
            </w:r>
            <w:r w:rsidRPr="00AD35A5">
              <w:rPr>
                <w:bCs/>
                <w:szCs w:val="21"/>
              </w:rPr>
              <w:t>参考</w:t>
            </w:r>
            <w:r w:rsidRPr="00536AAF">
              <w:rPr>
                <w:bCs/>
                <w:szCs w:val="21"/>
              </w:rPr>
              <w:t>IOPV</w:t>
            </w:r>
            <w:r w:rsidRPr="00AD35A5">
              <w:rPr>
                <w:bCs/>
                <w:szCs w:val="21"/>
              </w:rPr>
              <w:t>决策和</w:t>
            </w:r>
            <w:r w:rsidRPr="00536AAF">
              <w:rPr>
                <w:bCs/>
                <w:szCs w:val="21"/>
              </w:rPr>
              <w:t>IOPV</w:t>
            </w:r>
            <w:r w:rsidRPr="00AD35A5">
              <w:rPr>
                <w:bCs/>
                <w:szCs w:val="21"/>
              </w:rPr>
              <w:t>计算错误的风险</w:t>
            </w:r>
          </w:p>
          <w:p w:rsidR="00D538E6" w:rsidRPr="00536AAF" w:rsidRDefault="00D538E6" w:rsidP="00D538E6">
            <w:pPr>
              <w:spacing w:line="360" w:lineRule="auto"/>
              <w:rPr>
                <w:b/>
                <w:i/>
              </w:rPr>
            </w:pPr>
            <w:r w:rsidRPr="00AD35A5">
              <w:rPr>
                <w:i/>
              </w:rPr>
              <w:t>中证指数有限公司在开市后根据申购赎回清单和组合证券内各只证券的实时成交数据，计算并发布基金份额参考净值（</w:t>
            </w:r>
            <w:r w:rsidRPr="00536AAF">
              <w:rPr>
                <w:i/>
              </w:rPr>
              <w:t>IOPV</w:t>
            </w:r>
            <w:r w:rsidRPr="00AD35A5">
              <w:rPr>
                <w:i/>
              </w:rPr>
              <w:t>），</w:t>
            </w:r>
            <w:r w:rsidRPr="00AD35A5">
              <w:t>供投资者交易、申购、赎回基金份额时参考。存在</w:t>
            </w:r>
            <w:r w:rsidRPr="00AD35A5">
              <w:t>IOPV</w:t>
            </w:r>
            <w:r w:rsidRPr="00AD35A5">
              <w:t>不予发布的风险，</w:t>
            </w:r>
            <w:r w:rsidRPr="00AD35A5">
              <w:t>IOPV</w:t>
            </w:r>
            <w:r w:rsidRPr="00AD35A5">
              <w:t>与实时的基金份额净值可能存在差异，</w:t>
            </w:r>
            <w:r w:rsidRPr="00AD35A5">
              <w:t>IOPV</w:t>
            </w:r>
            <w:r w:rsidRPr="00AD35A5">
              <w:t>计算还可能出现错误，投资者若参考</w:t>
            </w:r>
            <w:r w:rsidRPr="00AD35A5">
              <w:t>IOPV</w:t>
            </w:r>
            <w:r w:rsidRPr="00AD35A5">
              <w:t>进行投资决策可能导致损失，该风险需投资者自行承担。</w:t>
            </w:r>
          </w:p>
          <w:p w:rsidR="00D538E6" w:rsidRPr="00AD35A5" w:rsidRDefault="00D538E6" w:rsidP="00ED0DB5">
            <w:pPr>
              <w:spacing w:line="360" w:lineRule="auto"/>
              <w:rPr>
                <w:bCs/>
                <w:i/>
                <w:szCs w:val="21"/>
              </w:rPr>
            </w:pPr>
            <w:r w:rsidRPr="00AD35A5">
              <w:rPr>
                <w:bCs/>
                <w:i/>
                <w:szCs w:val="21"/>
              </w:rPr>
              <w:t>……</w:t>
            </w:r>
          </w:p>
        </w:tc>
        <w:tc>
          <w:tcPr>
            <w:tcW w:w="1739" w:type="pct"/>
            <w:tcBorders>
              <w:top w:val="single" w:sz="4" w:space="0" w:color="000000"/>
              <w:left w:val="single" w:sz="4" w:space="0" w:color="000000"/>
              <w:bottom w:val="single" w:sz="4" w:space="0" w:color="000000"/>
              <w:right w:val="single" w:sz="4" w:space="0" w:color="000000"/>
            </w:tcBorders>
          </w:tcPr>
          <w:p w:rsidR="00D538E6" w:rsidRPr="00AD35A5" w:rsidRDefault="00D538E6" w:rsidP="00ED0DB5">
            <w:pPr>
              <w:spacing w:line="360" w:lineRule="auto"/>
              <w:rPr>
                <w:bCs/>
                <w:i/>
                <w:szCs w:val="21"/>
              </w:rPr>
            </w:pPr>
            <w:r w:rsidRPr="00AD35A5">
              <w:rPr>
                <w:bCs/>
                <w:i/>
                <w:szCs w:val="21"/>
              </w:rPr>
              <w:t>……</w:t>
            </w:r>
          </w:p>
          <w:p w:rsidR="00D538E6" w:rsidRPr="00536AAF" w:rsidRDefault="00D538E6" w:rsidP="00D538E6">
            <w:pPr>
              <w:pStyle w:val="affa"/>
              <w:spacing w:line="360" w:lineRule="auto"/>
              <w:rPr>
                <w:bCs/>
                <w:szCs w:val="21"/>
              </w:rPr>
            </w:pPr>
            <w:r w:rsidRPr="00AD35A5">
              <w:t>10</w:t>
            </w:r>
            <w:r w:rsidRPr="00AD35A5">
              <w:t>、</w:t>
            </w:r>
            <w:r w:rsidRPr="00AD35A5">
              <w:rPr>
                <w:bCs/>
                <w:szCs w:val="21"/>
              </w:rPr>
              <w:t>参考</w:t>
            </w:r>
            <w:r w:rsidRPr="00536AAF">
              <w:rPr>
                <w:bCs/>
                <w:szCs w:val="21"/>
              </w:rPr>
              <w:t>IOPV</w:t>
            </w:r>
            <w:r w:rsidRPr="00AD35A5">
              <w:rPr>
                <w:bCs/>
                <w:szCs w:val="21"/>
              </w:rPr>
              <w:t>决策和</w:t>
            </w:r>
            <w:r w:rsidRPr="00536AAF">
              <w:rPr>
                <w:bCs/>
                <w:szCs w:val="21"/>
              </w:rPr>
              <w:t>IOPV</w:t>
            </w:r>
            <w:r w:rsidRPr="00AD35A5">
              <w:rPr>
                <w:bCs/>
                <w:szCs w:val="21"/>
              </w:rPr>
              <w:t>计算错误的风险</w:t>
            </w:r>
          </w:p>
          <w:p w:rsidR="00D538E6" w:rsidRPr="00536AAF" w:rsidRDefault="00D538E6" w:rsidP="00ED0DB5">
            <w:pPr>
              <w:spacing w:line="360" w:lineRule="auto"/>
              <w:rPr>
                <w:b/>
                <w:i/>
              </w:rPr>
            </w:pPr>
            <w:r w:rsidRPr="00AD35A5">
              <w:rPr>
                <w:b/>
                <w:i/>
              </w:rPr>
              <w:t>证券交易所在开市后发布基金份额参考净值（</w:t>
            </w:r>
            <w:r w:rsidRPr="00AD35A5">
              <w:rPr>
                <w:b/>
                <w:i/>
              </w:rPr>
              <w:t>IOPV</w:t>
            </w:r>
            <w:r w:rsidRPr="00AD35A5">
              <w:rPr>
                <w:b/>
                <w:i/>
              </w:rPr>
              <w:t>），</w:t>
            </w:r>
            <w:r w:rsidRPr="00AD35A5">
              <w:t>供投资者交易、申购、赎回基金份额时参考。存在</w:t>
            </w:r>
            <w:r w:rsidRPr="00536AAF">
              <w:t>IOPV</w:t>
            </w:r>
            <w:r w:rsidRPr="00AD35A5">
              <w:t>不予发布的风险，</w:t>
            </w:r>
            <w:r w:rsidRPr="00536AAF">
              <w:t>IOPV</w:t>
            </w:r>
            <w:r w:rsidRPr="00AD35A5">
              <w:t>与实时的基金份额净值可能存在差异，</w:t>
            </w:r>
            <w:r w:rsidRPr="00536AAF">
              <w:t>IOPV</w:t>
            </w:r>
            <w:r w:rsidRPr="00AD35A5">
              <w:t>计算还可能出现错误，投资者若参考</w:t>
            </w:r>
            <w:r w:rsidRPr="00536AAF">
              <w:t>IOPV</w:t>
            </w:r>
            <w:r w:rsidRPr="00AD35A5">
              <w:t>进行投资决策可能导致损失，该风险需投资者自行承担。</w:t>
            </w:r>
          </w:p>
          <w:p w:rsidR="00D538E6" w:rsidRPr="00AD35A5" w:rsidRDefault="00D538E6" w:rsidP="00ED0DB5">
            <w:pPr>
              <w:spacing w:line="360" w:lineRule="auto"/>
              <w:rPr>
                <w:bCs/>
                <w:i/>
                <w:szCs w:val="21"/>
              </w:rPr>
            </w:pPr>
            <w:r w:rsidRPr="00AD35A5">
              <w:rPr>
                <w:bCs/>
                <w:i/>
                <w:szCs w:val="21"/>
              </w:rPr>
              <w:t>……</w:t>
            </w:r>
          </w:p>
        </w:tc>
      </w:tr>
    </w:tbl>
    <w:p w:rsidR="005146C1" w:rsidRPr="00536AAF" w:rsidRDefault="00F4677E" w:rsidP="006E056C">
      <w:pPr>
        <w:spacing w:line="360" w:lineRule="auto"/>
        <w:ind w:firstLineChars="200" w:firstLine="480"/>
        <w:rPr>
          <w:sz w:val="24"/>
        </w:rPr>
      </w:pPr>
      <w:r w:rsidRPr="002948C2">
        <w:rPr>
          <w:sz w:val="24"/>
        </w:rPr>
        <w:t>基金管理人可在不涉及基金合同当事人权利义务关系变化或对基金份额持有人利益无实质性不利影响的前提下，根据现时有效的法律法规对</w:t>
      </w:r>
      <w:r w:rsidR="0003086F" w:rsidRPr="002948C2">
        <w:rPr>
          <w:sz w:val="24"/>
        </w:rPr>
        <w:t>基金合同、</w:t>
      </w:r>
      <w:r w:rsidRPr="002948C2">
        <w:rPr>
          <w:sz w:val="24"/>
        </w:rPr>
        <w:t>招募说明书（更新）等法律文件进行其他修订或必要补充。本次修订已履行规定的程序，符合法律法规及</w:t>
      </w:r>
      <w:r w:rsidR="000F2805" w:rsidRPr="002948C2">
        <w:rPr>
          <w:sz w:val="24"/>
        </w:rPr>
        <w:t>相关</w:t>
      </w:r>
      <w:r w:rsidRPr="002948C2">
        <w:rPr>
          <w:sz w:val="24"/>
        </w:rPr>
        <w:t>基金基金合同的规定，修订内容自</w:t>
      </w:r>
      <w:r w:rsidRPr="00536AAF">
        <w:rPr>
          <w:sz w:val="24"/>
        </w:rPr>
        <w:t>202</w:t>
      </w:r>
      <w:r w:rsidR="00553CE7" w:rsidRPr="00625E99">
        <w:rPr>
          <w:sz w:val="24"/>
        </w:rPr>
        <w:t>6</w:t>
      </w:r>
      <w:r w:rsidRPr="002948C2">
        <w:rPr>
          <w:sz w:val="24"/>
        </w:rPr>
        <w:t>年</w:t>
      </w:r>
      <w:r w:rsidR="00E36E73" w:rsidRPr="00536AAF">
        <w:rPr>
          <w:sz w:val="24"/>
        </w:rPr>
        <w:t>2</w:t>
      </w:r>
      <w:r w:rsidRPr="00625E99">
        <w:rPr>
          <w:sz w:val="24"/>
        </w:rPr>
        <w:t>月</w:t>
      </w:r>
      <w:r w:rsidR="00E36E73" w:rsidRPr="00625E99">
        <w:rPr>
          <w:sz w:val="24"/>
        </w:rPr>
        <w:t>9</w:t>
      </w:r>
      <w:r w:rsidRPr="001C5DF6">
        <w:rPr>
          <w:sz w:val="24"/>
        </w:rPr>
        <w:t>日</w:t>
      </w:r>
      <w:r w:rsidRPr="002948C2">
        <w:rPr>
          <w:sz w:val="24"/>
        </w:rPr>
        <w:t>起生效</w:t>
      </w:r>
      <w:r w:rsidR="001C1652" w:rsidRPr="002948C2">
        <w:rPr>
          <w:sz w:val="24"/>
        </w:rPr>
        <w:t>。</w:t>
      </w:r>
      <w:r w:rsidRPr="002948C2">
        <w:rPr>
          <w:sz w:val="24"/>
        </w:rPr>
        <w:t>修订后的</w:t>
      </w:r>
      <w:r w:rsidR="00402691">
        <w:rPr>
          <w:rFonts w:hint="eastAsia"/>
          <w:sz w:val="24"/>
        </w:rPr>
        <w:t>法律文件</w:t>
      </w:r>
      <w:r w:rsidR="00594F01" w:rsidRPr="002948C2">
        <w:rPr>
          <w:sz w:val="24"/>
        </w:rPr>
        <w:t>将</w:t>
      </w:r>
      <w:r w:rsidRPr="002948C2">
        <w:rPr>
          <w:sz w:val="24"/>
        </w:rPr>
        <w:t>在基金管理人网站（</w:t>
      </w:r>
      <w:r w:rsidRPr="00536AAF">
        <w:rPr>
          <w:sz w:val="24"/>
        </w:rPr>
        <w:t>www.ChinaAMC.com</w:t>
      </w:r>
      <w:r w:rsidRPr="002948C2">
        <w:rPr>
          <w:sz w:val="24"/>
        </w:rPr>
        <w:t>）和中国证监会基金电子披露网站（</w:t>
      </w:r>
      <w:hyperlink r:id="rId8" w:history="1">
        <w:r w:rsidRPr="00625E99">
          <w:rPr>
            <w:sz w:val="24"/>
          </w:rPr>
          <w:t>http://eid.csrc.gov.cn/fund</w:t>
        </w:r>
      </w:hyperlink>
      <w:r w:rsidRPr="002948C2">
        <w:rPr>
          <w:sz w:val="24"/>
        </w:rPr>
        <w:t>）发布，投资者可登录查阅。</w:t>
      </w:r>
    </w:p>
    <w:p w:rsidR="003B04D1" w:rsidRPr="00536AAF" w:rsidRDefault="003B04D1" w:rsidP="006E056C">
      <w:pPr>
        <w:spacing w:line="360" w:lineRule="auto"/>
        <w:ind w:firstLineChars="200" w:firstLine="480"/>
        <w:rPr>
          <w:sz w:val="24"/>
        </w:rPr>
      </w:pPr>
      <w:r w:rsidRPr="00C92749">
        <w:rPr>
          <w:sz w:val="24"/>
        </w:rPr>
        <w:t>三、其他需要说明的事项</w:t>
      </w:r>
    </w:p>
    <w:p w:rsidR="00F4677E" w:rsidRPr="00536AAF" w:rsidRDefault="00935F26" w:rsidP="006E056C">
      <w:pPr>
        <w:spacing w:line="360" w:lineRule="auto"/>
        <w:ind w:firstLineChars="200" w:firstLine="480"/>
        <w:rPr>
          <w:sz w:val="24"/>
        </w:rPr>
      </w:pPr>
      <w:r w:rsidRPr="00C92749">
        <w:rPr>
          <w:sz w:val="24"/>
        </w:rPr>
        <w:t>如有疑问，</w:t>
      </w:r>
      <w:r w:rsidR="00F4677E" w:rsidRPr="00C92749">
        <w:rPr>
          <w:sz w:val="24"/>
        </w:rPr>
        <w:t>投资者可登录基金管理人网站（</w:t>
      </w:r>
      <w:r w:rsidR="00F4677E" w:rsidRPr="00536AAF">
        <w:rPr>
          <w:sz w:val="24"/>
        </w:rPr>
        <w:t>www.ChinaAMC.com</w:t>
      </w:r>
      <w:r w:rsidR="00F4677E" w:rsidRPr="00C92749">
        <w:rPr>
          <w:sz w:val="24"/>
        </w:rPr>
        <w:t>）或拨打基金管理人客户服务电话（</w:t>
      </w:r>
      <w:r w:rsidR="00F4677E" w:rsidRPr="00536AAF">
        <w:rPr>
          <w:sz w:val="24"/>
        </w:rPr>
        <w:t>400-818-6666</w:t>
      </w:r>
      <w:r w:rsidR="00F4677E" w:rsidRPr="00C92749">
        <w:rPr>
          <w:sz w:val="24"/>
        </w:rPr>
        <w:t>）了解相关事宜。</w:t>
      </w:r>
    </w:p>
    <w:p w:rsidR="00F4677E" w:rsidRPr="00625E99" w:rsidRDefault="00C34111" w:rsidP="006E056C">
      <w:pPr>
        <w:spacing w:line="360" w:lineRule="auto"/>
        <w:ind w:firstLineChars="200" w:firstLine="482"/>
        <w:rPr>
          <w:b/>
          <w:sz w:val="24"/>
        </w:rPr>
      </w:pPr>
      <w:r w:rsidRPr="00DC3E70">
        <w:rPr>
          <w:b/>
          <w:sz w:val="24"/>
        </w:rPr>
        <w:t>风险</w:t>
      </w:r>
      <w:r w:rsidR="00F4677E" w:rsidRPr="00536AAF">
        <w:rPr>
          <w:b/>
          <w:sz w:val="24"/>
        </w:rPr>
        <w:t>提示：基金管理人承诺以诚实信用、勤勉尽责的原则管理和运用基金资产，但不保证基金一定盈利，也不保证最低收益。基金的过往业绩及其净值高低并不预示其未来业绩表现。基金管理人提醒投资者基金投资的</w:t>
      </w:r>
      <w:r w:rsidR="00F4677E" w:rsidRPr="00625E99">
        <w:rPr>
          <w:b/>
          <w:sz w:val="24"/>
        </w:rPr>
        <w:t>“</w:t>
      </w:r>
      <w:r w:rsidR="00F4677E" w:rsidRPr="00625E99">
        <w:rPr>
          <w:b/>
          <w:sz w:val="24"/>
        </w:rPr>
        <w:t>买者自负</w:t>
      </w:r>
      <w:r w:rsidR="00F4677E" w:rsidRPr="001C5DF6">
        <w:rPr>
          <w:b/>
          <w:sz w:val="24"/>
        </w:rPr>
        <w:t>”</w:t>
      </w:r>
      <w:r w:rsidR="00F4677E" w:rsidRPr="00AD35A5">
        <w:rPr>
          <w:b/>
          <w:sz w:val="24"/>
        </w:rPr>
        <w:t>原则，在做出投资决策后，基金运营状况与基金净值变化引致的投资风险，由投资者自行负担。投资者在投资基金之前，请仔细阅读</w:t>
      </w:r>
      <w:r w:rsidR="00F4677E" w:rsidRPr="00DC3E70">
        <w:rPr>
          <w:b/>
          <w:sz w:val="24"/>
        </w:rPr>
        <w:t>有关</w:t>
      </w:r>
      <w:r w:rsidR="00F4677E" w:rsidRPr="00536AAF">
        <w:rPr>
          <w:b/>
          <w:sz w:val="24"/>
        </w:rPr>
        <w:t>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F4677E" w:rsidRPr="002948C2" w:rsidRDefault="00F4677E" w:rsidP="006E056C">
      <w:pPr>
        <w:widowControl/>
        <w:spacing w:line="360" w:lineRule="auto"/>
        <w:ind w:firstLine="480"/>
        <w:rPr>
          <w:sz w:val="24"/>
        </w:rPr>
      </w:pPr>
      <w:r w:rsidRPr="002948C2">
        <w:rPr>
          <w:sz w:val="24"/>
        </w:rPr>
        <w:t>特此公告</w:t>
      </w:r>
    </w:p>
    <w:p w:rsidR="00F4677E" w:rsidRPr="00DC3E70" w:rsidRDefault="00F4677E" w:rsidP="006E056C">
      <w:pPr>
        <w:widowControl/>
        <w:spacing w:line="360" w:lineRule="auto"/>
        <w:jc w:val="right"/>
        <w:rPr>
          <w:sz w:val="24"/>
        </w:rPr>
      </w:pPr>
      <w:r w:rsidRPr="00DC3E70">
        <w:rPr>
          <w:sz w:val="24"/>
        </w:rPr>
        <w:t>华夏基金管理有限公司</w:t>
      </w:r>
    </w:p>
    <w:p w:rsidR="00F4677E" w:rsidRPr="00625E99" w:rsidRDefault="00F4677E" w:rsidP="006E056C">
      <w:pPr>
        <w:widowControl/>
        <w:wordWrap w:val="0"/>
        <w:spacing w:line="360" w:lineRule="auto"/>
        <w:jc w:val="right"/>
        <w:rPr>
          <w:sz w:val="24"/>
        </w:rPr>
      </w:pPr>
      <w:r w:rsidRPr="00DC3E70">
        <w:rPr>
          <w:sz w:val="24"/>
        </w:rPr>
        <w:t>二〇二</w:t>
      </w:r>
      <w:r w:rsidR="00A32842" w:rsidRPr="00DC3E70">
        <w:rPr>
          <w:sz w:val="24"/>
        </w:rPr>
        <w:t>六</w:t>
      </w:r>
      <w:r w:rsidRPr="00536AAF">
        <w:rPr>
          <w:sz w:val="24"/>
        </w:rPr>
        <w:t>年</w:t>
      </w:r>
      <w:r w:rsidR="006D4F7D" w:rsidRPr="00DC3E70">
        <w:rPr>
          <w:sz w:val="24"/>
        </w:rPr>
        <w:t>二</w:t>
      </w:r>
      <w:r w:rsidRPr="00DC3E70">
        <w:rPr>
          <w:sz w:val="24"/>
        </w:rPr>
        <w:t>月</w:t>
      </w:r>
      <w:r w:rsidR="006D4F7D" w:rsidRPr="00DC3E70">
        <w:rPr>
          <w:sz w:val="24"/>
        </w:rPr>
        <w:t>九</w:t>
      </w:r>
      <w:r w:rsidRPr="00536AAF">
        <w:rPr>
          <w:sz w:val="24"/>
        </w:rPr>
        <w:t>日</w:t>
      </w:r>
    </w:p>
    <w:p w:rsidR="00FB2DC1" w:rsidRPr="001C5DF6" w:rsidRDefault="00FB2DC1" w:rsidP="006E056C">
      <w:pPr>
        <w:spacing w:line="360" w:lineRule="auto"/>
        <w:ind w:firstLineChars="200" w:firstLine="420"/>
      </w:pPr>
    </w:p>
    <w:sectPr w:rsidR="00FB2DC1" w:rsidRPr="001C5DF6" w:rsidSect="006E056C">
      <w:headerReference w:type="even" r:id="rId9"/>
      <w:headerReference w:type="default" r:id="rId10"/>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2B6" w:rsidRDefault="00EF52B6" w:rsidP="00D104F7">
      <w:r>
        <w:separator/>
      </w:r>
    </w:p>
  </w:endnote>
  <w:endnote w:type="continuationSeparator" w:id="0">
    <w:p w:rsidR="00EF52B6" w:rsidRDefault="00EF52B6" w:rsidP="00D10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2B6" w:rsidRDefault="00EF52B6" w:rsidP="00D104F7">
      <w:r>
        <w:separator/>
      </w:r>
    </w:p>
  </w:footnote>
  <w:footnote w:type="continuationSeparator" w:id="0">
    <w:p w:rsidR="00EF52B6" w:rsidRDefault="00EF52B6" w:rsidP="00D104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6C" w:rsidRDefault="006E056C" w:rsidP="006E056C">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6C" w:rsidRDefault="006E056C" w:rsidP="006E056C">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416"/>
    <w:multiLevelType w:val="hybridMultilevel"/>
    <w:tmpl w:val="66568918"/>
    <w:lvl w:ilvl="0" w:tplc="12FE172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HorizontalSpacing w:val="213"/>
  <w:drawingGridVerticalSpacing w:val="317"/>
  <w:displayHorizontalDrawingGridEvery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677E"/>
    <w:rsid w:val="0003086F"/>
    <w:rsid w:val="00031C05"/>
    <w:rsid w:val="000326D3"/>
    <w:rsid w:val="0003516B"/>
    <w:rsid w:val="00042CDD"/>
    <w:rsid w:val="000823A3"/>
    <w:rsid w:val="00092465"/>
    <w:rsid w:val="00096E1C"/>
    <w:rsid w:val="000B0CB0"/>
    <w:rsid w:val="000C4F1B"/>
    <w:rsid w:val="000C787A"/>
    <w:rsid w:val="000D368F"/>
    <w:rsid w:val="000D6F35"/>
    <w:rsid w:val="000E270B"/>
    <w:rsid w:val="000E7537"/>
    <w:rsid w:val="000F2805"/>
    <w:rsid w:val="00112DE4"/>
    <w:rsid w:val="00115DE2"/>
    <w:rsid w:val="00117DA3"/>
    <w:rsid w:val="00145079"/>
    <w:rsid w:val="00150A42"/>
    <w:rsid w:val="0015465C"/>
    <w:rsid w:val="001552C8"/>
    <w:rsid w:val="00161893"/>
    <w:rsid w:val="0016785B"/>
    <w:rsid w:val="00183253"/>
    <w:rsid w:val="00184F40"/>
    <w:rsid w:val="00186641"/>
    <w:rsid w:val="00194EA4"/>
    <w:rsid w:val="00195574"/>
    <w:rsid w:val="0019792C"/>
    <w:rsid w:val="001B5F66"/>
    <w:rsid w:val="001C1652"/>
    <w:rsid w:val="001C47AB"/>
    <w:rsid w:val="001C5DF6"/>
    <w:rsid w:val="001F072C"/>
    <w:rsid w:val="00205D3B"/>
    <w:rsid w:val="00206684"/>
    <w:rsid w:val="0021151E"/>
    <w:rsid w:val="002152FA"/>
    <w:rsid w:val="00230CE7"/>
    <w:rsid w:val="002334DC"/>
    <w:rsid w:val="00237C31"/>
    <w:rsid w:val="00273FAF"/>
    <w:rsid w:val="00275E77"/>
    <w:rsid w:val="00277B82"/>
    <w:rsid w:val="002803BD"/>
    <w:rsid w:val="002871BA"/>
    <w:rsid w:val="002948C2"/>
    <w:rsid w:val="002B13A6"/>
    <w:rsid w:val="002B7B4E"/>
    <w:rsid w:val="002C3833"/>
    <w:rsid w:val="002D0DBE"/>
    <w:rsid w:val="002E23DF"/>
    <w:rsid w:val="002E73CF"/>
    <w:rsid w:val="002F258F"/>
    <w:rsid w:val="00300B4A"/>
    <w:rsid w:val="003169EF"/>
    <w:rsid w:val="0031779F"/>
    <w:rsid w:val="003225C8"/>
    <w:rsid w:val="00325195"/>
    <w:rsid w:val="00333B3D"/>
    <w:rsid w:val="0033679E"/>
    <w:rsid w:val="0034254A"/>
    <w:rsid w:val="00343DB0"/>
    <w:rsid w:val="003508E8"/>
    <w:rsid w:val="00362EC0"/>
    <w:rsid w:val="003657EF"/>
    <w:rsid w:val="00373D9B"/>
    <w:rsid w:val="00375F57"/>
    <w:rsid w:val="00381F32"/>
    <w:rsid w:val="00397FC0"/>
    <w:rsid w:val="003B04D1"/>
    <w:rsid w:val="003B47AA"/>
    <w:rsid w:val="003B5FEA"/>
    <w:rsid w:val="003F0DC8"/>
    <w:rsid w:val="003F4E4E"/>
    <w:rsid w:val="003F757B"/>
    <w:rsid w:val="00402691"/>
    <w:rsid w:val="00416861"/>
    <w:rsid w:val="00427B86"/>
    <w:rsid w:val="00436168"/>
    <w:rsid w:val="004405C9"/>
    <w:rsid w:val="004448EA"/>
    <w:rsid w:val="0045197B"/>
    <w:rsid w:val="004560C5"/>
    <w:rsid w:val="004564DA"/>
    <w:rsid w:val="00456A4A"/>
    <w:rsid w:val="004870F8"/>
    <w:rsid w:val="004A2D2B"/>
    <w:rsid w:val="004B24C8"/>
    <w:rsid w:val="004C699C"/>
    <w:rsid w:val="004D79EA"/>
    <w:rsid w:val="004F4DF3"/>
    <w:rsid w:val="00502B44"/>
    <w:rsid w:val="005034A5"/>
    <w:rsid w:val="0050396A"/>
    <w:rsid w:val="005077F9"/>
    <w:rsid w:val="005146C1"/>
    <w:rsid w:val="00517186"/>
    <w:rsid w:val="00520AE4"/>
    <w:rsid w:val="005360AB"/>
    <w:rsid w:val="00536AAF"/>
    <w:rsid w:val="00553944"/>
    <w:rsid w:val="00553CE7"/>
    <w:rsid w:val="00553EE4"/>
    <w:rsid w:val="005603D3"/>
    <w:rsid w:val="0056533C"/>
    <w:rsid w:val="00567778"/>
    <w:rsid w:val="00574995"/>
    <w:rsid w:val="00575965"/>
    <w:rsid w:val="005777A4"/>
    <w:rsid w:val="00581F76"/>
    <w:rsid w:val="00586BF9"/>
    <w:rsid w:val="00594F01"/>
    <w:rsid w:val="005A0A47"/>
    <w:rsid w:val="005B01FA"/>
    <w:rsid w:val="005C2FBD"/>
    <w:rsid w:val="005C65F1"/>
    <w:rsid w:val="005D2E88"/>
    <w:rsid w:val="005E4419"/>
    <w:rsid w:val="005F17E0"/>
    <w:rsid w:val="005F3717"/>
    <w:rsid w:val="00602F3A"/>
    <w:rsid w:val="00603D51"/>
    <w:rsid w:val="00607106"/>
    <w:rsid w:val="006111DC"/>
    <w:rsid w:val="00625E99"/>
    <w:rsid w:val="006301BB"/>
    <w:rsid w:val="00636375"/>
    <w:rsid w:val="00653F43"/>
    <w:rsid w:val="00661B91"/>
    <w:rsid w:val="00665596"/>
    <w:rsid w:val="006745FA"/>
    <w:rsid w:val="0067787A"/>
    <w:rsid w:val="0068666F"/>
    <w:rsid w:val="006B5141"/>
    <w:rsid w:val="006C35DB"/>
    <w:rsid w:val="006C6BE9"/>
    <w:rsid w:val="006D0F61"/>
    <w:rsid w:val="006D2E6A"/>
    <w:rsid w:val="006D4F7D"/>
    <w:rsid w:val="006E056C"/>
    <w:rsid w:val="006F4189"/>
    <w:rsid w:val="0070155E"/>
    <w:rsid w:val="007228E0"/>
    <w:rsid w:val="00740397"/>
    <w:rsid w:val="007516C3"/>
    <w:rsid w:val="0075788F"/>
    <w:rsid w:val="00772A95"/>
    <w:rsid w:val="00784DEF"/>
    <w:rsid w:val="0079798C"/>
    <w:rsid w:val="007B4559"/>
    <w:rsid w:val="007B7DF7"/>
    <w:rsid w:val="007C3E41"/>
    <w:rsid w:val="007C45D1"/>
    <w:rsid w:val="007C494F"/>
    <w:rsid w:val="007D5432"/>
    <w:rsid w:val="007E29B3"/>
    <w:rsid w:val="007E38D4"/>
    <w:rsid w:val="007F0A02"/>
    <w:rsid w:val="007F18BB"/>
    <w:rsid w:val="00804362"/>
    <w:rsid w:val="00804C4A"/>
    <w:rsid w:val="00810F59"/>
    <w:rsid w:val="00811C72"/>
    <w:rsid w:val="008127F3"/>
    <w:rsid w:val="00815103"/>
    <w:rsid w:val="00836AF4"/>
    <w:rsid w:val="008444E1"/>
    <w:rsid w:val="0085370D"/>
    <w:rsid w:val="008848BA"/>
    <w:rsid w:val="008A0A9F"/>
    <w:rsid w:val="008A271E"/>
    <w:rsid w:val="008B15FC"/>
    <w:rsid w:val="008B4C6B"/>
    <w:rsid w:val="008E7EBE"/>
    <w:rsid w:val="008F3F2D"/>
    <w:rsid w:val="00907828"/>
    <w:rsid w:val="00913FF4"/>
    <w:rsid w:val="009150BF"/>
    <w:rsid w:val="009276C5"/>
    <w:rsid w:val="009357E8"/>
    <w:rsid w:val="00935F26"/>
    <w:rsid w:val="009538B1"/>
    <w:rsid w:val="00957176"/>
    <w:rsid w:val="009765C6"/>
    <w:rsid w:val="00981909"/>
    <w:rsid w:val="00987735"/>
    <w:rsid w:val="009901C8"/>
    <w:rsid w:val="009A1151"/>
    <w:rsid w:val="009A468A"/>
    <w:rsid w:val="009B6701"/>
    <w:rsid w:val="009C2343"/>
    <w:rsid w:val="009C2A18"/>
    <w:rsid w:val="009C401B"/>
    <w:rsid w:val="009C4F2B"/>
    <w:rsid w:val="009D0E96"/>
    <w:rsid w:val="009D6102"/>
    <w:rsid w:val="009E3FC2"/>
    <w:rsid w:val="009F00A8"/>
    <w:rsid w:val="00A16C2D"/>
    <w:rsid w:val="00A24136"/>
    <w:rsid w:val="00A25E08"/>
    <w:rsid w:val="00A2681E"/>
    <w:rsid w:val="00A32842"/>
    <w:rsid w:val="00A75261"/>
    <w:rsid w:val="00A93FFE"/>
    <w:rsid w:val="00AA0701"/>
    <w:rsid w:val="00AA3B4D"/>
    <w:rsid w:val="00AA6510"/>
    <w:rsid w:val="00AC3669"/>
    <w:rsid w:val="00AC3670"/>
    <w:rsid w:val="00AC67C8"/>
    <w:rsid w:val="00AD08C5"/>
    <w:rsid w:val="00AD35A5"/>
    <w:rsid w:val="00AE2A1A"/>
    <w:rsid w:val="00AE7D78"/>
    <w:rsid w:val="00AE7E59"/>
    <w:rsid w:val="00B349AE"/>
    <w:rsid w:val="00B35BBE"/>
    <w:rsid w:val="00B368E2"/>
    <w:rsid w:val="00B52288"/>
    <w:rsid w:val="00B554A8"/>
    <w:rsid w:val="00B55F9B"/>
    <w:rsid w:val="00B5758E"/>
    <w:rsid w:val="00B62D86"/>
    <w:rsid w:val="00BA566E"/>
    <w:rsid w:val="00BA5826"/>
    <w:rsid w:val="00BB35D9"/>
    <w:rsid w:val="00BC6C88"/>
    <w:rsid w:val="00BC7AB2"/>
    <w:rsid w:val="00BC7D11"/>
    <w:rsid w:val="00BD162E"/>
    <w:rsid w:val="00BD5C46"/>
    <w:rsid w:val="00BE0E19"/>
    <w:rsid w:val="00BE72A3"/>
    <w:rsid w:val="00C05126"/>
    <w:rsid w:val="00C23664"/>
    <w:rsid w:val="00C31E67"/>
    <w:rsid w:val="00C34111"/>
    <w:rsid w:val="00C364F5"/>
    <w:rsid w:val="00C37675"/>
    <w:rsid w:val="00C70DE8"/>
    <w:rsid w:val="00C80252"/>
    <w:rsid w:val="00C875CA"/>
    <w:rsid w:val="00C91F0D"/>
    <w:rsid w:val="00C92749"/>
    <w:rsid w:val="00C9394A"/>
    <w:rsid w:val="00CA52CD"/>
    <w:rsid w:val="00CB35B8"/>
    <w:rsid w:val="00CB3A66"/>
    <w:rsid w:val="00CD067A"/>
    <w:rsid w:val="00CD31D9"/>
    <w:rsid w:val="00CD7062"/>
    <w:rsid w:val="00D0157E"/>
    <w:rsid w:val="00D020BE"/>
    <w:rsid w:val="00D103F3"/>
    <w:rsid w:val="00D104F7"/>
    <w:rsid w:val="00D169AD"/>
    <w:rsid w:val="00D21646"/>
    <w:rsid w:val="00D21861"/>
    <w:rsid w:val="00D32B9D"/>
    <w:rsid w:val="00D46922"/>
    <w:rsid w:val="00D47DE1"/>
    <w:rsid w:val="00D520A2"/>
    <w:rsid w:val="00D521A2"/>
    <w:rsid w:val="00D538E6"/>
    <w:rsid w:val="00D86F93"/>
    <w:rsid w:val="00DA0FFD"/>
    <w:rsid w:val="00DA26BD"/>
    <w:rsid w:val="00DA60DE"/>
    <w:rsid w:val="00DA7A31"/>
    <w:rsid w:val="00DB0D3E"/>
    <w:rsid w:val="00DB16F2"/>
    <w:rsid w:val="00DB5E5A"/>
    <w:rsid w:val="00DC3E70"/>
    <w:rsid w:val="00DD26B0"/>
    <w:rsid w:val="00DE0099"/>
    <w:rsid w:val="00DE13DE"/>
    <w:rsid w:val="00DE75F1"/>
    <w:rsid w:val="00DF5B08"/>
    <w:rsid w:val="00E01B64"/>
    <w:rsid w:val="00E06474"/>
    <w:rsid w:val="00E12397"/>
    <w:rsid w:val="00E22B31"/>
    <w:rsid w:val="00E331CD"/>
    <w:rsid w:val="00E36E73"/>
    <w:rsid w:val="00E44008"/>
    <w:rsid w:val="00E52709"/>
    <w:rsid w:val="00E56B70"/>
    <w:rsid w:val="00E6532C"/>
    <w:rsid w:val="00E779C3"/>
    <w:rsid w:val="00E92E3C"/>
    <w:rsid w:val="00E93CEF"/>
    <w:rsid w:val="00E95F0B"/>
    <w:rsid w:val="00E963F0"/>
    <w:rsid w:val="00EA3722"/>
    <w:rsid w:val="00EB7F4F"/>
    <w:rsid w:val="00EE10AB"/>
    <w:rsid w:val="00EE6D91"/>
    <w:rsid w:val="00EF52B6"/>
    <w:rsid w:val="00F0102F"/>
    <w:rsid w:val="00F0221B"/>
    <w:rsid w:val="00F02FF1"/>
    <w:rsid w:val="00F06261"/>
    <w:rsid w:val="00F13FE6"/>
    <w:rsid w:val="00F32F44"/>
    <w:rsid w:val="00F4677E"/>
    <w:rsid w:val="00F571A1"/>
    <w:rsid w:val="00F707DB"/>
    <w:rsid w:val="00F72B42"/>
    <w:rsid w:val="00F962B3"/>
    <w:rsid w:val="00FA23F2"/>
    <w:rsid w:val="00FA4B61"/>
    <w:rsid w:val="00FB0253"/>
    <w:rsid w:val="00FB1EEC"/>
    <w:rsid w:val="00FB2DC1"/>
    <w:rsid w:val="00FB5640"/>
    <w:rsid w:val="00FB5D82"/>
    <w:rsid w:val="00FC287B"/>
    <w:rsid w:val="00FE6783"/>
    <w:rsid w:val="00FE7A2E"/>
    <w:rsid w:val="00FF4653"/>
    <w:rsid w:val="00FF5C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7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1">
    <w:name w:val="aff1"/>
    <w:rsid w:val="00F4677E"/>
    <w:pPr>
      <w:widowControl w:val="0"/>
      <w:jc w:val="both"/>
    </w:pPr>
    <w:rPr>
      <w:rFonts w:ascii="Calibri" w:eastAsia="宋体" w:hAnsi="Calibri" w:cs="Times New Roman"/>
      <w:szCs w:val="24"/>
    </w:rPr>
  </w:style>
  <w:style w:type="paragraph" w:styleId="a3">
    <w:name w:val="Balloon Text"/>
    <w:basedOn w:val="a"/>
    <w:link w:val="Char"/>
    <w:uiPriority w:val="99"/>
    <w:semiHidden/>
    <w:unhideWhenUsed/>
    <w:rsid w:val="005C2FBD"/>
    <w:rPr>
      <w:sz w:val="18"/>
      <w:szCs w:val="18"/>
    </w:rPr>
  </w:style>
  <w:style w:type="character" w:customStyle="1" w:styleId="Char">
    <w:name w:val="批注框文本 Char"/>
    <w:basedOn w:val="a0"/>
    <w:link w:val="a3"/>
    <w:uiPriority w:val="99"/>
    <w:semiHidden/>
    <w:rsid w:val="005C2FBD"/>
    <w:rPr>
      <w:rFonts w:ascii="Times New Roman" w:eastAsia="宋体" w:hAnsi="Times New Roman" w:cs="Times New Roman"/>
      <w:sz w:val="18"/>
      <w:szCs w:val="18"/>
    </w:rPr>
  </w:style>
  <w:style w:type="paragraph" w:styleId="a4">
    <w:name w:val="header"/>
    <w:basedOn w:val="a"/>
    <w:link w:val="Char0"/>
    <w:uiPriority w:val="99"/>
    <w:unhideWhenUsed/>
    <w:rsid w:val="00D104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104F7"/>
    <w:rPr>
      <w:rFonts w:ascii="Times New Roman" w:eastAsia="宋体" w:hAnsi="Times New Roman" w:cs="Times New Roman"/>
      <w:sz w:val="18"/>
      <w:szCs w:val="18"/>
    </w:rPr>
  </w:style>
  <w:style w:type="paragraph" w:styleId="a5">
    <w:name w:val="footer"/>
    <w:basedOn w:val="a"/>
    <w:link w:val="Char1"/>
    <w:uiPriority w:val="99"/>
    <w:unhideWhenUsed/>
    <w:rsid w:val="00D104F7"/>
    <w:pPr>
      <w:tabs>
        <w:tab w:val="center" w:pos="4153"/>
        <w:tab w:val="right" w:pos="8306"/>
      </w:tabs>
      <w:snapToGrid w:val="0"/>
      <w:jc w:val="left"/>
    </w:pPr>
    <w:rPr>
      <w:sz w:val="18"/>
      <w:szCs w:val="18"/>
    </w:rPr>
  </w:style>
  <w:style w:type="character" w:customStyle="1" w:styleId="Char1">
    <w:name w:val="页脚 Char"/>
    <w:basedOn w:val="a0"/>
    <w:link w:val="a5"/>
    <w:uiPriority w:val="99"/>
    <w:rsid w:val="00D104F7"/>
    <w:rPr>
      <w:rFonts w:ascii="Times New Roman" w:eastAsia="宋体" w:hAnsi="Times New Roman" w:cs="Times New Roman"/>
      <w:sz w:val="18"/>
      <w:szCs w:val="18"/>
    </w:rPr>
  </w:style>
  <w:style w:type="paragraph" w:styleId="a6">
    <w:name w:val="List Paragraph"/>
    <w:basedOn w:val="a"/>
    <w:uiPriority w:val="34"/>
    <w:qFormat/>
    <w:rsid w:val="00343DB0"/>
    <w:pPr>
      <w:ind w:firstLineChars="200" w:firstLine="420"/>
    </w:pPr>
  </w:style>
  <w:style w:type="character" w:styleId="a7">
    <w:name w:val="annotation reference"/>
    <w:basedOn w:val="a0"/>
    <w:uiPriority w:val="99"/>
    <w:semiHidden/>
    <w:unhideWhenUsed/>
    <w:rsid w:val="00AA6510"/>
    <w:rPr>
      <w:sz w:val="21"/>
      <w:szCs w:val="21"/>
    </w:rPr>
  </w:style>
  <w:style w:type="paragraph" w:styleId="a8">
    <w:name w:val="annotation text"/>
    <w:basedOn w:val="a"/>
    <w:link w:val="Char2"/>
    <w:uiPriority w:val="99"/>
    <w:semiHidden/>
    <w:unhideWhenUsed/>
    <w:rsid w:val="00AA6510"/>
    <w:pPr>
      <w:jc w:val="left"/>
    </w:pPr>
  </w:style>
  <w:style w:type="character" w:customStyle="1" w:styleId="Char2">
    <w:name w:val="批注文字 Char"/>
    <w:basedOn w:val="a0"/>
    <w:link w:val="a8"/>
    <w:uiPriority w:val="99"/>
    <w:semiHidden/>
    <w:rsid w:val="00AA6510"/>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AA6510"/>
    <w:rPr>
      <w:b/>
      <w:bCs/>
    </w:rPr>
  </w:style>
  <w:style w:type="character" w:customStyle="1" w:styleId="Char3">
    <w:name w:val="批注主题 Char"/>
    <w:basedOn w:val="Char2"/>
    <w:link w:val="a9"/>
    <w:uiPriority w:val="99"/>
    <w:semiHidden/>
    <w:rsid w:val="00AA6510"/>
    <w:rPr>
      <w:rFonts w:ascii="Times New Roman" w:eastAsia="宋体" w:hAnsi="Times New Roman" w:cs="Times New Roman"/>
      <w:b/>
      <w:bCs/>
      <w:szCs w:val="24"/>
    </w:rPr>
  </w:style>
  <w:style w:type="paragraph" w:customStyle="1" w:styleId="affc">
    <w:name w:val="affc"/>
    <w:rsid w:val="00DA26BD"/>
    <w:pPr>
      <w:widowControl w:val="0"/>
      <w:jc w:val="both"/>
    </w:pPr>
    <w:rPr>
      <w:rFonts w:ascii="Times New Roman" w:eastAsia="宋体" w:hAnsi="Times New Roman" w:cs="Times New Roman"/>
      <w:szCs w:val="24"/>
    </w:rPr>
  </w:style>
  <w:style w:type="paragraph" w:customStyle="1" w:styleId="affe">
    <w:name w:val="affe"/>
    <w:rsid w:val="00D86F93"/>
    <w:pPr>
      <w:widowControl w:val="0"/>
      <w:jc w:val="both"/>
    </w:pPr>
    <w:rPr>
      <w:rFonts w:ascii="Times New Roman" w:eastAsia="宋体" w:hAnsi="Times New Roman" w:cs="Times New Roman"/>
      <w:szCs w:val="24"/>
    </w:rPr>
  </w:style>
  <w:style w:type="paragraph" w:styleId="aa">
    <w:name w:val="Revision"/>
    <w:hidden/>
    <w:uiPriority w:val="99"/>
    <w:semiHidden/>
    <w:rsid w:val="0056533C"/>
    <w:rPr>
      <w:rFonts w:ascii="Times New Roman" w:eastAsia="宋体" w:hAnsi="Times New Roman" w:cs="Times New Roman"/>
      <w:szCs w:val="24"/>
    </w:rPr>
  </w:style>
  <w:style w:type="paragraph" w:customStyle="1" w:styleId="ab">
    <w:name w:val="正文所"/>
    <w:basedOn w:val="a"/>
    <w:rsid w:val="00D538E6"/>
    <w:pPr>
      <w:widowControl/>
      <w:spacing w:line="360" w:lineRule="auto"/>
      <w:ind w:firstLineChars="200" w:firstLine="420"/>
    </w:pPr>
    <w:rPr>
      <w:rFonts w:ascii="宋体"/>
    </w:rPr>
  </w:style>
  <w:style w:type="paragraph" w:customStyle="1" w:styleId="affa">
    <w:name w:val="affa"/>
    <w:rsid w:val="00D538E6"/>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01530494">
      <w:bodyDiv w:val="1"/>
      <w:marLeft w:val="0"/>
      <w:marRight w:val="0"/>
      <w:marTop w:val="0"/>
      <w:marBottom w:val="0"/>
      <w:divBdr>
        <w:top w:val="none" w:sz="0" w:space="0" w:color="auto"/>
        <w:left w:val="none" w:sz="0" w:space="0" w:color="auto"/>
        <w:bottom w:val="none" w:sz="0" w:space="0" w:color="auto"/>
        <w:right w:val="none" w:sz="0" w:space="0" w:color="auto"/>
      </w:divBdr>
    </w:div>
    <w:div w:id="1839493275">
      <w:bodyDiv w:val="1"/>
      <w:marLeft w:val="0"/>
      <w:marRight w:val="0"/>
      <w:marTop w:val="0"/>
      <w:marBottom w:val="0"/>
      <w:divBdr>
        <w:top w:val="none" w:sz="0" w:space="0" w:color="auto"/>
        <w:left w:val="none" w:sz="0" w:space="0" w:color="auto"/>
        <w:bottom w:val="none" w:sz="0" w:space="0" w:color="auto"/>
        <w:right w:val="none" w:sz="0" w:space="0" w:color="auto"/>
      </w:divBdr>
    </w:div>
    <w:div w:id="21363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3219</Characters>
  <Application>Microsoft Office Word</Application>
  <DocSecurity>4</DocSecurity>
  <Lines>26</Lines>
  <Paragraphs>7</Paragraphs>
  <ScaleCrop>false</ScaleCrop>
  <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2025-11-20T23:34:00Z</cp:lastPrinted>
  <dcterms:created xsi:type="dcterms:W3CDTF">2026-02-08T16:02:00Z</dcterms:created>
  <dcterms:modified xsi:type="dcterms:W3CDTF">2026-02-08T16:02:00Z</dcterms:modified>
</cp:coreProperties>
</file>