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E1" w:rsidRDefault="00DF400E">
      <w:pPr>
        <w:spacing w:line="360" w:lineRule="auto"/>
        <w:jc w:val="center"/>
        <w:rPr>
          <w:rFonts w:ascii="宋体" w:eastAsia="宋体" w:hAnsi="宋体"/>
          <w:b/>
          <w:bCs/>
          <w:sz w:val="32"/>
          <w:szCs w:val="32"/>
        </w:rPr>
      </w:pPr>
      <w:r>
        <w:rPr>
          <w:rFonts w:ascii="宋体" w:eastAsia="宋体" w:hAnsi="宋体" w:hint="eastAsia"/>
          <w:b/>
          <w:bCs/>
          <w:sz w:val="32"/>
          <w:szCs w:val="32"/>
        </w:rPr>
        <w:t>弘毅远方基金管理有限公司关于弘毅远方国证民企领先</w:t>
      </w:r>
      <w:r>
        <w:rPr>
          <w:rFonts w:ascii="Arial" w:eastAsia="宋体" w:hAnsi="Arial" w:cs="Arial"/>
          <w:b/>
          <w:bCs/>
          <w:sz w:val="32"/>
          <w:szCs w:val="32"/>
        </w:rPr>
        <w:t>100</w:t>
      </w:r>
      <w:r>
        <w:rPr>
          <w:rFonts w:ascii="宋体" w:eastAsia="宋体" w:hAnsi="宋体" w:hint="eastAsia"/>
          <w:b/>
          <w:bCs/>
          <w:sz w:val="32"/>
          <w:szCs w:val="32"/>
        </w:rPr>
        <w:t>交易型开放式指数证券投资基金变更场内简称的公告</w:t>
      </w:r>
    </w:p>
    <w:p w:rsidR="00CE0CE1" w:rsidRDefault="00CE0CE1">
      <w:pPr>
        <w:spacing w:line="360" w:lineRule="auto"/>
        <w:rPr>
          <w:rFonts w:ascii="宋体" w:eastAsia="宋体" w:hAnsi="宋体"/>
          <w:sz w:val="24"/>
          <w:szCs w:val="24"/>
        </w:rPr>
      </w:pPr>
    </w:p>
    <w:p w:rsidR="00CE0CE1" w:rsidRDefault="00DF400E" w:rsidP="00DF400E">
      <w:pPr>
        <w:spacing w:line="360" w:lineRule="auto"/>
        <w:ind w:firstLineChars="177" w:firstLine="425"/>
        <w:rPr>
          <w:rFonts w:ascii="Arial" w:eastAsia="宋体" w:hAnsi="Arial" w:cs="Arial"/>
          <w:sz w:val="24"/>
          <w:szCs w:val="24"/>
        </w:rPr>
      </w:pPr>
      <w:r>
        <w:rPr>
          <w:rFonts w:ascii="宋体" w:eastAsia="宋体" w:hAnsi="宋体" w:hint="eastAsia"/>
          <w:sz w:val="24"/>
          <w:szCs w:val="24"/>
        </w:rPr>
        <w:t>根据《中华人民共和国</w:t>
      </w:r>
      <w:r>
        <w:rPr>
          <w:rFonts w:ascii="Arial" w:eastAsia="宋体" w:hAnsi="Arial" w:cs="Arial"/>
          <w:sz w:val="24"/>
          <w:szCs w:val="24"/>
        </w:rPr>
        <w:t>证券投资基金法》、《公开募集证券投资基金运作管理办法》以及《弘毅远方国证民企领先</w:t>
      </w:r>
      <w:r>
        <w:rPr>
          <w:rFonts w:ascii="Arial" w:eastAsia="宋体" w:hAnsi="Arial" w:cs="Arial"/>
          <w:sz w:val="24"/>
          <w:szCs w:val="24"/>
        </w:rPr>
        <w:t>100</w:t>
      </w:r>
      <w:r>
        <w:rPr>
          <w:rFonts w:ascii="Arial" w:eastAsia="宋体" w:hAnsi="Arial" w:cs="Arial"/>
          <w:sz w:val="24"/>
          <w:szCs w:val="24"/>
        </w:rPr>
        <w:t>交易型开放式指数证券投资基金基金合同》（以下简称</w:t>
      </w:r>
      <w:r>
        <w:rPr>
          <w:rFonts w:ascii="Arial" w:eastAsia="宋体" w:hAnsi="Arial" w:cs="Arial" w:hint="eastAsia"/>
          <w:sz w:val="24"/>
          <w:szCs w:val="24"/>
        </w:rPr>
        <w:t>“</w:t>
      </w:r>
      <w:r>
        <w:rPr>
          <w:rFonts w:ascii="Arial" w:eastAsia="宋体" w:hAnsi="Arial" w:cs="Arial"/>
          <w:sz w:val="24"/>
          <w:szCs w:val="24"/>
        </w:rPr>
        <w:t>《基金合同》</w:t>
      </w:r>
      <w:r>
        <w:rPr>
          <w:rFonts w:ascii="Arial" w:eastAsia="宋体" w:hAnsi="Arial" w:cs="Arial" w:hint="eastAsia"/>
          <w:sz w:val="24"/>
          <w:szCs w:val="24"/>
        </w:rPr>
        <w:t>”</w:t>
      </w:r>
      <w:r>
        <w:rPr>
          <w:rFonts w:ascii="Arial" w:eastAsia="宋体" w:hAnsi="Arial" w:cs="Arial"/>
          <w:sz w:val="24"/>
          <w:szCs w:val="24"/>
        </w:rPr>
        <w:t>）等规定，</w:t>
      </w:r>
      <w:r>
        <w:rPr>
          <w:rFonts w:ascii="Arial" w:eastAsia="宋体" w:hAnsi="Arial" w:cs="Arial" w:hint="eastAsia"/>
          <w:sz w:val="24"/>
          <w:szCs w:val="24"/>
        </w:rPr>
        <w:t>经向深圳证券交易所申请并获得同意，</w:t>
      </w:r>
      <w:r>
        <w:rPr>
          <w:rFonts w:ascii="Arial" w:eastAsia="宋体" w:hAnsi="Arial" w:cs="Arial"/>
          <w:sz w:val="24"/>
          <w:szCs w:val="24"/>
        </w:rPr>
        <w:t>弘毅远方基金管理有限公司决定自</w:t>
      </w:r>
      <w:r>
        <w:rPr>
          <w:rFonts w:ascii="Arial" w:eastAsia="宋体" w:hAnsi="Arial" w:cs="Arial"/>
          <w:sz w:val="24"/>
          <w:szCs w:val="24"/>
        </w:rPr>
        <w:t>202</w:t>
      </w:r>
      <w:r>
        <w:rPr>
          <w:rFonts w:ascii="Arial" w:eastAsia="宋体" w:hAnsi="Arial" w:cs="Arial" w:hint="eastAsia"/>
          <w:sz w:val="24"/>
          <w:szCs w:val="24"/>
        </w:rPr>
        <w:t>6</w:t>
      </w:r>
      <w:r>
        <w:rPr>
          <w:rFonts w:ascii="Arial" w:eastAsia="宋体" w:hAnsi="Arial" w:cs="Arial"/>
          <w:sz w:val="24"/>
          <w:szCs w:val="24"/>
        </w:rPr>
        <w:t>年</w:t>
      </w:r>
      <w:r>
        <w:rPr>
          <w:rFonts w:ascii="Arial" w:eastAsia="宋体" w:hAnsi="Arial" w:cs="Arial" w:hint="eastAsia"/>
          <w:sz w:val="24"/>
          <w:szCs w:val="24"/>
        </w:rPr>
        <w:t>2</w:t>
      </w:r>
      <w:r>
        <w:rPr>
          <w:rFonts w:ascii="Arial" w:eastAsia="宋体" w:hAnsi="Arial" w:cs="Arial"/>
          <w:sz w:val="24"/>
          <w:szCs w:val="24"/>
        </w:rPr>
        <w:t>月</w:t>
      </w:r>
      <w:r>
        <w:rPr>
          <w:rFonts w:ascii="Arial" w:eastAsia="宋体" w:hAnsi="Arial" w:cs="Arial" w:hint="eastAsia"/>
          <w:sz w:val="24"/>
          <w:szCs w:val="24"/>
        </w:rPr>
        <w:t>10</w:t>
      </w:r>
      <w:r>
        <w:rPr>
          <w:rFonts w:ascii="Arial" w:eastAsia="宋体" w:hAnsi="Arial" w:cs="Arial"/>
          <w:sz w:val="24"/>
          <w:szCs w:val="24"/>
        </w:rPr>
        <w:t>日起变更弘毅远方国证民企领先</w:t>
      </w:r>
      <w:r>
        <w:rPr>
          <w:rFonts w:ascii="Arial" w:eastAsia="宋体" w:hAnsi="Arial" w:cs="Arial"/>
          <w:sz w:val="24"/>
          <w:szCs w:val="24"/>
        </w:rPr>
        <w:t>100</w:t>
      </w:r>
      <w:r>
        <w:rPr>
          <w:rFonts w:ascii="Arial" w:eastAsia="宋体" w:hAnsi="Arial" w:cs="Arial"/>
          <w:sz w:val="24"/>
          <w:szCs w:val="24"/>
        </w:rPr>
        <w:t>交易型开放式指数证券投资基金（基金代码</w:t>
      </w:r>
      <w:r>
        <w:rPr>
          <w:rFonts w:ascii="宋体" w:eastAsia="宋体" w:hAnsi="宋体" w:cs="Arial" w:hint="eastAsia"/>
          <w:sz w:val="24"/>
          <w:szCs w:val="24"/>
        </w:rPr>
        <w:t>：</w:t>
      </w:r>
      <w:r>
        <w:rPr>
          <w:rFonts w:ascii="Arial" w:eastAsia="宋体" w:hAnsi="Arial" w:cs="Arial"/>
          <w:sz w:val="24"/>
          <w:szCs w:val="24"/>
        </w:rPr>
        <w:t>159973</w:t>
      </w:r>
      <w:r>
        <w:rPr>
          <w:rFonts w:ascii="Arial" w:eastAsia="宋体" w:hAnsi="Arial" w:cs="Arial"/>
          <w:sz w:val="24"/>
          <w:szCs w:val="24"/>
        </w:rPr>
        <w:t>）的场内简称。场内简称适用于交易、申购赎回及行情展示。具体如下表所示：</w:t>
      </w:r>
    </w:p>
    <w:p w:rsidR="00CE0CE1" w:rsidRDefault="00CE0CE1" w:rsidP="00DF400E">
      <w:pPr>
        <w:spacing w:line="360" w:lineRule="auto"/>
        <w:ind w:firstLineChars="177" w:firstLine="425"/>
        <w:rPr>
          <w:rFonts w:ascii="Arial" w:eastAsia="宋体" w:hAnsi="Arial" w:cs="Arial"/>
          <w:sz w:val="24"/>
          <w:szCs w:val="24"/>
        </w:rPr>
      </w:pPr>
    </w:p>
    <w:tbl>
      <w:tblPr>
        <w:tblStyle w:val="a5"/>
        <w:tblW w:w="0" w:type="auto"/>
        <w:tblLook w:val="04A0"/>
      </w:tblPr>
      <w:tblGrid>
        <w:gridCol w:w="2765"/>
        <w:gridCol w:w="2765"/>
        <w:gridCol w:w="2766"/>
      </w:tblGrid>
      <w:tr w:rsidR="00CE0CE1">
        <w:tc>
          <w:tcPr>
            <w:tcW w:w="2765" w:type="dxa"/>
          </w:tcPr>
          <w:p w:rsidR="00CE0CE1" w:rsidRDefault="00DF400E">
            <w:pPr>
              <w:spacing w:line="360" w:lineRule="auto"/>
              <w:jc w:val="center"/>
              <w:rPr>
                <w:rFonts w:ascii="Arial" w:eastAsia="宋体" w:hAnsi="Arial" w:cs="Arial"/>
                <w:b/>
                <w:bCs/>
                <w:sz w:val="24"/>
                <w:szCs w:val="24"/>
              </w:rPr>
            </w:pPr>
            <w:r>
              <w:rPr>
                <w:rFonts w:ascii="Arial" w:eastAsia="宋体" w:hAnsi="Arial" w:cs="Arial"/>
                <w:b/>
                <w:bCs/>
                <w:sz w:val="24"/>
                <w:szCs w:val="24"/>
              </w:rPr>
              <w:t>基金代码</w:t>
            </w:r>
          </w:p>
        </w:tc>
        <w:tc>
          <w:tcPr>
            <w:tcW w:w="2765" w:type="dxa"/>
          </w:tcPr>
          <w:p w:rsidR="00CE0CE1" w:rsidRDefault="00DF400E">
            <w:pPr>
              <w:spacing w:line="360" w:lineRule="auto"/>
              <w:jc w:val="center"/>
              <w:rPr>
                <w:rFonts w:ascii="Arial" w:eastAsia="宋体" w:hAnsi="Arial" w:cs="Arial"/>
                <w:b/>
                <w:bCs/>
                <w:sz w:val="24"/>
                <w:szCs w:val="24"/>
              </w:rPr>
            </w:pPr>
            <w:r>
              <w:rPr>
                <w:rFonts w:ascii="Arial" w:eastAsia="宋体" w:hAnsi="Arial" w:cs="Arial"/>
                <w:b/>
                <w:bCs/>
                <w:sz w:val="24"/>
                <w:szCs w:val="24"/>
              </w:rPr>
              <w:t>变更前场内简称</w:t>
            </w:r>
          </w:p>
        </w:tc>
        <w:tc>
          <w:tcPr>
            <w:tcW w:w="2766" w:type="dxa"/>
          </w:tcPr>
          <w:p w:rsidR="00CE0CE1" w:rsidRDefault="00DF400E">
            <w:pPr>
              <w:spacing w:line="360" w:lineRule="auto"/>
              <w:jc w:val="center"/>
              <w:rPr>
                <w:rFonts w:ascii="Arial" w:eastAsia="宋体" w:hAnsi="Arial" w:cs="Arial"/>
                <w:b/>
                <w:bCs/>
                <w:sz w:val="24"/>
                <w:szCs w:val="24"/>
              </w:rPr>
            </w:pPr>
            <w:r>
              <w:rPr>
                <w:rFonts w:ascii="Arial" w:eastAsia="宋体" w:hAnsi="Arial" w:cs="Arial"/>
                <w:b/>
                <w:bCs/>
                <w:sz w:val="24"/>
                <w:szCs w:val="24"/>
              </w:rPr>
              <w:t>变更后场内简称</w:t>
            </w:r>
          </w:p>
        </w:tc>
      </w:tr>
      <w:tr w:rsidR="00CE0CE1">
        <w:tc>
          <w:tcPr>
            <w:tcW w:w="2765" w:type="dxa"/>
          </w:tcPr>
          <w:p w:rsidR="00CE0CE1" w:rsidRDefault="00DF400E">
            <w:pPr>
              <w:spacing w:line="360" w:lineRule="auto"/>
              <w:jc w:val="center"/>
              <w:rPr>
                <w:rFonts w:ascii="Arial" w:eastAsia="宋体" w:hAnsi="Arial" w:cs="Arial"/>
                <w:sz w:val="24"/>
                <w:szCs w:val="24"/>
              </w:rPr>
            </w:pPr>
            <w:r>
              <w:rPr>
                <w:rFonts w:ascii="Arial" w:eastAsia="宋体" w:hAnsi="Arial" w:cs="Arial"/>
                <w:sz w:val="24"/>
                <w:szCs w:val="24"/>
              </w:rPr>
              <w:t>159973</w:t>
            </w:r>
          </w:p>
        </w:tc>
        <w:tc>
          <w:tcPr>
            <w:tcW w:w="2765" w:type="dxa"/>
          </w:tcPr>
          <w:p w:rsidR="00CE0CE1" w:rsidRDefault="00DF400E">
            <w:pPr>
              <w:spacing w:line="360" w:lineRule="auto"/>
              <w:jc w:val="center"/>
              <w:rPr>
                <w:rFonts w:ascii="Arial" w:eastAsia="宋体" w:hAnsi="Arial" w:cs="Arial"/>
                <w:sz w:val="24"/>
                <w:szCs w:val="24"/>
              </w:rPr>
            </w:pPr>
            <w:r>
              <w:rPr>
                <w:rFonts w:ascii="Arial" w:eastAsia="宋体" w:hAnsi="Arial" w:cs="Arial"/>
                <w:sz w:val="24"/>
                <w:szCs w:val="24"/>
              </w:rPr>
              <w:t>民企</w:t>
            </w:r>
            <w:r>
              <w:rPr>
                <w:rFonts w:ascii="Arial" w:eastAsia="宋体" w:hAnsi="Arial" w:cs="Arial"/>
                <w:sz w:val="24"/>
                <w:szCs w:val="24"/>
              </w:rPr>
              <w:t>ETF</w:t>
            </w:r>
          </w:p>
        </w:tc>
        <w:tc>
          <w:tcPr>
            <w:tcW w:w="2766" w:type="dxa"/>
          </w:tcPr>
          <w:p w:rsidR="00CE0CE1" w:rsidRDefault="00DF400E">
            <w:pPr>
              <w:spacing w:line="360" w:lineRule="auto"/>
              <w:jc w:val="center"/>
              <w:rPr>
                <w:rFonts w:ascii="Arial" w:eastAsia="宋体" w:hAnsi="Arial" w:cs="Arial"/>
                <w:sz w:val="24"/>
                <w:szCs w:val="24"/>
              </w:rPr>
            </w:pPr>
            <w:r>
              <w:rPr>
                <w:rFonts w:ascii="Arial" w:eastAsia="宋体" w:hAnsi="Arial" w:cs="Arial"/>
                <w:sz w:val="24"/>
                <w:szCs w:val="24"/>
              </w:rPr>
              <w:t>民企</w:t>
            </w:r>
            <w:r>
              <w:rPr>
                <w:rFonts w:ascii="Arial" w:eastAsia="宋体" w:hAnsi="Arial" w:cs="Arial"/>
                <w:sz w:val="24"/>
                <w:szCs w:val="24"/>
              </w:rPr>
              <w:t>ETF</w:t>
            </w:r>
            <w:r>
              <w:rPr>
                <w:rFonts w:ascii="Arial" w:eastAsia="宋体" w:hAnsi="Arial" w:cs="Arial" w:hint="eastAsia"/>
                <w:sz w:val="24"/>
                <w:szCs w:val="24"/>
              </w:rPr>
              <w:t>弘毅远方</w:t>
            </w:r>
          </w:p>
        </w:tc>
      </w:tr>
    </w:tbl>
    <w:p w:rsidR="00CE0CE1" w:rsidRDefault="00CE0CE1" w:rsidP="00DF400E">
      <w:pPr>
        <w:spacing w:line="360" w:lineRule="auto"/>
        <w:ind w:firstLineChars="177" w:firstLine="425"/>
        <w:rPr>
          <w:rFonts w:ascii="Arial" w:eastAsia="宋体" w:hAnsi="Arial" w:cs="Arial"/>
          <w:sz w:val="24"/>
          <w:szCs w:val="24"/>
        </w:rPr>
      </w:pPr>
    </w:p>
    <w:p w:rsidR="00CE0CE1" w:rsidRDefault="00DF400E" w:rsidP="00DF400E">
      <w:pPr>
        <w:spacing w:line="360" w:lineRule="auto"/>
        <w:ind w:firstLineChars="177" w:firstLine="425"/>
        <w:rPr>
          <w:rFonts w:ascii="Arial" w:eastAsia="宋体" w:hAnsi="Arial" w:cs="Arial"/>
          <w:sz w:val="24"/>
          <w:szCs w:val="24"/>
        </w:rPr>
      </w:pPr>
      <w:r>
        <w:rPr>
          <w:rFonts w:ascii="Arial" w:eastAsia="宋体" w:hAnsi="Arial" w:cs="Arial"/>
          <w:sz w:val="24"/>
          <w:szCs w:val="24"/>
        </w:rPr>
        <w:t>按照《基金合同》约定，本次基金变更上述简称对基金份额持有人利益无实质性不利影响，且不涉及基金合同当事人权利义务关系发生变化，无需召开基金份额持有人大会。</w:t>
      </w:r>
    </w:p>
    <w:p w:rsidR="00CE0CE1" w:rsidRDefault="00DF400E" w:rsidP="00DF400E">
      <w:pPr>
        <w:spacing w:line="360" w:lineRule="auto"/>
        <w:ind w:firstLineChars="177" w:firstLine="425"/>
        <w:rPr>
          <w:rFonts w:ascii="Arial" w:eastAsia="宋体" w:hAnsi="Arial" w:cs="Arial"/>
          <w:sz w:val="24"/>
          <w:szCs w:val="24"/>
        </w:rPr>
      </w:pPr>
      <w:r>
        <w:rPr>
          <w:rFonts w:ascii="Arial" w:eastAsia="宋体" w:hAnsi="Arial" w:cs="Arial"/>
          <w:sz w:val="24"/>
          <w:szCs w:val="24"/>
        </w:rPr>
        <w:t>上述变更自</w:t>
      </w:r>
      <w:r>
        <w:rPr>
          <w:rFonts w:ascii="Arial" w:eastAsia="宋体" w:hAnsi="Arial" w:cs="Arial"/>
          <w:sz w:val="24"/>
          <w:szCs w:val="24"/>
        </w:rPr>
        <w:t>202</w:t>
      </w:r>
      <w:r>
        <w:rPr>
          <w:rFonts w:ascii="Arial" w:eastAsia="宋体" w:hAnsi="Arial" w:cs="Arial" w:hint="eastAsia"/>
          <w:sz w:val="24"/>
          <w:szCs w:val="24"/>
        </w:rPr>
        <w:t>6</w:t>
      </w:r>
      <w:r>
        <w:rPr>
          <w:rFonts w:ascii="Arial" w:eastAsia="宋体" w:hAnsi="Arial" w:cs="Arial"/>
          <w:sz w:val="24"/>
          <w:szCs w:val="24"/>
        </w:rPr>
        <w:t>年</w:t>
      </w:r>
      <w:r>
        <w:rPr>
          <w:rFonts w:ascii="Arial" w:eastAsia="宋体" w:hAnsi="Arial" w:cs="Arial" w:hint="eastAsia"/>
          <w:sz w:val="24"/>
          <w:szCs w:val="24"/>
        </w:rPr>
        <w:t>2</w:t>
      </w:r>
      <w:r>
        <w:rPr>
          <w:rFonts w:ascii="Arial" w:eastAsia="宋体" w:hAnsi="Arial" w:cs="Arial"/>
          <w:sz w:val="24"/>
          <w:szCs w:val="24"/>
        </w:rPr>
        <w:t>月</w:t>
      </w:r>
      <w:r>
        <w:rPr>
          <w:rFonts w:ascii="Arial" w:eastAsia="宋体" w:hAnsi="Arial" w:cs="Arial" w:hint="eastAsia"/>
          <w:sz w:val="24"/>
          <w:szCs w:val="24"/>
        </w:rPr>
        <w:t>10</w:t>
      </w:r>
      <w:r>
        <w:rPr>
          <w:rFonts w:ascii="Arial" w:eastAsia="宋体" w:hAnsi="Arial" w:cs="Arial"/>
          <w:sz w:val="24"/>
          <w:szCs w:val="24"/>
        </w:rPr>
        <w:t>日起生效。</w:t>
      </w:r>
    </w:p>
    <w:p w:rsidR="00CE0CE1" w:rsidRDefault="00DF400E" w:rsidP="00DF400E">
      <w:pPr>
        <w:spacing w:line="360" w:lineRule="auto"/>
        <w:ind w:firstLineChars="177" w:firstLine="425"/>
        <w:rPr>
          <w:rFonts w:ascii="Arial" w:eastAsia="宋体" w:hAnsi="Arial" w:cs="Arial"/>
          <w:sz w:val="24"/>
          <w:szCs w:val="24"/>
        </w:rPr>
      </w:pPr>
      <w:r>
        <w:rPr>
          <w:rFonts w:ascii="Arial" w:eastAsia="宋体" w:hAnsi="Arial" w:cs="Arial"/>
          <w:sz w:val="24"/>
          <w:szCs w:val="24"/>
        </w:rPr>
        <w:t>投资者</w:t>
      </w:r>
      <w:r>
        <w:rPr>
          <w:rFonts w:ascii="Arial" w:eastAsia="宋体" w:hAnsi="Arial" w:cs="Arial" w:hint="eastAsia"/>
          <w:sz w:val="24"/>
          <w:szCs w:val="24"/>
        </w:rPr>
        <w:t>可</w:t>
      </w:r>
      <w:r>
        <w:rPr>
          <w:rFonts w:ascii="Arial" w:eastAsia="宋体" w:hAnsi="Arial" w:cs="Arial"/>
          <w:sz w:val="24"/>
          <w:szCs w:val="24"/>
        </w:rPr>
        <w:t>拨打本公司客户服务电话（</w:t>
      </w:r>
      <w:r>
        <w:rPr>
          <w:rFonts w:ascii="Arial" w:eastAsia="宋体" w:hAnsi="Arial" w:cs="Arial"/>
          <w:sz w:val="24"/>
          <w:szCs w:val="24"/>
        </w:rPr>
        <w:t>400-920-8800</w:t>
      </w:r>
      <w:r>
        <w:rPr>
          <w:rFonts w:ascii="Arial" w:eastAsia="宋体" w:hAnsi="Arial" w:cs="Arial"/>
          <w:sz w:val="24"/>
          <w:szCs w:val="24"/>
        </w:rPr>
        <w:t>）或登录本公司网站（</w:t>
      </w:r>
      <w:r>
        <w:rPr>
          <w:rFonts w:ascii="Arial" w:eastAsia="宋体" w:hAnsi="Arial" w:cs="Arial"/>
          <w:sz w:val="24"/>
          <w:szCs w:val="24"/>
        </w:rPr>
        <w:t>www.honyfunds.com</w:t>
      </w:r>
      <w:r>
        <w:rPr>
          <w:rFonts w:ascii="Arial" w:eastAsia="宋体" w:hAnsi="Arial" w:cs="Arial"/>
          <w:sz w:val="24"/>
          <w:szCs w:val="24"/>
        </w:rPr>
        <w:t>）查询相关事宜。</w:t>
      </w:r>
    </w:p>
    <w:p w:rsidR="00CE0CE1" w:rsidRDefault="00CE0CE1" w:rsidP="00DF400E">
      <w:pPr>
        <w:spacing w:line="360" w:lineRule="auto"/>
        <w:ind w:firstLineChars="177" w:firstLine="425"/>
        <w:rPr>
          <w:rFonts w:ascii="Arial" w:eastAsia="宋体" w:hAnsi="Arial" w:cs="Arial"/>
          <w:sz w:val="24"/>
          <w:szCs w:val="24"/>
        </w:rPr>
      </w:pPr>
    </w:p>
    <w:p w:rsidR="00CE0CE1" w:rsidRDefault="00DF400E">
      <w:pPr>
        <w:spacing w:line="360" w:lineRule="auto"/>
        <w:ind w:firstLineChars="177" w:firstLine="426"/>
        <w:rPr>
          <w:rFonts w:ascii="Arial" w:eastAsia="宋体" w:hAnsi="Arial" w:cs="Arial"/>
          <w:b/>
          <w:bCs/>
          <w:sz w:val="24"/>
          <w:szCs w:val="24"/>
        </w:rPr>
      </w:pPr>
      <w:r>
        <w:rPr>
          <w:rFonts w:ascii="Arial" w:eastAsia="宋体" w:hAnsi="Arial" w:cs="Arial"/>
          <w:b/>
          <w:bCs/>
          <w:sz w:val="24"/>
          <w:szCs w:val="24"/>
        </w:rPr>
        <w:t>风险提示：</w:t>
      </w:r>
    </w:p>
    <w:p w:rsidR="00CE0CE1" w:rsidRDefault="00CE0CE1" w:rsidP="00DF400E">
      <w:pPr>
        <w:spacing w:line="360" w:lineRule="auto"/>
        <w:ind w:firstLineChars="177" w:firstLine="425"/>
        <w:rPr>
          <w:rFonts w:ascii="Arial" w:eastAsia="宋体" w:hAnsi="Arial" w:cs="Arial"/>
          <w:sz w:val="24"/>
          <w:szCs w:val="24"/>
        </w:rPr>
      </w:pPr>
    </w:p>
    <w:p w:rsidR="00CE0CE1" w:rsidRDefault="00DF400E" w:rsidP="00DF400E">
      <w:pPr>
        <w:spacing w:line="360" w:lineRule="auto"/>
        <w:ind w:firstLineChars="177" w:firstLine="425"/>
        <w:rPr>
          <w:rFonts w:ascii="Arial" w:eastAsia="宋体" w:hAnsi="Arial" w:cs="Arial"/>
          <w:sz w:val="24"/>
          <w:szCs w:val="24"/>
        </w:rPr>
      </w:pPr>
      <w:r>
        <w:rPr>
          <w:rFonts w:ascii="Arial" w:eastAsia="宋体" w:hAnsi="Arial" w:cs="Arial"/>
          <w:sz w:val="24"/>
          <w:szCs w:val="24"/>
        </w:rPr>
        <w:t>本基金管理人承诺以诚实信用、勤勉尽责的原则管理和运用基金财产，但不保证基金一定盈利，也不保证最低收益。基金的过往业绩并不代表其将来表现，基金管理人管理的其他基金的业绩并不构成对本基金业绩表现的保证。投资有风险，敬请投资者认真阅读基金的相关法律文件，了解基金产品的详细情况，选择与自身风险识别能力和风险承受能力相匹配的基金产品进行投资。本公告的解释权归本基金管理人所有。</w:t>
      </w:r>
    </w:p>
    <w:p w:rsidR="00CE0CE1" w:rsidRDefault="00CE0CE1">
      <w:pPr>
        <w:spacing w:line="360" w:lineRule="auto"/>
        <w:rPr>
          <w:rFonts w:ascii="宋体" w:eastAsia="宋体" w:hAnsi="宋体"/>
          <w:sz w:val="24"/>
          <w:szCs w:val="24"/>
        </w:rPr>
      </w:pPr>
    </w:p>
    <w:p w:rsidR="00CE0CE1" w:rsidRDefault="00DF400E">
      <w:pPr>
        <w:spacing w:line="360" w:lineRule="auto"/>
        <w:ind w:firstLine="420"/>
        <w:rPr>
          <w:rFonts w:ascii="宋体" w:eastAsia="宋体" w:hAnsi="宋体"/>
          <w:sz w:val="24"/>
          <w:szCs w:val="24"/>
        </w:rPr>
      </w:pPr>
      <w:r>
        <w:rPr>
          <w:rFonts w:ascii="宋体" w:eastAsia="宋体" w:hAnsi="宋体" w:hint="eastAsia"/>
          <w:sz w:val="24"/>
          <w:szCs w:val="24"/>
        </w:rPr>
        <w:lastRenderedPageBreak/>
        <w:t>特此公告。</w:t>
      </w:r>
    </w:p>
    <w:p w:rsidR="00CE0CE1" w:rsidRDefault="00CE0CE1">
      <w:pPr>
        <w:spacing w:line="360" w:lineRule="auto"/>
        <w:rPr>
          <w:rFonts w:ascii="宋体" w:eastAsia="宋体" w:hAnsi="宋体"/>
          <w:sz w:val="24"/>
          <w:szCs w:val="24"/>
        </w:rPr>
      </w:pPr>
    </w:p>
    <w:p w:rsidR="00CE0CE1" w:rsidRDefault="00CE0CE1">
      <w:pPr>
        <w:spacing w:line="360" w:lineRule="auto"/>
        <w:rPr>
          <w:rFonts w:ascii="宋体" w:eastAsia="宋体" w:hAnsi="宋体"/>
          <w:sz w:val="24"/>
          <w:szCs w:val="24"/>
        </w:rPr>
      </w:pPr>
    </w:p>
    <w:p w:rsidR="00CE0CE1" w:rsidRDefault="00DF400E">
      <w:pPr>
        <w:spacing w:line="360" w:lineRule="auto"/>
        <w:jc w:val="right"/>
        <w:rPr>
          <w:rFonts w:ascii="Arial" w:eastAsia="宋体" w:hAnsi="Arial" w:cs="Arial"/>
          <w:sz w:val="24"/>
          <w:szCs w:val="24"/>
        </w:rPr>
      </w:pPr>
      <w:r>
        <w:rPr>
          <w:rFonts w:ascii="Arial" w:eastAsia="宋体" w:hAnsi="Arial" w:cs="Arial"/>
          <w:sz w:val="24"/>
          <w:szCs w:val="24"/>
        </w:rPr>
        <w:t>弘毅远方基金管理有限公司</w:t>
      </w:r>
    </w:p>
    <w:p w:rsidR="00CE0CE1" w:rsidRDefault="00DF400E">
      <w:pPr>
        <w:spacing w:line="360" w:lineRule="auto"/>
        <w:jc w:val="right"/>
        <w:rPr>
          <w:rFonts w:ascii="Arial" w:eastAsia="宋体" w:hAnsi="Arial" w:cs="Arial"/>
          <w:sz w:val="24"/>
          <w:szCs w:val="24"/>
        </w:rPr>
      </w:pPr>
      <w:r>
        <w:rPr>
          <w:rFonts w:ascii="Arial" w:eastAsia="宋体" w:hAnsi="Arial" w:cs="Arial"/>
          <w:sz w:val="24"/>
          <w:szCs w:val="24"/>
        </w:rPr>
        <w:t>202</w:t>
      </w:r>
      <w:r>
        <w:rPr>
          <w:rFonts w:ascii="Arial" w:eastAsia="宋体" w:hAnsi="Arial" w:cs="Arial" w:hint="eastAsia"/>
          <w:sz w:val="24"/>
          <w:szCs w:val="24"/>
        </w:rPr>
        <w:t>6</w:t>
      </w:r>
      <w:r>
        <w:rPr>
          <w:rFonts w:ascii="Arial" w:eastAsia="宋体" w:hAnsi="Arial" w:cs="Arial"/>
          <w:sz w:val="24"/>
          <w:szCs w:val="24"/>
        </w:rPr>
        <w:t>年</w:t>
      </w:r>
      <w:r>
        <w:rPr>
          <w:rFonts w:ascii="Arial" w:eastAsia="宋体" w:hAnsi="Arial" w:cs="Arial" w:hint="eastAsia"/>
          <w:sz w:val="24"/>
          <w:szCs w:val="24"/>
        </w:rPr>
        <w:t>2</w:t>
      </w:r>
      <w:r>
        <w:rPr>
          <w:rFonts w:ascii="Arial" w:eastAsia="宋体" w:hAnsi="Arial" w:cs="Arial"/>
          <w:sz w:val="24"/>
          <w:szCs w:val="24"/>
        </w:rPr>
        <w:t>月</w:t>
      </w:r>
      <w:r>
        <w:rPr>
          <w:rFonts w:ascii="Arial" w:eastAsia="宋体" w:hAnsi="Arial" w:cs="Arial" w:hint="eastAsia"/>
          <w:sz w:val="24"/>
          <w:szCs w:val="24"/>
        </w:rPr>
        <w:t>9</w:t>
      </w:r>
      <w:bookmarkStart w:id="0" w:name="_GoBack"/>
      <w:bookmarkEnd w:id="0"/>
      <w:r>
        <w:rPr>
          <w:rFonts w:ascii="Arial" w:eastAsia="宋体" w:hAnsi="Arial" w:cs="Arial"/>
          <w:sz w:val="24"/>
          <w:szCs w:val="24"/>
        </w:rPr>
        <w:t>日</w:t>
      </w:r>
    </w:p>
    <w:sectPr w:rsidR="00CE0CE1" w:rsidSect="00CE0C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TI5MWRkNjQ5NjE3NjlhNjhiNzU5YTcxY2UwNmEyNzgifQ=="/>
  </w:docVars>
  <w:rsids>
    <w:rsidRoot w:val="00DF3106"/>
    <w:rsid w:val="001E6CEF"/>
    <w:rsid w:val="00587FC9"/>
    <w:rsid w:val="00715DA4"/>
    <w:rsid w:val="00CE0CE1"/>
    <w:rsid w:val="00DF3106"/>
    <w:rsid w:val="00DF400E"/>
    <w:rsid w:val="00F11DA9"/>
    <w:rsid w:val="13BD4DBF"/>
    <w:rsid w:val="416B67F1"/>
    <w:rsid w:val="4A0273C1"/>
    <w:rsid w:val="7B1267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C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E0CE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E0CE1"/>
    <w:pPr>
      <w:tabs>
        <w:tab w:val="center" w:pos="4153"/>
        <w:tab w:val="right" w:pos="8306"/>
      </w:tabs>
      <w:snapToGrid w:val="0"/>
      <w:jc w:val="center"/>
    </w:pPr>
    <w:rPr>
      <w:sz w:val="18"/>
      <w:szCs w:val="18"/>
    </w:rPr>
  </w:style>
  <w:style w:type="table" w:styleId="a5">
    <w:name w:val="Table Grid"/>
    <w:basedOn w:val="a1"/>
    <w:uiPriority w:val="39"/>
    <w:qFormat/>
    <w:rsid w:val="00CE0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CE0CE1"/>
    <w:rPr>
      <w:sz w:val="18"/>
      <w:szCs w:val="18"/>
    </w:rPr>
  </w:style>
  <w:style w:type="character" w:customStyle="1" w:styleId="Char">
    <w:name w:val="页脚 Char"/>
    <w:basedOn w:val="a0"/>
    <w:link w:val="a3"/>
    <w:uiPriority w:val="99"/>
    <w:qFormat/>
    <w:rsid w:val="00CE0CE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593</Characters>
  <Application>Microsoft Office Word</Application>
  <DocSecurity>4</DocSecurity>
  <Lines>4</Lines>
  <Paragraphs>1</Paragraphs>
  <ScaleCrop>false</ScaleCrop>
  <Company>CNSTOCK</Company>
  <LinksUpToDate>false</LinksUpToDate>
  <CharactersWithSpaces>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讷泽</dc:creator>
  <cp:lastModifiedBy>ZHONGM</cp:lastModifiedBy>
  <cp:revision>2</cp:revision>
  <dcterms:created xsi:type="dcterms:W3CDTF">2026-02-08T16:00:00Z</dcterms:created>
  <dcterms:modified xsi:type="dcterms:W3CDTF">2026-02-08T16:00:00Z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D83448726ED84F148AAF7C2C10D78CA7_13</vt:lpwstr>
  </property>
  <property fmtid="{D5CDD505-2E9C-101B-9397-08002B2CF9AE}" pid="4" name="KSOTemplateDocerSaveRecord">
    <vt:lpwstr>eyJoZGlkIjoiOWI4MDRkNzI5YWMwY2UzZDMxMDVkYTRmY2Q3NGIzZmEiLCJ1c2VySWQiOiIxNjEwMDY3NzA3In0=</vt:lpwstr>
  </property>
</Properties>
</file>