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59" w:rsidRDefault="0057428A">
      <w:pPr>
        <w:jc w:val="center"/>
        <w:rPr>
          <w:rFonts w:ascii="黑体" w:eastAsia="黑体" w:hAnsi="黑体"/>
          <w:color w:val="000000"/>
          <w:sz w:val="36"/>
          <w:szCs w:val="32"/>
        </w:rPr>
      </w:pPr>
      <w:r>
        <w:rPr>
          <w:rFonts w:ascii="黑体" w:eastAsia="黑体" w:hAnsi="黑体" w:hint="eastAsia"/>
          <w:color w:val="000000"/>
          <w:sz w:val="36"/>
          <w:szCs w:val="32"/>
        </w:rPr>
        <w:t>工银瑞信</w:t>
      </w:r>
      <w:r>
        <w:rPr>
          <w:rFonts w:ascii="黑体" w:eastAsia="黑体" w:hAnsi="黑体"/>
          <w:color w:val="000000"/>
          <w:sz w:val="36"/>
          <w:szCs w:val="32"/>
        </w:rPr>
        <w:t>基金管理有限公司</w:t>
      </w:r>
    </w:p>
    <w:p w:rsidR="00D14E59" w:rsidRDefault="0057428A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color w:val="000000"/>
          <w:sz w:val="36"/>
          <w:szCs w:val="32"/>
        </w:rPr>
        <w:t>关于</w:t>
      </w:r>
      <w:r w:rsidR="007A2ED2" w:rsidRPr="007A2ED2">
        <w:rPr>
          <w:rFonts w:ascii="黑体" w:eastAsia="黑体" w:hAnsi="黑体" w:hint="eastAsia"/>
          <w:color w:val="000000"/>
          <w:sz w:val="36"/>
          <w:szCs w:val="32"/>
        </w:rPr>
        <w:t>工银瑞信新经济灵活配置混合型证券投资基金（</w:t>
      </w:r>
      <w:r w:rsidR="007A2ED2" w:rsidRPr="007A2ED2">
        <w:rPr>
          <w:rFonts w:ascii="黑体" w:eastAsia="黑体" w:hAnsi="黑体"/>
          <w:color w:val="000000"/>
          <w:sz w:val="36"/>
          <w:szCs w:val="32"/>
        </w:rPr>
        <w:t>QDII）</w:t>
      </w:r>
      <w:r w:rsidR="00147D5C">
        <w:rPr>
          <w:rFonts w:ascii="黑体" w:eastAsia="黑体" w:hAnsi="黑体" w:hint="eastAsia"/>
          <w:color w:val="000000"/>
          <w:sz w:val="36"/>
          <w:szCs w:val="32"/>
        </w:rPr>
        <w:t>、</w:t>
      </w:r>
      <w:r w:rsidR="00147D5C" w:rsidRPr="00147D5C">
        <w:rPr>
          <w:rFonts w:ascii="黑体" w:eastAsia="黑体" w:hAnsi="黑体" w:hint="eastAsia"/>
          <w:color w:val="000000"/>
          <w:sz w:val="36"/>
          <w:szCs w:val="32"/>
        </w:rPr>
        <w:t>工银瑞信中国机会全球配置股票型证券投资基金（</w:t>
      </w:r>
      <w:r w:rsidR="00147D5C" w:rsidRPr="00147D5C">
        <w:rPr>
          <w:rFonts w:ascii="黑体" w:eastAsia="黑体" w:hAnsi="黑体"/>
          <w:color w:val="000000"/>
          <w:sz w:val="36"/>
          <w:szCs w:val="32"/>
        </w:rPr>
        <w:t>QDII）</w:t>
      </w:r>
      <w:r>
        <w:rPr>
          <w:rFonts w:ascii="黑体" w:eastAsia="黑体" w:hAnsi="黑体"/>
          <w:color w:val="000000"/>
          <w:sz w:val="36"/>
          <w:szCs w:val="32"/>
        </w:rPr>
        <w:t>关联交易事项的公告</w:t>
      </w:r>
    </w:p>
    <w:p w:rsidR="00D14E59" w:rsidRDefault="00D14E59"/>
    <w:p w:rsidR="00D14E59" w:rsidRDefault="0057428A" w:rsidP="001D38BD">
      <w:pPr>
        <w:widowControl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工银瑞信基金管理有限公司（以下简称“本公司”）</w:t>
      </w:r>
      <w:r w:rsidR="007A2ED2" w:rsidRPr="007A2ED2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</w:t>
      </w:r>
      <w:r w:rsidR="007A2ED2" w:rsidRPr="007A2ED2">
        <w:rPr>
          <w:rFonts w:ascii="仿宋_GB2312" w:eastAsia="仿宋_GB2312" w:hAnsi="SourceHanSansCN"/>
          <w:sz w:val="32"/>
          <w:szCs w:val="32"/>
        </w:rPr>
        <w:t>QDII）</w:t>
      </w:r>
      <w:r w:rsidR="00147D5C">
        <w:rPr>
          <w:rFonts w:ascii="仿宋_GB2312" w:eastAsia="仿宋_GB2312" w:hAnsi="SourceHanSansCN" w:hint="eastAsia"/>
          <w:sz w:val="32"/>
          <w:szCs w:val="32"/>
        </w:rPr>
        <w:t>、</w:t>
      </w:r>
      <w:bookmarkStart w:id="0" w:name="_GoBack"/>
      <w:r w:rsidR="00147D5C" w:rsidRPr="00147D5C">
        <w:rPr>
          <w:rFonts w:ascii="仿宋_GB2312" w:eastAsia="仿宋_GB2312" w:hAnsi="SourceHanSansCN" w:hint="eastAsia"/>
          <w:sz w:val="32"/>
          <w:szCs w:val="32"/>
        </w:rPr>
        <w:t>工银瑞信中国机会全球配置股票型证券投资基金（</w:t>
      </w:r>
      <w:r w:rsidR="00147D5C" w:rsidRPr="00147D5C">
        <w:rPr>
          <w:rFonts w:ascii="仿宋_GB2312" w:eastAsia="仿宋_GB2312" w:hAnsi="SourceHanSansCN"/>
          <w:sz w:val="32"/>
          <w:szCs w:val="32"/>
        </w:rPr>
        <w:t>QDII）</w:t>
      </w:r>
      <w:bookmarkEnd w:id="0"/>
      <w:r>
        <w:rPr>
          <w:rFonts w:ascii="仿宋_GB2312" w:eastAsia="仿宋_GB2312" w:hAnsi="SourceHanSansCN" w:hint="eastAsia"/>
          <w:sz w:val="32"/>
          <w:szCs w:val="32"/>
        </w:rPr>
        <w:t>参与了</w:t>
      </w:r>
      <w:r w:rsidR="00871E40" w:rsidRPr="00871E40">
        <w:rPr>
          <w:rFonts w:ascii="仿宋_GB2312" w:eastAsia="仿宋_GB2312" w:hAnsi="SourceHanSansCN" w:hint="eastAsia"/>
          <w:sz w:val="32"/>
          <w:szCs w:val="32"/>
        </w:rPr>
        <w:t>东鹏饮料（集团）股份有限公司</w:t>
      </w:r>
      <w:r>
        <w:rPr>
          <w:rFonts w:ascii="仿宋_GB2312" w:eastAsia="仿宋_GB2312" w:hAnsi="SourceHanSansCN" w:hint="eastAsia"/>
          <w:sz w:val="32"/>
          <w:szCs w:val="32"/>
        </w:rPr>
        <w:t>（以下简称“</w:t>
      </w:r>
      <w:r w:rsidR="00871E40">
        <w:rPr>
          <w:rFonts w:ascii="仿宋_GB2312" w:eastAsia="仿宋_GB2312" w:hAnsi="SourceHanSansCN" w:hint="eastAsia"/>
          <w:sz w:val="32"/>
          <w:szCs w:val="32"/>
        </w:rPr>
        <w:t>东鹏饮料</w:t>
      </w:r>
      <w:r>
        <w:rPr>
          <w:rFonts w:ascii="仿宋_GB2312" w:eastAsia="仿宋_GB2312" w:hAnsi="SourceHanSansCN" w:hint="eastAsia"/>
          <w:sz w:val="32"/>
          <w:szCs w:val="32"/>
        </w:rPr>
        <w:t>”）于香港联合交易所发行的股份的认购。</w:t>
      </w:r>
    </w:p>
    <w:p w:rsidR="00D14E59" w:rsidRDefault="0057428A" w:rsidP="001D38BD">
      <w:pPr>
        <w:widowControl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SourceHanSansCN" w:hint="eastAsia"/>
          <w:kern w:val="0"/>
          <w:sz w:val="32"/>
          <w:szCs w:val="32"/>
        </w:rPr>
        <w:t>在</w:t>
      </w:r>
      <w:r w:rsidR="00871E40">
        <w:rPr>
          <w:rFonts w:ascii="仿宋_GB2312" w:eastAsia="仿宋_GB2312" w:hAnsi="SourceHanSansCN" w:hint="eastAsia"/>
          <w:kern w:val="0"/>
          <w:sz w:val="32"/>
          <w:szCs w:val="32"/>
        </w:rPr>
        <w:t>东鹏饮料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本次发行中，本公司</w:t>
      </w:r>
      <w:r w:rsidR="00BA6B26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 w:rsidR="00147D5C">
        <w:rPr>
          <w:rFonts w:ascii="仿宋_GB2312" w:eastAsia="仿宋_GB2312" w:hAnsi="SourceHanSansCN" w:hint="eastAsia"/>
          <w:sz w:val="32"/>
          <w:szCs w:val="32"/>
        </w:rPr>
        <w:t>、</w:t>
      </w:r>
      <w:r w:rsidR="00147D5C" w:rsidRPr="00147D5C">
        <w:rPr>
          <w:rFonts w:ascii="仿宋_GB2312" w:eastAsia="仿宋_GB2312" w:hAnsi="SourceHanSansCN" w:hint="eastAsia"/>
          <w:sz w:val="32"/>
          <w:szCs w:val="32"/>
        </w:rPr>
        <w:t>工银瑞信中国机会全球配置股票型证券投资基金（</w:t>
      </w:r>
      <w:r w:rsidR="00147D5C" w:rsidRPr="00147D5C">
        <w:rPr>
          <w:rFonts w:ascii="仿宋_GB2312" w:eastAsia="仿宋_GB2312" w:hAnsi="SourceHanSansCN"/>
          <w:sz w:val="32"/>
          <w:szCs w:val="32"/>
        </w:rPr>
        <w:t>QDII）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的</w:t>
      </w:r>
      <w:r w:rsidR="00431BA5">
        <w:rPr>
          <w:rFonts w:ascii="仿宋_GB2312" w:eastAsia="仿宋_GB2312" w:hAnsi="SourceHanSansCN" w:hint="eastAsia"/>
          <w:kern w:val="0"/>
          <w:sz w:val="32"/>
          <w:szCs w:val="32"/>
        </w:rPr>
        <w:t>管理人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关联方</w:t>
      </w:r>
      <w:r w:rsidR="00986CCC">
        <w:rPr>
          <w:rFonts w:ascii="仿宋_GB2312" w:eastAsia="仿宋_GB2312" w:hAnsi="SourceHanSansCN" w:hint="eastAsia"/>
          <w:kern w:val="0"/>
          <w:sz w:val="32"/>
          <w:szCs w:val="32"/>
        </w:rPr>
        <w:t>：</w:t>
      </w:r>
      <w:r w:rsidR="00147963" w:rsidRPr="00147963">
        <w:rPr>
          <w:rFonts w:ascii="仿宋_GB2312" w:eastAsia="仿宋_GB2312" w:hAnsi="SourceHanSansCN"/>
          <w:kern w:val="0"/>
          <w:sz w:val="32"/>
          <w:szCs w:val="32"/>
        </w:rPr>
        <w:t>UBS AG Hong Kong Branch</w:t>
      </w:r>
      <w:r w:rsidR="00431BA5" w:rsidRPr="00431BA5">
        <w:rPr>
          <w:rFonts w:ascii="仿宋_GB2312" w:eastAsia="仿宋_GB2312" w:hAnsi="SourceHanSansCN" w:hint="eastAsia"/>
          <w:kern w:val="0"/>
          <w:sz w:val="32"/>
          <w:szCs w:val="32"/>
        </w:rPr>
        <w:t>担任</w:t>
      </w:r>
      <w:r w:rsidR="00871E40" w:rsidRPr="00871E40">
        <w:rPr>
          <w:rFonts w:ascii="仿宋_GB2312" w:eastAsia="仿宋_GB2312" w:hAnsi="SourceHanSansCN" w:hint="eastAsia"/>
          <w:kern w:val="0"/>
          <w:sz w:val="32"/>
          <w:szCs w:val="32"/>
        </w:rPr>
        <w:t>联席保荐人、整体协调人、联席全球协调人、联席账簿管理人及联席牵头经办人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，</w:t>
      </w:r>
      <w:r w:rsidR="00986CCC" w:rsidRPr="00986CCC">
        <w:rPr>
          <w:rFonts w:ascii="仿宋_GB2312" w:eastAsia="仿宋_GB2312" w:hAnsi="SourceHanSansCN"/>
          <w:kern w:val="0"/>
          <w:sz w:val="32"/>
          <w:szCs w:val="32"/>
        </w:rPr>
        <w:t>UBS Securities Hong Kong Limited</w:t>
      </w:r>
      <w:r w:rsidR="00642345">
        <w:rPr>
          <w:rFonts w:ascii="仿宋_GB2312" w:eastAsia="仿宋_GB2312" w:hAnsi="SourceHanSansCN" w:hint="eastAsia"/>
          <w:kern w:val="0"/>
          <w:sz w:val="32"/>
          <w:szCs w:val="32"/>
        </w:rPr>
        <w:t>担任联席</w:t>
      </w:r>
      <w:r w:rsidR="00986CCC">
        <w:rPr>
          <w:rFonts w:ascii="仿宋_GB2312" w:eastAsia="仿宋_GB2312" w:hAnsi="SourceHanSansCN" w:hint="eastAsia"/>
          <w:kern w:val="0"/>
          <w:sz w:val="32"/>
          <w:szCs w:val="32"/>
        </w:rPr>
        <w:t>保荐人，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相关交易构成关联交易。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D14E59" w:rsidRDefault="0057428A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现将有关情况公告如下：</w:t>
      </w:r>
    </w:p>
    <w:p w:rsidR="00D14E59" w:rsidRDefault="00871E40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东鹏饮料</w:t>
      </w:r>
      <w:r w:rsidR="0057428A">
        <w:rPr>
          <w:rFonts w:ascii="仿宋_GB2312" w:eastAsia="仿宋_GB2312" w:hAnsi="SourceHanSansCN" w:hint="eastAsia"/>
          <w:sz w:val="32"/>
          <w:szCs w:val="32"/>
        </w:rPr>
        <w:t>本次发行价格为</w:t>
      </w:r>
      <w:r w:rsidR="001D3E6D" w:rsidRPr="001D3E6D">
        <w:rPr>
          <w:rFonts w:ascii="仿宋_GB2312" w:eastAsia="仿宋_GB2312" w:hAnsi="SourceHanSansCN"/>
          <w:sz w:val="32"/>
          <w:szCs w:val="32"/>
        </w:rPr>
        <w:t>248</w:t>
      </w:r>
      <w:r w:rsidR="0057428A">
        <w:rPr>
          <w:rFonts w:ascii="仿宋_GB2312" w:eastAsia="仿宋_GB2312" w:hAnsi="SourceHanSansCN" w:hint="eastAsia"/>
          <w:sz w:val="32"/>
          <w:szCs w:val="32"/>
        </w:rPr>
        <w:t>港元/股，由发行人与整</w:t>
      </w:r>
      <w:r w:rsidR="0057428A">
        <w:rPr>
          <w:rFonts w:ascii="仿宋_GB2312" w:eastAsia="仿宋_GB2312" w:hAnsi="SourceHanSansCN" w:hint="eastAsia"/>
          <w:sz w:val="32"/>
          <w:szCs w:val="32"/>
        </w:rPr>
        <w:lastRenderedPageBreak/>
        <w:t>体协调人协商确定。</w:t>
      </w:r>
      <w:r w:rsidR="00BA6B26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 w:rsidR="00147D5C">
        <w:rPr>
          <w:rFonts w:ascii="仿宋_GB2312" w:eastAsia="仿宋_GB2312" w:hAnsi="SourceHanSansCN" w:hint="eastAsia"/>
          <w:sz w:val="32"/>
          <w:szCs w:val="32"/>
        </w:rPr>
        <w:t>、</w:t>
      </w:r>
      <w:r w:rsidR="00147D5C" w:rsidRPr="00147D5C">
        <w:rPr>
          <w:rFonts w:ascii="仿宋_GB2312" w:eastAsia="仿宋_GB2312" w:hAnsi="SourceHanSansCN" w:hint="eastAsia"/>
          <w:sz w:val="32"/>
          <w:szCs w:val="32"/>
        </w:rPr>
        <w:t>工银瑞信中国机会全球配置股票型证券投资基金（</w:t>
      </w:r>
      <w:r w:rsidR="00147D5C" w:rsidRPr="00147D5C">
        <w:rPr>
          <w:rFonts w:ascii="仿宋_GB2312" w:eastAsia="仿宋_GB2312" w:hAnsi="SourceHanSansCN"/>
          <w:sz w:val="32"/>
          <w:szCs w:val="32"/>
        </w:rPr>
        <w:t>QDII）</w:t>
      </w:r>
      <w:r w:rsidR="0057428A">
        <w:rPr>
          <w:rFonts w:ascii="仿宋_GB2312" w:eastAsia="仿宋_GB2312" w:hAnsi="SourceHanSansCN" w:hint="eastAsia"/>
          <w:sz w:val="32"/>
          <w:szCs w:val="32"/>
        </w:rPr>
        <w:t>参与</w:t>
      </w:r>
      <w:r>
        <w:rPr>
          <w:rFonts w:ascii="仿宋_GB2312" w:eastAsia="仿宋_GB2312" w:hAnsi="SourceHanSansCN" w:hint="eastAsia"/>
          <w:sz w:val="32"/>
          <w:szCs w:val="32"/>
        </w:rPr>
        <w:t>东鹏饮料</w:t>
      </w:r>
      <w:r w:rsidR="0057428A">
        <w:rPr>
          <w:rFonts w:ascii="仿宋_GB2312" w:eastAsia="仿宋_GB2312" w:hAnsi="SourceHanSansCN" w:hint="eastAsia"/>
          <w:sz w:val="32"/>
          <w:szCs w:val="32"/>
        </w:rPr>
        <w:t>本次发行认购的交易信息如下：</w:t>
      </w:r>
    </w:p>
    <w:p w:rsidR="001D38BD" w:rsidRDefault="001D38BD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1D38BD" w:rsidRDefault="001D38BD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tbl>
      <w:tblPr>
        <w:tblW w:w="5000" w:type="pct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6"/>
        <w:gridCol w:w="2868"/>
        <w:gridCol w:w="2638"/>
      </w:tblGrid>
      <w:tr w:rsidR="00871E40" w:rsidTr="001D3E6D">
        <w:trPr>
          <w:trHeight w:hRule="exact" w:val="1134"/>
        </w:trPr>
        <w:tc>
          <w:tcPr>
            <w:tcW w:w="1692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871E40" w:rsidRPr="001D38BD" w:rsidRDefault="00871E40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基金名称</w:t>
            </w:r>
          </w:p>
        </w:tc>
        <w:tc>
          <w:tcPr>
            <w:tcW w:w="1723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871E40" w:rsidRPr="001D38BD" w:rsidRDefault="00871E40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交易数量（股）</w:t>
            </w:r>
          </w:p>
        </w:tc>
        <w:tc>
          <w:tcPr>
            <w:tcW w:w="158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871E40" w:rsidRDefault="00871E40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交易金额</w:t>
            </w:r>
          </w:p>
          <w:p w:rsidR="00871E40" w:rsidRPr="001D38BD" w:rsidRDefault="00871E40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（港元）</w:t>
            </w:r>
          </w:p>
        </w:tc>
      </w:tr>
      <w:tr w:rsidR="00871E40" w:rsidTr="001D3E6D">
        <w:trPr>
          <w:trHeight w:val="170"/>
        </w:trPr>
        <w:tc>
          <w:tcPr>
            <w:tcW w:w="1692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871E40" w:rsidRPr="0089136B" w:rsidRDefault="00871E40" w:rsidP="001D38BD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89136B">
              <w:rPr>
                <w:rFonts w:ascii="仿宋_GB2312" w:eastAsia="仿宋_GB2312" w:hAnsi="SourceHanSansCN" w:hint="eastAsia"/>
                <w:sz w:val="28"/>
                <w:szCs w:val="32"/>
              </w:rPr>
              <w:t>工银瑞信新经济灵活配置混合型证券投资基金（QDII）</w:t>
            </w:r>
          </w:p>
        </w:tc>
        <w:tc>
          <w:tcPr>
            <w:tcW w:w="1723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871E40" w:rsidRPr="0089136B" w:rsidRDefault="001D3E6D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1D3E6D">
              <w:rPr>
                <w:rFonts w:ascii="仿宋_GB2312" w:eastAsia="仿宋_GB2312" w:hAnsi="SourceHanSansCN"/>
                <w:sz w:val="28"/>
                <w:szCs w:val="32"/>
              </w:rPr>
              <w:t>15,000</w:t>
            </w:r>
            <w:r>
              <w:rPr>
                <w:rFonts w:ascii="仿宋_GB2312" w:eastAsia="仿宋_GB2312" w:hAnsi="SourceHanSansCN"/>
                <w:sz w:val="28"/>
                <w:szCs w:val="32"/>
              </w:rPr>
              <w:t>.00</w:t>
            </w:r>
          </w:p>
        </w:tc>
        <w:tc>
          <w:tcPr>
            <w:tcW w:w="158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871E40" w:rsidRPr="0089136B" w:rsidRDefault="001D3E6D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/>
                <w:sz w:val="28"/>
                <w:szCs w:val="32"/>
              </w:rPr>
              <w:t>3,720</w:t>
            </w:r>
            <w:r>
              <w:rPr>
                <w:rFonts w:ascii="仿宋_GB2312" w:eastAsia="仿宋_GB2312" w:hAnsi="SourceHanSansCN" w:hint="eastAsia"/>
                <w:sz w:val="28"/>
                <w:szCs w:val="32"/>
              </w:rPr>
              <w:t>,</w:t>
            </w:r>
            <w:r>
              <w:rPr>
                <w:rFonts w:ascii="仿宋_GB2312" w:eastAsia="仿宋_GB2312" w:hAnsi="SourceHanSansCN"/>
                <w:sz w:val="28"/>
                <w:szCs w:val="32"/>
              </w:rPr>
              <w:t>000</w:t>
            </w:r>
            <w:r w:rsidR="00871E40" w:rsidRPr="0089136B">
              <w:rPr>
                <w:rFonts w:ascii="仿宋_GB2312" w:eastAsia="仿宋_GB2312" w:hAnsi="SourceHanSansCN"/>
                <w:sz w:val="28"/>
                <w:szCs w:val="32"/>
              </w:rPr>
              <w:t>.00</w:t>
            </w:r>
          </w:p>
        </w:tc>
      </w:tr>
      <w:tr w:rsidR="00147D5C" w:rsidTr="001D3E6D">
        <w:trPr>
          <w:trHeight w:val="170"/>
        </w:trPr>
        <w:tc>
          <w:tcPr>
            <w:tcW w:w="1692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147D5C" w:rsidRPr="0089136B" w:rsidRDefault="00147D5C" w:rsidP="001D38BD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147D5C">
              <w:rPr>
                <w:rFonts w:ascii="仿宋_GB2312" w:eastAsia="仿宋_GB2312" w:hAnsi="SourceHanSansCN" w:hint="eastAsia"/>
                <w:sz w:val="28"/>
                <w:szCs w:val="32"/>
              </w:rPr>
              <w:t>工银瑞信中国机会全球配置股票型证券投资基金（</w:t>
            </w:r>
            <w:r w:rsidRPr="00147D5C">
              <w:rPr>
                <w:rFonts w:ascii="仿宋_GB2312" w:eastAsia="仿宋_GB2312" w:hAnsi="SourceHanSansCN"/>
                <w:sz w:val="28"/>
                <w:szCs w:val="32"/>
              </w:rPr>
              <w:t>QDII）</w:t>
            </w:r>
          </w:p>
        </w:tc>
        <w:tc>
          <w:tcPr>
            <w:tcW w:w="1723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147D5C" w:rsidRPr="001D3E6D" w:rsidRDefault="00147D5C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1C4423">
              <w:rPr>
                <w:rFonts w:ascii="仿宋_GB2312" w:eastAsia="仿宋_GB2312" w:hAnsi="SourceHanSansCN"/>
                <w:sz w:val="28"/>
                <w:szCs w:val="32"/>
              </w:rPr>
              <w:t>800.00</w:t>
            </w:r>
          </w:p>
        </w:tc>
        <w:tc>
          <w:tcPr>
            <w:tcW w:w="158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147D5C" w:rsidRDefault="00147D5C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sz w:val="28"/>
                <w:szCs w:val="32"/>
              </w:rPr>
              <w:t>1</w:t>
            </w:r>
            <w:r>
              <w:rPr>
                <w:rFonts w:ascii="仿宋_GB2312" w:eastAsia="仿宋_GB2312" w:hAnsi="SourceHanSansCN"/>
                <w:sz w:val="28"/>
                <w:szCs w:val="32"/>
              </w:rPr>
              <w:t>98,400.00</w:t>
            </w:r>
          </w:p>
        </w:tc>
      </w:tr>
    </w:tbl>
    <w:p w:rsidR="001D38BD" w:rsidRDefault="001D38BD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D14E59" w:rsidRDefault="0057428A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特此公告。</w:t>
      </w:r>
    </w:p>
    <w:p w:rsidR="00D14E59" w:rsidRDefault="0057428A">
      <w:pPr>
        <w:spacing w:line="580" w:lineRule="exact"/>
        <w:ind w:firstLineChars="200" w:firstLine="640"/>
        <w:jc w:val="right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工银瑞信基金管理有限公司</w:t>
      </w:r>
    </w:p>
    <w:p w:rsidR="00D14E59" w:rsidRDefault="00D32C95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2</w:t>
      </w:r>
      <w:r>
        <w:rPr>
          <w:rFonts w:ascii="仿宋_GB2312" w:eastAsia="仿宋_GB2312" w:hAnsi="SourceHanSansCN"/>
          <w:sz w:val="32"/>
          <w:szCs w:val="32"/>
        </w:rPr>
        <w:t>02</w:t>
      </w:r>
      <w:r>
        <w:rPr>
          <w:rFonts w:ascii="仿宋_GB2312" w:eastAsia="仿宋_GB2312" w:hAnsi="SourceHanSansCN" w:hint="eastAsia"/>
          <w:sz w:val="32"/>
          <w:szCs w:val="32"/>
        </w:rPr>
        <w:t>6年</w:t>
      </w:r>
      <w:r w:rsidR="001D3E6D">
        <w:rPr>
          <w:rFonts w:ascii="仿宋_GB2312" w:eastAsia="仿宋_GB2312" w:hAnsi="SourceHanSansCN"/>
          <w:sz w:val="32"/>
          <w:szCs w:val="32"/>
        </w:rPr>
        <w:t>2</w:t>
      </w:r>
      <w:r>
        <w:rPr>
          <w:rFonts w:ascii="仿宋_GB2312" w:eastAsia="仿宋_GB2312" w:hAnsi="SourceHanSansCN" w:hint="eastAsia"/>
          <w:sz w:val="32"/>
          <w:szCs w:val="32"/>
        </w:rPr>
        <w:t>月</w:t>
      </w:r>
      <w:r w:rsidR="001D3E6D">
        <w:rPr>
          <w:rFonts w:ascii="仿宋_GB2312" w:eastAsia="仿宋_GB2312" w:hAnsi="SourceHanSansCN"/>
          <w:sz w:val="32"/>
          <w:szCs w:val="32"/>
        </w:rPr>
        <w:t>5</w:t>
      </w:r>
      <w:r w:rsidR="0057428A">
        <w:rPr>
          <w:rFonts w:ascii="仿宋_GB2312" w:eastAsia="仿宋_GB2312" w:hAnsi="SourceHanSansCN" w:hint="eastAsia"/>
          <w:sz w:val="32"/>
          <w:szCs w:val="32"/>
        </w:rPr>
        <w:t>日</w:t>
      </w:r>
    </w:p>
    <w:sectPr w:rsidR="00D14E59" w:rsidSect="00E5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CC" w:rsidRDefault="007A04CC"/>
  </w:endnote>
  <w:endnote w:type="continuationSeparator" w:id="0">
    <w:p w:rsidR="007A04CC" w:rsidRDefault="007A04C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HanSansC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CC" w:rsidRDefault="007A04CC"/>
  </w:footnote>
  <w:footnote w:type="continuationSeparator" w:id="0">
    <w:p w:rsidR="007A04CC" w:rsidRDefault="007A04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0A"/>
    <w:rsid w:val="00002B51"/>
    <w:rsid w:val="0004513C"/>
    <w:rsid w:val="00077159"/>
    <w:rsid w:val="00147963"/>
    <w:rsid w:val="00147D5C"/>
    <w:rsid w:val="001C4423"/>
    <w:rsid w:val="001C5519"/>
    <w:rsid w:val="001D2236"/>
    <w:rsid w:val="001D38BD"/>
    <w:rsid w:val="001D3E6D"/>
    <w:rsid w:val="001D5123"/>
    <w:rsid w:val="00215874"/>
    <w:rsid w:val="002626ED"/>
    <w:rsid w:val="002A5DEF"/>
    <w:rsid w:val="002C2EFA"/>
    <w:rsid w:val="002D79B2"/>
    <w:rsid w:val="00302758"/>
    <w:rsid w:val="003375C9"/>
    <w:rsid w:val="00424615"/>
    <w:rsid w:val="00431BA5"/>
    <w:rsid w:val="00470086"/>
    <w:rsid w:val="00470E63"/>
    <w:rsid w:val="00492843"/>
    <w:rsid w:val="0049390A"/>
    <w:rsid w:val="004B4043"/>
    <w:rsid w:val="004F09E8"/>
    <w:rsid w:val="00526373"/>
    <w:rsid w:val="00527A9C"/>
    <w:rsid w:val="00566104"/>
    <w:rsid w:val="0057428A"/>
    <w:rsid w:val="00583DD5"/>
    <w:rsid w:val="00595797"/>
    <w:rsid w:val="00642345"/>
    <w:rsid w:val="00774C53"/>
    <w:rsid w:val="007910EB"/>
    <w:rsid w:val="007A04CC"/>
    <w:rsid w:val="007A0FC1"/>
    <w:rsid w:val="007A2ED2"/>
    <w:rsid w:val="00800708"/>
    <w:rsid w:val="008322A6"/>
    <w:rsid w:val="00857ED8"/>
    <w:rsid w:val="00871E40"/>
    <w:rsid w:val="00876A63"/>
    <w:rsid w:val="0089136B"/>
    <w:rsid w:val="008B6FBF"/>
    <w:rsid w:val="00903194"/>
    <w:rsid w:val="00917F87"/>
    <w:rsid w:val="00961DEB"/>
    <w:rsid w:val="00986CCC"/>
    <w:rsid w:val="009A08CD"/>
    <w:rsid w:val="00A07F9F"/>
    <w:rsid w:val="00A2484B"/>
    <w:rsid w:val="00A53875"/>
    <w:rsid w:val="00A825C0"/>
    <w:rsid w:val="00AC1534"/>
    <w:rsid w:val="00BA6B26"/>
    <w:rsid w:val="00CD45F8"/>
    <w:rsid w:val="00D14E59"/>
    <w:rsid w:val="00D23D5F"/>
    <w:rsid w:val="00D32C95"/>
    <w:rsid w:val="00DF6B03"/>
    <w:rsid w:val="00E05954"/>
    <w:rsid w:val="00E5568E"/>
    <w:rsid w:val="00E668AF"/>
    <w:rsid w:val="00E90151"/>
    <w:rsid w:val="00E969BF"/>
    <w:rsid w:val="00EB651D"/>
    <w:rsid w:val="00ED1CF6"/>
    <w:rsid w:val="00ED3309"/>
    <w:rsid w:val="00EF1F7F"/>
    <w:rsid w:val="00F7718D"/>
    <w:rsid w:val="0A3A4A27"/>
    <w:rsid w:val="41BE0CEB"/>
    <w:rsid w:val="4E520E90"/>
    <w:rsid w:val="5C7663AF"/>
    <w:rsid w:val="740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5568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556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55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55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5568E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E5568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5568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5568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5568E"/>
  </w:style>
  <w:style w:type="character" w:customStyle="1" w:styleId="Char3">
    <w:name w:val="批注主题 Char"/>
    <w:basedOn w:val="Char"/>
    <w:link w:val="a7"/>
    <w:uiPriority w:val="99"/>
    <w:semiHidden/>
    <w:qFormat/>
    <w:rsid w:val="00E5568E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556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57A0-2B29-44BE-9D4C-A1E415E4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4</DocSecurity>
  <Lines>5</Lines>
  <Paragraphs>1</Paragraphs>
  <ScaleCrop>false</ScaleCrop>
  <Company>ICBC.V20200907.01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霍英男</dc:creator>
  <cp:lastModifiedBy>ZHONGM</cp:lastModifiedBy>
  <cp:revision>2</cp:revision>
  <cp:lastPrinted>2026-02-03T02:40:00Z</cp:lastPrinted>
  <dcterms:created xsi:type="dcterms:W3CDTF">2026-02-04T16:02:00Z</dcterms:created>
  <dcterms:modified xsi:type="dcterms:W3CDTF">2026-02-04T16:02:00Z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0728BC900DE1470F86769B398F26BC80_13</vt:lpwstr>
  </property>
</Properties>
</file>