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C56" w:rsidRDefault="00DF246C">
      <w:pPr>
        <w:widowControl/>
        <w:shd w:val="clear" w:color="auto" w:fill="FFFFFF"/>
        <w:snapToGrid w:val="0"/>
        <w:spacing w:line="288" w:lineRule="auto"/>
        <w:jc w:val="center"/>
        <w:rPr>
          <w:rFonts w:ascii="宋体" w:eastAsia="宋体" w:hAnsi="宋体" w:cs="Times New Roman"/>
          <w:b/>
          <w:bCs/>
          <w:color w:val="000000"/>
          <w:kern w:val="0"/>
          <w:sz w:val="40"/>
          <w:szCs w:val="48"/>
        </w:rPr>
      </w:pPr>
      <w:r>
        <w:rPr>
          <w:rFonts w:ascii="宋体" w:eastAsia="宋体" w:hAnsi="宋体" w:cs="Times New Roman" w:hint="eastAsia"/>
          <w:b/>
          <w:bCs/>
          <w:color w:val="000000"/>
          <w:kern w:val="0"/>
          <w:sz w:val="40"/>
          <w:szCs w:val="48"/>
        </w:rPr>
        <w:t>华泰紫金策略精选混合型发起式证券投资基金基金合同生效公告</w:t>
      </w:r>
      <w:bookmarkStart w:id="0" w:name="_GoBack"/>
      <w:bookmarkEnd w:id="0"/>
    </w:p>
    <w:p w:rsidR="004D6C56" w:rsidRDefault="00DF246C">
      <w:pPr>
        <w:widowControl/>
        <w:shd w:val="clear" w:color="auto" w:fill="FFFFFF"/>
        <w:snapToGrid w:val="0"/>
        <w:spacing w:line="288" w:lineRule="auto"/>
        <w:jc w:val="center"/>
        <w:rPr>
          <w:rFonts w:ascii="宋体" w:eastAsia="宋体" w:hAnsi="宋体" w:cs="Times New Roman"/>
          <w:b/>
          <w:bCs/>
          <w:color w:val="000000"/>
          <w:kern w:val="0"/>
          <w:sz w:val="28"/>
          <w:szCs w:val="28"/>
        </w:rPr>
      </w:pPr>
      <w:r>
        <w:rPr>
          <w:rFonts w:ascii="宋体" w:eastAsia="宋体" w:hAnsi="宋体" w:cs="Times New Roman" w:hint="eastAsia"/>
          <w:b/>
          <w:bCs/>
          <w:color w:val="000000"/>
          <w:kern w:val="0"/>
          <w:sz w:val="28"/>
          <w:szCs w:val="28"/>
        </w:rPr>
        <w:t>公告送出日期：</w:t>
      </w:r>
      <w:r>
        <w:rPr>
          <w:rFonts w:ascii="Times New Roman" w:eastAsia="宋体" w:hAnsi="Times New Roman" w:cs="Times New Roman"/>
          <w:color w:val="000000"/>
          <w:kern w:val="0"/>
          <w:szCs w:val="21"/>
        </w:rPr>
        <w:t> </w:t>
      </w:r>
      <w:r>
        <w:rPr>
          <w:rFonts w:ascii="宋体" w:eastAsia="宋体" w:hAnsi="宋体" w:cs="Times New Roman"/>
          <w:b/>
          <w:bCs/>
          <w:color w:val="000000"/>
          <w:kern w:val="0"/>
          <w:sz w:val="28"/>
          <w:szCs w:val="28"/>
        </w:rPr>
        <w:t>202</w:t>
      </w:r>
      <w:r>
        <w:rPr>
          <w:rFonts w:ascii="宋体" w:eastAsia="宋体" w:hAnsi="宋体" w:cs="Times New Roman" w:hint="eastAsia"/>
          <w:b/>
          <w:bCs/>
          <w:color w:val="000000"/>
          <w:kern w:val="0"/>
          <w:sz w:val="28"/>
          <w:szCs w:val="28"/>
        </w:rPr>
        <w:t>6</w:t>
      </w:r>
      <w:r>
        <w:rPr>
          <w:rFonts w:ascii="宋体" w:eastAsia="宋体" w:hAnsi="宋体" w:cs="Times New Roman" w:hint="eastAsia"/>
          <w:b/>
          <w:bCs/>
          <w:color w:val="000000"/>
          <w:kern w:val="0"/>
          <w:sz w:val="28"/>
          <w:szCs w:val="28"/>
        </w:rPr>
        <w:t>年</w:t>
      </w:r>
      <w:r>
        <w:rPr>
          <w:rFonts w:ascii="宋体" w:eastAsia="宋体" w:hAnsi="宋体" w:cs="Times New Roman" w:hint="eastAsia"/>
          <w:b/>
          <w:bCs/>
          <w:color w:val="000000"/>
          <w:kern w:val="0"/>
          <w:sz w:val="28"/>
          <w:szCs w:val="28"/>
        </w:rPr>
        <w:t>2</w:t>
      </w:r>
      <w:r>
        <w:rPr>
          <w:rFonts w:ascii="宋体" w:eastAsia="宋体" w:hAnsi="宋体" w:cs="Times New Roman" w:hint="eastAsia"/>
          <w:b/>
          <w:bCs/>
          <w:color w:val="000000"/>
          <w:kern w:val="0"/>
          <w:sz w:val="28"/>
          <w:szCs w:val="28"/>
        </w:rPr>
        <w:t>月</w:t>
      </w:r>
      <w:r>
        <w:rPr>
          <w:rFonts w:ascii="宋体" w:eastAsia="宋体" w:hAnsi="宋体" w:cs="Times New Roman" w:hint="eastAsia"/>
          <w:b/>
          <w:bCs/>
          <w:color w:val="000000"/>
          <w:kern w:val="0"/>
          <w:sz w:val="28"/>
          <w:szCs w:val="28"/>
        </w:rPr>
        <w:t>5</w:t>
      </w:r>
      <w:r>
        <w:rPr>
          <w:rFonts w:ascii="宋体" w:eastAsia="宋体" w:hAnsi="宋体" w:cs="Times New Roman" w:hint="eastAsia"/>
          <w:b/>
          <w:bCs/>
          <w:color w:val="000000"/>
          <w:kern w:val="0"/>
          <w:sz w:val="28"/>
          <w:szCs w:val="28"/>
        </w:rPr>
        <w:t>日</w:t>
      </w:r>
    </w:p>
    <w:p w:rsidR="004D6C56" w:rsidRDefault="004D6C56">
      <w:pPr>
        <w:widowControl/>
        <w:shd w:val="clear" w:color="auto" w:fill="FFFFFF"/>
        <w:snapToGrid w:val="0"/>
        <w:spacing w:line="288" w:lineRule="auto"/>
        <w:ind w:firstLine="1687"/>
        <w:jc w:val="left"/>
        <w:rPr>
          <w:rFonts w:ascii="Times New Roman" w:eastAsia="宋体" w:hAnsi="Times New Roman" w:cs="Times New Roman"/>
          <w:color w:val="000000"/>
          <w:kern w:val="0"/>
          <w:szCs w:val="21"/>
        </w:rPr>
      </w:pPr>
    </w:p>
    <w:p w:rsidR="004D6C56" w:rsidRDefault="00DF246C">
      <w:pPr>
        <w:widowControl/>
        <w:shd w:val="clear" w:color="auto" w:fill="FFFFFF"/>
        <w:snapToGrid w:val="0"/>
        <w:spacing w:line="288" w:lineRule="auto"/>
        <w:jc w:val="left"/>
        <w:rPr>
          <w:rFonts w:asciiTheme="minorEastAsia" w:hAnsiTheme="minorEastAsia" w:cs="宋体"/>
          <w:b/>
          <w:bCs/>
          <w:color w:val="000000"/>
          <w:kern w:val="0"/>
          <w:sz w:val="27"/>
          <w:szCs w:val="27"/>
        </w:rPr>
      </w:pPr>
      <w:bookmarkStart w:id="1" w:name="_Toc438646451"/>
      <w:bookmarkStart w:id="2" w:name="m101"/>
      <w:bookmarkStart w:id="3" w:name="_Toc462917788"/>
      <w:bookmarkEnd w:id="1"/>
      <w:bookmarkEnd w:id="2"/>
      <w:r>
        <w:rPr>
          <w:rFonts w:asciiTheme="minorEastAsia" w:hAnsiTheme="minorEastAsia" w:cs="宋体"/>
          <w:b/>
          <w:bCs/>
          <w:color w:val="000000"/>
          <w:kern w:val="0"/>
          <w:sz w:val="27"/>
          <w:szCs w:val="27"/>
        </w:rPr>
        <w:t>1</w:t>
      </w:r>
      <w:bookmarkEnd w:id="3"/>
      <w:r>
        <w:rPr>
          <w:rFonts w:asciiTheme="minorEastAsia" w:hAnsiTheme="minorEastAsia" w:cs="宋体" w:hint="eastAsia"/>
          <w:b/>
          <w:bCs/>
          <w:color w:val="000000"/>
          <w:kern w:val="0"/>
          <w:sz w:val="27"/>
          <w:szCs w:val="27"/>
        </w:rPr>
        <w:t>、公告基本信息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3402"/>
        <w:gridCol w:w="3339"/>
      </w:tblGrid>
      <w:tr w:rsidR="004D6C56">
        <w:trPr>
          <w:trHeight w:val="20"/>
          <w:jc w:val="center"/>
        </w:trPr>
        <w:tc>
          <w:tcPr>
            <w:tcW w:w="1555" w:type="dxa"/>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bookmarkStart w:id="4" w:name="m201"/>
            <w:bookmarkStart w:id="5" w:name="_Toc438646456"/>
            <w:bookmarkStart w:id="6" w:name="_Toc462917789"/>
            <w:bookmarkEnd w:id="4"/>
            <w:bookmarkEnd w:id="5"/>
            <w:r>
              <w:rPr>
                <w:rFonts w:asciiTheme="minorEastAsia" w:hAnsiTheme="minorEastAsia" w:cs="Times New Roman"/>
                <w:color w:val="000000" w:themeColor="text1"/>
                <w:kern w:val="0"/>
                <w:szCs w:val="21"/>
              </w:rPr>
              <w:t>基金名称</w:t>
            </w:r>
          </w:p>
        </w:tc>
        <w:tc>
          <w:tcPr>
            <w:tcW w:w="6741" w:type="dxa"/>
            <w:gridSpan w:val="2"/>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华泰紫金策略精选混合型发起式证券投资基金</w:t>
            </w:r>
          </w:p>
        </w:tc>
      </w:tr>
      <w:tr w:rsidR="004D6C56">
        <w:trPr>
          <w:trHeight w:val="20"/>
          <w:jc w:val="center"/>
        </w:trPr>
        <w:tc>
          <w:tcPr>
            <w:tcW w:w="1555" w:type="dxa"/>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基金简称</w:t>
            </w:r>
          </w:p>
        </w:tc>
        <w:tc>
          <w:tcPr>
            <w:tcW w:w="6741" w:type="dxa"/>
            <w:gridSpan w:val="2"/>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hint="eastAsia"/>
              </w:rPr>
              <w:t>华泰紫金策略精选混合</w:t>
            </w:r>
          </w:p>
        </w:tc>
      </w:tr>
      <w:tr w:rsidR="004D6C56">
        <w:trPr>
          <w:trHeight w:val="301"/>
          <w:jc w:val="center"/>
        </w:trPr>
        <w:tc>
          <w:tcPr>
            <w:tcW w:w="1555" w:type="dxa"/>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基金主代码</w:t>
            </w:r>
          </w:p>
        </w:tc>
        <w:tc>
          <w:tcPr>
            <w:tcW w:w="6741" w:type="dxa"/>
            <w:gridSpan w:val="2"/>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02</w:t>
            </w:r>
            <w:r>
              <w:rPr>
                <w:rFonts w:asciiTheme="minorEastAsia" w:hAnsiTheme="minorEastAsia" w:cs="Times New Roman" w:hint="eastAsia"/>
                <w:color w:val="000000" w:themeColor="text1"/>
                <w:kern w:val="0"/>
                <w:szCs w:val="21"/>
              </w:rPr>
              <w:t>6666</w:t>
            </w:r>
          </w:p>
        </w:tc>
      </w:tr>
      <w:tr w:rsidR="004D6C56">
        <w:trPr>
          <w:trHeight w:val="20"/>
          <w:jc w:val="center"/>
        </w:trPr>
        <w:tc>
          <w:tcPr>
            <w:tcW w:w="1555" w:type="dxa"/>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基金运作方式</w:t>
            </w:r>
          </w:p>
        </w:tc>
        <w:tc>
          <w:tcPr>
            <w:tcW w:w="6741" w:type="dxa"/>
            <w:gridSpan w:val="2"/>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契约型开放式</w:t>
            </w:r>
          </w:p>
        </w:tc>
      </w:tr>
      <w:tr w:rsidR="004D6C56">
        <w:trPr>
          <w:trHeight w:val="20"/>
          <w:jc w:val="center"/>
        </w:trPr>
        <w:tc>
          <w:tcPr>
            <w:tcW w:w="1555" w:type="dxa"/>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基金合同生效日</w:t>
            </w:r>
          </w:p>
        </w:tc>
        <w:tc>
          <w:tcPr>
            <w:tcW w:w="6741" w:type="dxa"/>
            <w:gridSpan w:val="2"/>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202</w:t>
            </w:r>
            <w:r>
              <w:rPr>
                <w:rFonts w:asciiTheme="minorEastAsia" w:hAnsiTheme="minorEastAsia" w:cs="Times New Roman" w:hint="eastAsia"/>
                <w:color w:val="000000" w:themeColor="text1"/>
                <w:kern w:val="0"/>
                <w:szCs w:val="21"/>
              </w:rPr>
              <w:t>6</w:t>
            </w:r>
            <w:r>
              <w:rPr>
                <w:rFonts w:asciiTheme="minorEastAsia" w:hAnsiTheme="minorEastAsia" w:cs="Times New Roman"/>
                <w:color w:val="000000" w:themeColor="text1"/>
                <w:kern w:val="0"/>
                <w:szCs w:val="21"/>
              </w:rPr>
              <w:t>年</w:t>
            </w:r>
            <w:r>
              <w:rPr>
                <w:rFonts w:asciiTheme="minorEastAsia" w:hAnsiTheme="minorEastAsia" w:cs="Times New Roman" w:hint="eastAsia"/>
                <w:color w:val="000000" w:themeColor="text1"/>
                <w:kern w:val="0"/>
                <w:szCs w:val="21"/>
              </w:rPr>
              <w:t>2</w:t>
            </w:r>
            <w:r>
              <w:rPr>
                <w:rFonts w:asciiTheme="minorEastAsia" w:hAnsiTheme="minorEastAsia" w:cs="Times New Roman"/>
                <w:color w:val="000000" w:themeColor="text1"/>
                <w:kern w:val="0"/>
                <w:szCs w:val="21"/>
              </w:rPr>
              <w:t>月</w:t>
            </w:r>
            <w:r>
              <w:rPr>
                <w:rFonts w:asciiTheme="minorEastAsia" w:hAnsiTheme="minorEastAsia" w:cs="Times New Roman" w:hint="eastAsia"/>
                <w:color w:val="000000" w:themeColor="text1"/>
                <w:kern w:val="0"/>
                <w:szCs w:val="21"/>
              </w:rPr>
              <w:t>4</w:t>
            </w:r>
            <w:r>
              <w:rPr>
                <w:rFonts w:asciiTheme="minorEastAsia" w:hAnsiTheme="minorEastAsia" w:cs="Times New Roman"/>
                <w:color w:val="000000" w:themeColor="text1"/>
                <w:kern w:val="0"/>
                <w:szCs w:val="21"/>
              </w:rPr>
              <w:t>日</w:t>
            </w:r>
          </w:p>
        </w:tc>
      </w:tr>
      <w:tr w:rsidR="004D6C56">
        <w:trPr>
          <w:trHeight w:val="20"/>
          <w:jc w:val="center"/>
        </w:trPr>
        <w:tc>
          <w:tcPr>
            <w:tcW w:w="1555" w:type="dxa"/>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基金管理人名称</w:t>
            </w:r>
          </w:p>
        </w:tc>
        <w:tc>
          <w:tcPr>
            <w:tcW w:w="6741" w:type="dxa"/>
            <w:gridSpan w:val="2"/>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华泰证券（上海）资产管理有限公司</w:t>
            </w:r>
          </w:p>
        </w:tc>
      </w:tr>
      <w:tr w:rsidR="004D6C56">
        <w:trPr>
          <w:trHeight w:val="20"/>
          <w:jc w:val="center"/>
        </w:trPr>
        <w:tc>
          <w:tcPr>
            <w:tcW w:w="1555" w:type="dxa"/>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基金托管人名称</w:t>
            </w:r>
          </w:p>
        </w:tc>
        <w:tc>
          <w:tcPr>
            <w:tcW w:w="6741" w:type="dxa"/>
            <w:gridSpan w:val="2"/>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招商银行股份有限公司</w:t>
            </w:r>
          </w:p>
        </w:tc>
      </w:tr>
      <w:tr w:rsidR="004D6C56">
        <w:trPr>
          <w:trHeight w:val="985"/>
          <w:jc w:val="center"/>
        </w:trPr>
        <w:tc>
          <w:tcPr>
            <w:tcW w:w="1555" w:type="dxa"/>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公告依据</w:t>
            </w:r>
          </w:p>
        </w:tc>
        <w:tc>
          <w:tcPr>
            <w:tcW w:w="6741" w:type="dxa"/>
            <w:gridSpan w:val="2"/>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《中华人民共和国证券投资基金法》及其配套法规、《</w:t>
            </w:r>
            <w:r>
              <w:rPr>
                <w:rFonts w:asciiTheme="minorEastAsia" w:hAnsiTheme="minorEastAsia" w:cs="Times New Roman" w:hint="eastAsia"/>
                <w:color w:val="000000" w:themeColor="text1"/>
                <w:kern w:val="0"/>
                <w:szCs w:val="21"/>
              </w:rPr>
              <w:t>华泰紫金策略精选混合型发起式证券投资基金</w:t>
            </w:r>
            <w:r>
              <w:rPr>
                <w:rFonts w:asciiTheme="minorEastAsia" w:hAnsiTheme="minorEastAsia" w:cs="Times New Roman"/>
                <w:color w:val="000000" w:themeColor="text1"/>
                <w:kern w:val="0"/>
                <w:szCs w:val="21"/>
              </w:rPr>
              <w:t>基金合同》、《</w:t>
            </w:r>
            <w:r>
              <w:rPr>
                <w:rFonts w:asciiTheme="minorEastAsia" w:hAnsiTheme="minorEastAsia" w:cs="Times New Roman" w:hint="eastAsia"/>
                <w:color w:val="000000" w:themeColor="text1"/>
                <w:kern w:val="0"/>
                <w:szCs w:val="21"/>
              </w:rPr>
              <w:t>华泰紫金策略精选混合型发起式证券投资基金</w:t>
            </w:r>
            <w:r>
              <w:rPr>
                <w:rFonts w:asciiTheme="minorEastAsia" w:hAnsiTheme="minorEastAsia" w:cs="Times New Roman"/>
                <w:color w:val="000000" w:themeColor="text1"/>
                <w:kern w:val="0"/>
                <w:szCs w:val="21"/>
              </w:rPr>
              <w:t>招募说明书》等</w:t>
            </w:r>
          </w:p>
        </w:tc>
      </w:tr>
      <w:tr w:rsidR="004D6C56">
        <w:trPr>
          <w:trHeight w:val="20"/>
          <w:jc w:val="center"/>
        </w:trPr>
        <w:tc>
          <w:tcPr>
            <w:tcW w:w="1555" w:type="dxa"/>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下属分级基金的基金简称</w:t>
            </w:r>
          </w:p>
        </w:tc>
        <w:tc>
          <w:tcPr>
            <w:tcW w:w="3402" w:type="dxa"/>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hint="eastAsia"/>
              </w:rPr>
              <w:t>华泰紫金策略精选混合</w:t>
            </w:r>
            <w:r>
              <w:rPr>
                <w:rFonts w:asciiTheme="minorEastAsia" w:hAnsiTheme="minorEastAsia" w:cs="Times New Roman" w:hint="eastAsia"/>
                <w:color w:val="000000" w:themeColor="text1"/>
                <w:kern w:val="0"/>
                <w:szCs w:val="21"/>
              </w:rPr>
              <w:t>A</w:t>
            </w:r>
          </w:p>
        </w:tc>
        <w:tc>
          <w:tcPr>
            <w:tcW w:w="3339" w:type="dxa"/>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hint="eastAsia"/>
              </w:rPr>
              <w:t>华泰紫金策略精选混合</w:t>
            </w:r>
            <w:r>
              <w:rPr>
                <w:rFonts w:asciiTheme="minorEastAsia" w:hAnsiTheme="minorEastAsia" w:cs="Times New Roman" w:hint="eastAsia"/>
                <w:color w:val="000000" w:themeColor="text1"/>
                <w:kern w:val="0"/>
                <w:szCs w:val="21"/>
              </w:rPr>
              <w:t>C</w:t>
            </w:r>
          </w:p>
        </w:tc>
      </w:tr>
      <w:tr w:rsidR="004D6C56">
        <w:trPr>
          <w:trHeight w:val="20"/>
          <w:jc w:val="center"/>
        </w:trPr>
        <w:tc>
          <w:tcPr>
            <w:tcW w:w="1555" w:type="dxa"/>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下属分级基金的交易代码</w:t>
            </w:r>
          </w:p>
        </w:tc>
        <w:tc>
          <w:tcPr>
            <w:tcW w:w="3402" w:type="dxa"/>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02</w:t>
            </w:r>
            <w:r>
              <w:rPr>
                <w:rFonts w:asciiTheme="minorEastAsia" w:hAnsiTheme="minorEastAsia" w:cs="Times New Roman" w:hint="eastAsia"/>
                <w:color w:val="000000" w:themeColor="text1"/>
                <w:kern w:val="0"/>
                <w:szCs w:val="21"/>
              </w:rPr>
              <w:t>6666</w:t>
            </w:r>
          </w:p>
        </w:tc>
        <w:tc>
          <w:tcPr>
            <w:tcW w:w="3339" w:type="dxa"/>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02</w:t>
            </w:r>
            <w:r>
              <w:rPr>
                <w:rFonts w:asciiTheme="minorEastAsia" w:hAnsiTheme="minorEastAsia" w:cs="Times New Roman" w:hint="eastAsia"/>
                <w:color w:val="000000" w:themeColor="text1"/>
                <w:kern w:val="0"/>
                <w:szCs w:val="21"/>
              </w:rPr>
              <w:t>6667</w:t>
            </w:r>
          </w:p>
        </w:tc>
      </w:tr>
    </w:tbl>
    <w:p w:rsidR="004D6C56" w:rsidRDefault="004D6C56">
      <w:pPr>
        <w:widowControl/>
        <w:shd w:val="clear" w:color="auto" w:fill="FFFFFF"/>
        <w:snapToGrid w:val="0"/>
        <w:spacing w:line="288" w:lineRule="auto"/>
        <w:jc w:val="left"/>
        <w:rPr>
          <w:rFonts w:ascii="Cambria" w:eastAsia="宋体" w:hAnsi="Cambria" w:cs="宋体"/>
          <w:b/>
          <w:bCs/>
          <w:color w:val="000000"/>
          <w:kern w:val="0"/>
          <w:sz w:val="24"/>
          <w:szCs w:val="24"/>
          <w:lang w:val="zh-CN"/>
        </w:rPr>
      </w:pPr>
    </w:p>
    <w:p w:rsidR="004D6C56" w:rsidRDefault="00DF246C">
      <w:pPr>
        <w:widowControl/>
        <w:shd w:val="clear" w:color="auto" w:fill="FFFFFF"/>
        <w:snapToGrid w:val="0"/>
        <w:spacing w:line="288" w:lineRule="auto"/>
        <w:jc w:val="left"/>
        <w:rPr>
          <w:rFonts w:ascii="宋体" w:eastAsia="宋体" w:hAnsi="宋体" w:cs="宋体"/>
          <w:b/>
          <w:bCs/>
          <w:color w:val="000000"/>
          <w:kern w:val="0"/>
          <w:sz w:val="27"/>
          <w:szCs w:val="27"/>
        </w:rPr>
      </w:pPr>
      <w:r>
        <w:rPr>
          <w:rFonts w:ascii="Cambria" w:eastAsia="宋体" w:hAnsi="Cambria" w:cs="宋体"/>
          <w:b/>
          <w:bCs/>
          <w:color w:val="000000"/>
          <w:kern w:val="0"/>
          <w:sz w:val="24"/>
          <w:szCs w:val="24"/>
          <w:lang w:val="zh-CN"/>
        </w:rPr>
        <w:t>2</w:t>
      </w:r>
      <w:bookmarkEnd w:id="6"/>
      <w:r>
        <w:rPr>
          <w:rFonts w:ascii="宋体" w:eastAsia="宋体" w:hAnsi="宋体" w:cs="宋体" w:hint="eastAsia"/>
          <w:b/>
          <w:bCs/>
          <w:color w:val="000000"/>
          <w:kern w:val="0"/>
          <w:sz w:val="27"/>
          <w:szCs w:val="27"/>
        </w:rPr>
        <w:t>、</w:t>
      </w:r>
      <w:r>
        <w:rPr>
          <w:rFonts w:ascii="Cambria" w:eastAsia="宋体" w:hAnsi="Cambria" w:cs="宋体"/>
          <w:b/>
          <w:bCs/>
          <w:color w:val="000000"/>
          <w:kern w:val="0"/>
          <w:sz w:val="27"/>
          <w:szCs w:val="27"/>
        </w:rPr>
        <w:t> </w:t>
      </w:r>
      <w:r>
        <w:rPr>
          <w:rFonts w:ascii="宋体" w:eastAsia="宋体" w:hAnsi="宋体" w:cs="宋体" w:hint="eastAsia"/>
          <w:b/>
          <w:bCs/>
          <w:color w:val="000000"/>
          <w:kern w:val="0"/>
          <w:sz w:val="27"/>
          <w:szCs w:val="27"/>
        </w:rPr>
        <w:t>基金募集情况</w:t>
      </w:r>
    </w:p>
    <w:tbl>
      <w:tblPr>
        <w:tblStyle w:val="a8"/>
        <w:tblW w:w="8472" w:type="dxa"/>
        <w:tblLayout w:type="fixed"/>
        <w:tblLook w:val="04A0"/>
      </w:tblPr>
      <w:tblGrid>
        <w:gridCol w:w="1384"/>
        <w:gridCol w:w="1140"/>
        <w:gridCol w:w="1979"/>
        <w:gridCol w:w="1984"/>
        <w:gridCol w:w="1985"/>
      </w:tblGrid>
      <w:tr w:rsidR="004D6C56">
        <w:trPr>
          <w:trHeight w:val="510"/>
        </w:trPr>
        <w:tc>
          <w:tcPr>
            <w:tcW w:w="2524" w:type="dxa"/>
            <w:gridSpan w:val="2"/>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基金募集申请获中国证监会核准的文号</w:t>
            </w:r>
          </w:p>
        </w:tc>
        <w:tc>
          <w:tcPr>
            <w:tcW w:w="5948" w:type="dxa"/>
            <w:gridSpan w:val="3"/>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hint="eastAsia"/>
                <w:kern w:val="0"/>
                <w:szCs w:val="21"/>
              </w:rPr>
              <w:t>证监许可</w:t>
            </w:r>
            <w:r>
              <w:rPr>
                <w:rFonts w:asciiTheme="minorEastAsia" w:hAnsiTheme="minorEastAsia" w:cs="Times New Roman"/>
                <w:kern w:val="0"/>
                <w:szCs w:val="21"/>
              </w:rPr>
              <w:t>[202</w:t>
            </w:r>
            <w:r>
              <w:rPr>
                <w:rFonts w:asciiTheme="minorEastAsia" w:hAnsiTheme="minorEastAsia" w:cs="Times New Roman" w:hint="eastAsia"/>
                <w:kern w:val="0"/>
                <w:szCs w:val="21"/>
              </w:rPr>
              <w:t>5</w:t>
            </w:r>
            <w:r>
              <w:rPr>
                <w:rFonts w:asciiTheme="minorEastAsia" w:hAnsiTheme="minorEastAsia" w:cs="Times New Roman"/>
                <w:kern w:val="0"/>
                <w:szCs w:val="21"/>
              </w:rPr>
              <w:t>]</w:t>
            </w:r>
            <w:r>
              <w:rPr>
                <w:rFonts w:asciiTheme="minorEastAsia" w:hAnsiTheme="minorEastAsia" w:cs="Times New Roman" w:hint="eastAsia"/>
                <w:kern w:val="0"/>
                <w:szCs w:val="21"/>
              </w:rPr>
              <w:t>2821</w:t>
            </w:r>
            <w:r>
              <w:rPr>
                <w:rFonts w:asciiTheme="minorEastAsia" w:hAnsiTheme="minorEastAsia" w:cs="Times New Roman" w:hint="eastAsia"/>
                <w:kern w:val="0"/>
                <w:szCs w:val="21"/>
              </w:rPr>
              <w:t>号</w:t>
            </w:r>
          </w:p>
        </w:tc>
      </w:tr>
      <w:tr w:rsidR="004D6C56">
        <w:trPr>
          <w:trHeight w:val="285"/>
        </w:trPr>
        <w:tc>
          <w:tcPr>
            <w:tcW w:w="2524" w:type="dxa"/>
            <w:gridSpan w:val="2"/>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基金开始募集日期</w:t>
            </w:r>
          </w:p>
        </w:tc>
        <w:tc>
          <w:tcPr>
            <w:tcW w:w="5948" w:type="dxa"/>
            <w:gridSpan w:val="3"/>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kern w:val="0"/>
                <w:szCs w:val="21"/>
              </w:rPr>
              <w:t>20</w:t>
            </w:r>
            <w:r>
              <w:rPr>
                <w:rFonts w:asciiTheme="minorEastAsia" w:hAnsiTheme="minorEastAsia" w:cs="Times New Roman" w:hint="eastAsia"/>
                <w:kern w:val="0"/>
                <w:szCs w:val="21"/>
              </w:rPr>
              <w:t>26</w:t>
            </w:r>
            <w:r>
              <w:rPr>
                <w:rFonts w:asciiTheme="minorEastAsia" w:hAnsiTheme="minorEastAsia" w:cs="Times New Roman" w:hint="eastAsia"/>
                <w:kern w:val="0"/>
                <w:szCs w:val="21"/>
              </w:rPr>
              <w:t>年</w:t>
            </w:r>
            <w:r>
              <w:rPr>
                <w:rFonts w:asciiTheme="minorEastAsia" w:hAnsiTheme="minorEastAsia" w:cs="Times New Roman" w:hint="eastAsia"/>
                <w:kern w:val="0"/>
                <w:szCs w:val="21"/>
              </w:rPr>
              <w:t>1</w:t>
            </w:r>
            <w:r>
              <w:rPr>
                <w:rFonts w:asciiTheme="minorEastAsia" w:hAnsiTheme="minorEastAsia" w:cs="Times New Roman" w:hint="eastAsia"/>
                <w:kern w:val="0"/>
                <w:szCs w:val="21"/>
              </w:rPr>
              <w:t>月</w:t>
            </w:r>
            <w:r>
              <w:rPr>
                <w:rFonts w:asciiTheme="minorEastAsia" w:hAnsiTheme="minorEastAsia" w:cs="Times New Roman" w:hint="eastAsia"/>
                <w:kern w:val="0"/>
                <w:szCs w:val="21"/>
              </w:rPr>
              <w:t>26</w:t>
            </w:r>
            <w:r>
              <w:rPr>
                <w:rFonts w:asciiTheme="minorEastAsia" w:hAnsiTheme="minorEastAsia" w:cs="Times New Roman" w:hint="eastAsia"/>
                <w:kern w:val="0"/>
                <w:szCs w:val="21"/>
              </w:rPr>
              <w:t>日</w:t>
            </w:r>
          </w:p>
        </w:tc>
      </w:tr>
      <w:tr w:rsidR="004D6C56">
        <w:trPr>
          <w:trHeight w:val="285"/>
        </w:trPr>
        <w:tc>
          <w:tcPr>
            <w:tcW w:w="2524" w:type="dxa"/>
            <w:gridSpan w:val="2"/>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基金结束募集日期</w:t>
            </w:r>
          </w:p>
        </w:tc>
        <w:tc>
          <w:tcPr>
            <w:tcW w:w="5948" w:type="dxa"/>
            <w:gridSpan w:val="3"/>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kern w:val="0"/>
                <w:szCs w:val="21"/>
              </w:rPr>
              <w:t>202</w:t>
            </w:r>
            <w:r>
              <w:rPr>
                <w:rFonts w:asciiTheme="minorEastAsia" w:hAnsiTheme="minorEastAsia" w:cs="Times New Roman" w:hint="eastAsia"/>
                <w:kern w:val="0"/>
                <w:szCs w:val="21"/>
              </w:rPr>
              <w:t>6</w:t>
            </w:r>
            <w:r>
              <w:rPr>
                <w:rFonts w:asciiTheme="minorEastAsia" w:hAnsiTheme="minorEastAsia" w:cs="Times New Roman" w:hint="eastAsia"/>
                <w:kern w:val="0"/>
                <w:szCs w:val="21"/>
              </w:rPr>
              <w:t>年</w:t>
            </w:r>
            <w:r>
              <w:rPr>
                <w:rFonts w:asciiTheme="minorEastAsia" w:hAnsiTheme="minorEastAsia" w:cs="Times New Roman" w:hint="eastAsia"/>
                <w:kern w:val="0"/>
                <w:szCs w:val="21"/>
              </w:rPr>
              <w:t>1</w:t>
            </w:r>
            <w:r>
              <w:rPr>
                <w:rFonts w:asciiTheme="minorEastAsia" w:hAnsiTheme="minorEastAsia" w:cs="Times New Roman" w:hint="eastAsia"/>
                <w:kern w:val="0"/>
                <w:szCs w:val="21"/>
              </w:rPr>
              <w:t>月</w:t>
            </w:r>
            <w:r>
              <w:rPr>
                <w:rFonts w:asciiTheme="minorEastAsia" w:hAnsiTheme="minorEastAsia" w:cs="Times New Roman" w:hint="eastAsia"/>
                <w:kern w:val="0"/>
                <w:szCs w:val="21"/>
              </w:rPr>
              <w:t>30</w:t>
            </w:r>
            <w:r>
              <w:rPr>
                <w:rFonts w:asciiTheme="minorEastAsia" w:hAnsiTheme="minorEastAsia" w:cs="Times New Roman" w:hint="eastAsia"/>
                <w:kern w:val="0"/>
                <w:szCs w:val="21"/>
              </w:rPr>
              <w:t>日</w:t>
            </w:r>
          </w:p>
        </w:tc>
      </w:tr>
      <w:tr w:rsidR="004D6C56">
        <w:trPr>
          <w:trHeight w:val="285"/>
        </w:trPr>
        <w:tc>
          <w:tcPr>
            <w:tcW w:w="2524" w:type="dxa"/>
            <w:gridSpan w:val="2"/>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验资机构名称</w:t>
            </w:r>
          </w:p>
        </w:tc>
        <w:tc>
          <w:tcPr>
            <w:tcW w:w="5948" w:type="dxa"/>
            <w:gridSpan w:val="3"/>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hint="eastAsia"/>
                <w:kern w:val="0"/>
                <w:szCs w:val="21"/>
              </w:rPr>
              <w:t>毕马威华振会计师事务所</w:t>
            </w:r>
          </w:p>
        </w:tc>
      </w:tr>
      <w:tr w:rsidR="004D6C56">
        <w:trPr>
          <w:trHeight w:val="510"/>
        </w:trPr>
        <w:tc>
          <w:tcPr>
            <w:tcW w:w="2524" w:type="dxa"/>
            <w:gridSpan w:val="2"/>
            <w:shd w:val="clear" w:color="auto" w:fill="auto"/>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募集资金划入基金托管专户的日期</w:t>
            </w:r>
          </w:p>
        </w:tc>
        <w:tc>
          <w:tcPr>
            <w:tcW w:w="5948" w:type="dxa"/>
            <w:gridSpan w:val="3"/>
            <w:shd w:val="clear" w:color="auto" w:fill="auto"/>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kern w:val="0"/>
                <w:szCs w:val="21"/>
              </w:rPr>
              <w:t>202</w:t>
            </w:r>
            <w:r>
              <w:rPr>
                <w:rFonts w:asciiTheme="minorEastAsia" w:hAnsiTheme="minorEastAsia" w:cs="Times New Roman" w:hint="eastAsia"/>
                <w:kern w:val="0"/>
                <w:szCs w:val="21"/>
              </w:rPr>
              <w:t>6</w:t>
            </w:r>
            <w:r>
              <w:rPr>
                <w:rFonts w:asciiTheme="minorEastAsia" w:hAnsiTheme="minorEastAsia" w:cs="Times New Roman" w:hint="eastAsia"/>
                <w:kern w:val="0"/>
                <w:szCs w:val="21"/>
              </w:rPr>
              <w:t>年</w:t>
            </w:r>
            <w:r>
              <w:rPr>
                <w:rFonts w:asciiTheme="minorEastAsia" w:hAnsiTheme="minorEastAsia" w:cs="Times New Roman" w:hint="eastAsia"/>
                <w:kern w:val="0"/>
                <w:szCs w:val="21"/>
              </w:rPr>
              <w:t>2</w:t>
            </w:r>
            <w:r>
              <w:rPr>
                <w:rFonts w:asciiTheme="minorEastAsia" w:hAnsiTheme="minorEastAsia" w:cs="Times New Roman" w:hint="eastAsia"/>
                <w:kern w:val="0"/>
                <w:szCs w:val="21"/>
              </w:rPr>
              <w:t>月</w:t>
            </w:r>
            <w:r>
              <w:rPr>
                <w:rFonts w:asciiTheme="minorEastAsia" w:hAnsiTheme="minorEastAsia" w:cs="Times New Roman"/>
                <w:kern w:val="0"/>
                <w:szCs w:val="21"/>
              </w:rPr>
              <w:t>4</w:t>
            </w:r>
            <w:r>
              <w:rPr>
                <w:rFonts w:asciiTheme="minorEastAsia" w:hAnsiTheme="minorEastAsia" w:cs="Times New Roman" w:hint="eastAsia"/>
                <w:kern w:val="0"/>
                <w:szCs w:val="21"/>
              </w:rPr>
              <w:t>日</w:t>
            </w:r>
          </w:p>
        </w:tc>
      </w:tr>
      <w:tr w:rsidR="004D6C56">
        <w:trPr>
          <w:trHeight w:val="510"/>
        </w:trPr>
        <w:tc>
          <w:tcPr>
            <w:tcW w:w="2524" w:type="dxa"/>
            <w:gridSpan w:val="2"/>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募集有效认购总户数（单位：户）</w:t>
            </w:r>
          </w:p>
        </w:tc>
        <w:tc>
          <w:tcPr>
            <w:tcW w:w="5948" w:type="dxa"/>
            <w:gridSpan w:val="3"/>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26</w:t>
            </w:r>
          </w:p>
        </w:tc>
      </w:tr>
      <w:tr w:rsidR="004D6C56">
        <w:trPr>
          <w:trHeight w:val="612"/>
        </w:trPr>
        <w:tc>
          <w:tcPr>
            <w:tcW w:w="2524" w:type="dxa"/>
            <w:gridSpan w:val="2"/>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份额级别</w:t>
            </w:r>
          </w:p>
        </w:tc>
        <w:tc>
          <w:tcPr>
            <w:tcW w:w="1979" w:type="dxa"/>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hint="eastAsia"/>
              </w:rPr>
              <w:t>华泰紫金策略精选混合</w:t>
            </w:r>
            <w:r>
              <w:rPr>
                <w:rFonts w:asciiTheme="minorEastAsia" w:hAnsiTheme="minorEastAsia" w:cs="Times New Roman" w:hint="eastAsia"/>
                <w:color w:val="000000" w:themeColor="text1"/>
                <w:kern w:val="0"/>
                <w:szCs w:val="21"/>
              </w:rPr>
              <w:t>A</w:t>
            </w:r>
          </w:p>
        </w:tc>
        <w:tc>
          <w:tcPr>
            <w:tcW w:w="1984" w:type="dxa"/>
            <w:vAlign w:val="center"/>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hint="eastAsia"/>
              </w:rPr>
              <w:t>华泰紫金策略精选混合</w:t>
            </w:r>
            <w:r>
              <w:rPr>
                <w:rFonts w:asciiTheme="minorEastAsia" w:hAnsiTheme="minorEastAsia" w:cs="Times New Roman" w:hint="eastAsia"/>
                <w:color w:val="000000" w:themeColor="text1"/>
                <w:kern w:val="0"/>
                <w:szCs w:val="21"/>
              </w:rPr>
              <w:t>C</w:t>
            </w:r>
          </w:p>
        </w:tc>
        <w:tc>
          <w:tcPr>
            <w:tcW w:w="1985" w:type="dxa"/>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合计</w:t>
            </w:r>
          </w:p>
        </w:tc>
      </w:tr>
      <w:tr w:rsidR="004D6C56">
        <w:trPr>
          <w:trHeight w:val="510"/>
        </w:trPr>
        <w:tc>
          <w:tcPr>
            <w:tcW w:w="2524" w:type="dxa"/>
            <w:gridSpan w:val="2"/>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募集期间净认购金额（单位：元）</w:t>
            </w:r>
          </w:p>
        </w:tc>
        <w:tc>
          <w:tcPr>
            <w:tcW w:w="1979" w:type="dxa"/>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102,398,764.17</w:t>
            </w:r>
          </w:p>
        </w:tc>
        <w:tc>
          <w:tcPr>
            <w:tcW w:w="1984" w:type="dxa"/>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42,930.00</w:t>
            </w:r>
          </w:p>
        </w:tc>
        <w:tc>
          <w:tcPr>
            <w:tcW w:w="1985" w:type="dxa"/>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102,441,694.17</w:t>
            </w:r>
          </w:p>
        </w:tc>
      </w:tr>
      <w:tr w:rsidR="004D6C56">
        <w:trPr>
          <w:trHeight w:val="605"/>
        </w:trPr>
        <w:tc>
          <w:tcPr>
            <w:tcW w:w="2524" w:type="dxa"/>
            <w:gridSpan w:val="2"/>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认购资金在募集期间产生的利息（单位：元）</w:t>
            </w:r>
          </w:p>
        </w:tc>
        <w:tc>
          <w:tcPr>
            <w:tcW w:w="1979" w:type="dxa"/>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6,877.22</w:t>
            </w:r>
          </w:p>
        </w:tc>
        <w:tc>
          <w:tcPr>
            <w:tcW w:w="1984" w:type="dxa"/>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5.88</w:t>
            </w:r>
          </w:p>
        </w:tc>
        <w:tc>
          <w:tcPr>
            <w:tcW w:w="1985" w:type="dxa"/>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6,883.10</w:t>
            </w:r>
          </w:p>
        </w:tc>
      </w:tr>
      <w:tr w:rsidR="004D6C56">
        <w:trPr>
          <w:trHeight w:val="525"/>
        </w:trPr>
        <w:tc>
          <w:tcPr>
            <w:tcW w:w="1384" w:type="dxa"/>
            <w:vMerge w:val="restart"/>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lastRenderedPageBreak/>
              <w:t>募集份额（单位：份）</w:t>
            </w:r>
          </w:p>
        </w:tc>
        <w:tc>
          <w:tcPr>
            <w:tcW w:w="1140" w:type="dxa"/>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有效认购份额</w:t>
            </w:r>
          </w:p>
        </w:tc>
        <w:tc>
          <w:tcPr>
            <w:tcW w:w="1979" w:type="dxa"/>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102,398,764.17</w:t>
            </w:r>
          </w:p>
        </w:tc>
        <w:tc>
          <w:tcPr>
            <w:tcW w:w="1984" w:type="dxa"/>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42,930.00</w:t>
            </w:r>
          </w:p>
        </w:tc>
        <w:tc>
          <w:tcPr>
            <w:tcW w:w="1985" w:type="dxa"/>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102,441,694.17</w:t>
            </w:r>
          </w:p>
        </w:tc>
      </w:tr>
      <w:tr w:rsidR="004D6C56">
        <w:trPr>
          <w:trHeight w:val="525"/>
        </w:trPr>
        <w:tc>
          <w:tcPr>
            <w:tcW w:w="1384" w:type="dxa"/>
            <w:vMerge/>
          </w:tcPr>
          <w:p w:rsidR="004D6C56" w:rsidRDefault="004D6C56">
            <w:pPr>
              <w:widowControl/>
              <w:snapToGrid w:val="0"/>
              <w:spacing w:line="288" w:lineRule="auto"/>
              <w:jc w:val="left"/>
              <w:rPr>
                <w:rFonts w:asciiTheme="minorEastAsia" w:hAnsiTheme="minorEastAsia" w:cs="Times New Roman"/>
                <w:color w:val="000000" w:themeColor="text1"/>
                <w:kern w:val="0"/>
                <w:szCs w:val="21"/>
              </w:rPr>
            </w:pPr>
          </w:p>
        </w:tc>
        <w:tc>
          <w:tcPr>
            <w:tcW w:w="1140" w:type="dxa"/>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利息结转的份额</w:t>
            </w:r>
          </w:p>
        </w:tc>
        <w:tc>
          <w:tcPr>
            <w:tcW w:w="1979" w:type="dxa"/>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6,877.22</w:t>
            </w:r>
          </w:p>
        </w:tc>
        <w:tc>
          <w:tcPr>
            <w:tcW w:w="1984" w:type="dxa"/>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5.88</w:t>
            </w:r>
          </w:p>
        </w:tc>
        <w:tc>
          <w:tcPr>
            <w:tcW w:w="1985" w:type="dxa"/>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6,883.10</w:t>
            </w:r>
          </w:p>
        </w:tc>
      </w:tr>
      <w:tr w:rsidR="004D6C56">
        <w:trPr>
          <w:trHeight w:val="300"/>
        </w:trPr>
        <w:tc>
          <w:tcPr>
            <w:tcW w:w="1384" w:type="dxa"/>
            <w:vMerge/>
          </w:tcPr>
          <w:p w:rsidR="004D6C56" w:rsidRDefault="004D6C56">
            <w:pPr>
              <w:widowControl/>
              <w:snapToGrid w:val="0"/>
              <w:spacing w:line="288" w:lineRule="auto"/>
              <w:jc w:val="left"/>
              <w:rPr>
                <w:rFonts w:asciiTheme="minorEastAsia" w:hAnsiTheme="minorEastAsia" w:cs="Times New Roman"/>
                <w:color w:val="000000" w:themeColor="text1"/>
                <w:kern w:val="0"/>
                <w:szCs w:val="21"/>
              </w:rPr>
            </w:pPr>
          </w:p>
        </w:tc>
        <w:tc>
          <w:tcPr>
            <w:tcW w:w="1140" w:type="dxa"/>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合计</w:t>
            </w:r>
          </w:p>
        </w:tc>
        <w:tc>
          <w:tcPr>
            <w:tcW w:w="1979" w:type="dxa"/>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102,405,641.39</w:t>
            </w:r>
          </w:p>
        </w:tc>
        <w:tc>
          <w:tcPr>
            <w:tcW w:w="1984" w:type="dxa"/>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42,935.88</w:t>
            </w:r>
          </w:p>
        </w:tc>
        <w:tc>
          <w:tcPr>
            <w:tcW w:w="1985" w:type="dxa"/>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102,448,577.27</w:t>
            </w:r>
          </w:p>
        </w:tc>
      </w:tr>
      <w:tr w:rsidR="004D6C56">
        <w:trPr>
          <w:trHeight w:val="1035"/>
        </w:trPr>
        <w:tc>
          <w:tcPr>
            <w:tcW w:w="1384" w:type="dxa"/>
            <w:vMerge w:val="restart"/>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其中：募集期间基金管理人运用固有资金认购本基金情况</w:t>
            </w:r>
          </w:p>
        </w:tc>
        <w:tc>
          <w:tcPr>
            <w:tcW w:w="1140" w:type="dxa"/>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认购的基金份额（单位：份）</w:t>
            </w:r>
          </w:p>
        </w:tc>
        <w:tc>
          <w:tcPr>
            <w:tcW w:w="1979" w:type="dxa"/>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100,006,666.67</w:t>
            </w:r>
          </w:p>
        </w:tc>
        <w:tc>
          <w:tcPr>
            <w:tcW w:w="1984" w:type="dxa"/>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0.00</w:t>
            </w:r>
          </w:p>
        </w:tc>
        <w:tc>
          <w:tcPr>
            <w:tcW w:w="1985" w:type="dxa"/>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100,006,666.67</w:t>
            </w:r>
          </w:p>
        </w:tc>
      </w:tr>
      <w:tr w:rsidR="004D6C56">
        <w:trPr>
          <w:trHeight w:val="780"/>
        </w:trPr>
        <w:tc>
          <w:tcPr>
            <w:tcW w:w="1384" w:type="dxa"/>
            <w:vMerge/>
          </w:tcPr>
          <w:p w:rsidR="004D6C56" w:rsidRDefault="004D6C56">
            <w:pPr>
              <w:widowControl/>
              <w:snapToGrid w:val="0"/>
              <w:spacing w:line="288" w:lineRule="auto"/>
              <w:jc w:val="left"/>
              <w:rPr>
                <w:rFonts w:asciiTheme="minorEastAsia" w:hAnsiTheme="minorEastAsia" w:cs="Times New Roman"/>
                <w:color w:val="000000" w:themeColor="text1"/>
                <w:kern w:val="0"/>
                <w:szCs w:val="21"/>
              </w:rPr>
            </w:pPr>
          </w:p>
        </w:tc>
        <w:tc>
          <w:tcPr>
            <w:tcW w:w="1140" w:type="dxa"/>
          </w:tcPr>
          <w:p w:rsidR="004D6C56" w:rsidRDefault="00DF246C">
            <w:pPr>
              <w:widowControl/>
              <w:snapToGrid w:val="0"/>
              <w:spacing w:line="288"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占基金总份额比例（</w:t>
            </w:r>
            <w:r>
              <w:rPr>
                <w:rFonts w:asciiTheme="minorEastAsia" w:hAnsiTheme="minorEastAsia"/>
                <w:color w:val="000000" w:themeColor="text1"/>
                <w:szCs w:val="21"/>
              </w:rPr>
              <w:t>%</w:t>
            </w:r>
            <w:r>
              <w:rPr>
                <w:rFonts w:asciiTheme="minorEastAsia" w:hAnsiTheme="minorEastAsia"/>
                <w:color w:val="000000" w:themeColor="text1"/>
                <w:szCs w:val="21"/>
              </w:rPr>
              <w:t>）</w:t>
            </w:r>
          </w:p>
        </w:tc>
        <w:tc>
          <w:tcPr>
            <w:tcW w:w="1979" w:type="dxa"/>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97.66</w:t>
            </w:r>
          </w:p>
        </w:tc>
        <w:tc>
          <w:tcPr>
            <w:tcW w:w="1984" w:type="dxa"/>
            <w:vAlign w:val="center"/>
          </w:tcPr>
          <w:p w:rsidR="004D6C56" w:rsidRDefault="00DF246C">
            <w:pPr>
              <w:widowControl/>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0.00</w:t>
            </w:r>
          </w:p>
        </w:tc>
        <w:tc>
          <w:tcPr>
            <w:tcW w:w="1985" w:type="dxa"/>
            <w:vAlign w:val="center"/>
          </w:tcPr>
          <w:p w:rsidR="004D6C56" w:rsidRDefault="00DF246C">
            <w:pPr>
              <w:widowControl/>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97.62</w:t>
            </w:r>
          </w:p>
        </w:tc>
      </w:tr>
      <w:tr w:rsidR="004D6C56">
        <w:trPr>
          <w:trHeight w:val="780"/>
        </w:trPr>
        <w:tc>
          <w:tcPr>
            <w:tcW w:w="1384" w:type="dxa"/>
            <w:vMerge/>
          </w:tcPr>
          <w:p w:rsidR="004D6C56" w:rsidRDefault="004D6C56">
            <w:pPr>
              <w:widowControl/>
              <w:snapToGrid w:val="0"/>
              <w:spacing w:line="288" w:lineRule="auto"/>
              <w:jc w:val="left"/>
              <w:rPr>
                <w:rFonts w:asciiTheme="minorEastAsia" w:hAnsiTheme="minorEastAsia" w:cs="Times New Roman"/>
                <w:color w:val="000000" w:themeColor="text1"/>
                <w:kern w:val="0"/>
                <w:szCs w:val="21"/>
              </w:rPr>
            </w:pPr>
          </w:p>
        </w:tc>
        <w:tc>
          <w:tcPr>
            <w:tcW w:w="1140" w:type="dxa"/>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其他需要说明的事项</w:t>
            </w:r>
          </w:p>
        </w:tc>
        <w:tc>
          <w:tcPr>
            <w:tcW w:w="5948" w:type="dxa"/>
            <w:gridSpan w:val="3"/>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本基金管理人于</w:t>
            </w:r>
            <w:r>
              <w:rPr>
                <w:rFonts w:asciiTheme="minorEastAsia" w:hAnsiTheme="minorEastAsia" w:cs="Times New Roman"/>
                <w:color w:val="000000" w:themeColor="text1"/>
                <w:kern w:val="0"/>
                <w:szCs w:val="21"/>
              </w:rPr>
              <w:t>202</w:t>
            </w:r>
            <w:r>
              <w:rPr>
                <w:rFonts w:asciiTheme="minorEastAsia" w:hAnsiTheme="minorEastAsia" w:cs="Times New Roman" w:hint="eastAsia"/>
                <w:color w:val="000000" w:themeColor="text1"/>
                <w:kern w:val="0"/>
                <w:szCs w:val="21"/>
              </w:rPr>
              <w:t>6</w:t>
            </w:r>
            <w:r>
              <w:rPr>
                <w:rFonts w:asciiTheme="minorEastAsia" w:hAnsiTheme="minorEastAsia" w:cs="Times New Roman" w:hint="eastAsia"/>
                <w:color w:val="000000" w:themeColor="text1"/>
                <w:kern w:val="0"/>
                <w:szCs w:val="21"/>
              </w:rPr>
              <w:t>年</w:t>
            </w:r>
            <w:r>
              <w:rPr>
                <w:rFonts w:asciiTheme="minorEastAsia" w:hAnsiTheme="minorEastAsia" w:cs="Times New Roman" w:hint="eastAsia"/>
                <w:color w:val="000000" w:themeColor="text1"/>
                <w:kern w:val="0"/>
                <w:szCs w:val="21"/>
              </w:rPr>
              <w:t>1</w:t>
            </w:r>
            <w:r>
              <w:rPr>
                <w:rFonts w:asciiTheme="minorEastAsia" w:hAnsiTheme="minorEastAsia" w:cs="Times New Roman" w:hint="eastAsia"/>
                <w:color w:val="000000" w:themeColor="text1"/>
                <w:kern w:val="0"/>
                <w:szCs w:val="21"/>
              </w:rPr>
              <w:t>月</w:t>
            </w:r>
            <w:r>
              <w:rPr>
                <w:rFonts w:asciiTheme="minorEastAsia" w:hAnsiTheme="minorEastAsia" w:cs="Times New Roman"/>
                <w:color w:val="000000" w:themeColor="text1"/>
                <w:kern w:val="0"/>
                <w:szCs w:val="21"/>
              </w:rPr>
              <w:t>29</w:t>
            </w:r>
            <w:r>
              <w:rPr>
                <w:rFonts w:asciiTheme="minorEastAsia" w:hAnsiTheme="minorEastAsia" w:cs="Times New Roman" w:hint="eastAsia"/>
                <w:color w:val="000000" w:themeColor="text1"/>
                <w:kern w:val="0"/>
                <w:szCs w:val="21"/>
              </w:rPr>
              <w:t>日通过直销认购本基金金额</w:t>
            </w:r>
            <w:r>
              <w:rPr>
                <w:rFonts w:asciiTheme="minorEastAsia" w:hAnsiTheme="minorEastAsia" w:cs="Times New Roman"/>
                <w:color w:val="000000" w:themeColor="text1"/>
                <w:kern w:val="0"/>
                <w:szCs w:val="21"/>
              </w:rPr>
              <w:t>100,000,000.00</w:t>
            </w:r>
            <w:r>
              <w:rPr>
                <w:rFonts w:asciiTheme="minorEastAsia" w:hAnsiTheme="minorEastAsia" w:cs="Times New Roman" w:hint="eastAsia"/>
                <w:color w:val="000000" w:themeColor="text1"/>
                <w:kern w:val="0"/>
                <w:szCs w:val="21"/>
              </w:rPr>
              <w:t>元，认购费用为</w:t>
            </w:r>
            <w:r>
              <w:rPr>
                <w:rFonts w:asciiTheme="minorEastAsia" w:hAnsiTheme="minorEastAsia" w:cs="Times New Roman"/>
                <w:color w:val="000000" w:themeColor="text1"/>
                <w:kern w:val="0"/>
                <w:szCs w:val="21"/>
              </w:rPr>
              <w:t>0.00</w:t>
            </w:r>
            <w:r>
              <w:rPr>
                <w:rFonts w:asciiTheme="minorEastAsia" w:hAnsiTheme="minorEastAsia" w:cs="Times New Roman" w:hint="eastAsia"/>
                <w:color w:val="000000" w:themeColor="text1"/>
                <w:kern w:val="0"/>
                <w:szCs w:val="21"/>
              </w:rPr>
              <w:t>元，折合本基金为</w:t>
            </w:r>
            <w:r>
              <w:rPr>
                <w:rFonts w:asciiTheme="minorEastAsia" w:hAnsiTheme="minorEastAsia" w:cs="Times New Roman"/>
                <w:color w:val="000000" w:themeColor="text1"/>
                <w:kern w:val="0"/>
                <w:szCs w:val="21"/>
              </w:rPr>
              <w:t>100,000,000.00</w:t>
            </w:r>
            <w:r>
              <w:rPr>
                <w:rFonts w:asciiTheme="minorEastAsia" w:hAnsiTheme="minorEastAsia" w:cs="Times New Roman" w:hint="eastAsia"/>
                <w:color w:val="000000" w:themeColor="text1"/>
                <w:kern w:val="0"/>
                <w:szCs w:val="21"/>
              </w:rPr>
              <w:t>份（不含募集期利息结转的份额）。</w:t>
            </w:r>
            <w:r>
              <w:rPr>
                <w:rFonts w:ascii="宋体" w:eastAsia="宋体" w:hAnsi="宋体" w:cs="宋体" w:hint="eastAsia"/>
                <w:color w:val="000000" w:themeColor="text1"/>
                <w:szCs w:val="21"/>
              </w:rPr>
              <w:t>其中</w:t>
            </w:r>
            <w:r>
              <w:rPr>
                <w:rFonts w:asciiTheme="minorEastAsia" w:hAnsiTheme="minorEastAsia" w:cs="Times New Roman"/>
                <w:color w:val="000000" w:themeColor="text1"/>
                <w:kern w:val="0"/>
                <w:szCs w:val="21"/>
              </w:rPr>
              <w:t>100,000,000.00</w:t>
            </w:r>
            <w:r>
              <w:rPr>
                <w:rFonts w:ascii="宋体" w:eastAsia="宋体" w:hAnsi="宋体" w:cs="宋体" w:hint="eastAsia"/>
                <w:color w:val="000000" w:themeColor="text1"/>
                <w:szCs w:val="21"/>
              </w:rPr>
              <w:t>元作为本基金的发起资金，自本基金基金合同生效之日起，所认购的基金份额持有期限不少于三年。</w:t>
            </w:r>
          </w:p>
        </w:tc>
      </w:tr>
      <w:tr w:rsidR="004D6C56">
        <w:trPr>
          <w:trHeight w:val="1035"/>
        </w:trPr>
        <w:tc>
          <w:tcPr>
            <w:tcW w:w="1384" w:type="dxa"/>
            <w:vMerge w:val="restart"/>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其中：募集期间基金管理人的从业人员认购本基金情况</w:t>
            </w:r>
          </w:p>
        </w:tc>
        <w:tc>
          <w:tcPr>
            <w:tcW w:w="1140" w:type="dxa"/>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认购的基金份额（单位：份）</w:t>
            </w:r>
          </w:p>
        </w:tc>
        <w:tc>
          <w:tcPr>
            <w:tcW w:w="1979" w:type="dxa"/>
            <w:shd w:val="clear" w:color="auto" w:fill="auto"/>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2,270,839.34</w:t>
            </w:r>
          </w:p>
        </w:tc>
        <w:tc>
          <w:tcPr>
            <w:tcW w:w="1984" w:type="dxa"/>
            <w:shd w:val="clear" w:color="auto" w:fill="auto"/>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0.00</w:t>
            </w:r>
          </w:p>
        </w:tc>
        <w:tc>
          <w:tcPr>
            <w:tcW w:w="1985" w:type="dxa"/>
            <w:shd w:val="clear" w:color="auto" w:fill="auto"/>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2,270,839.34</w:t>
            </w:r>
          </w:p>
        </w:tc>
      </w:tr>
      <w:tr w:rsidR="004D6C56">
        <w:trPr>
          <w:trHeight w:val="780"/>
        </w:trPr>
        <w:tc>
          <w:tcPr>
            <w:tcW w:w="1384" w:type="dxa"/>
            <w:vMerge/>
          </w:tcPr>
          <w:p w:rsidR="004D6C56" w:rsidRDefault="004D6C56">
            <w:pPr>
              <w:widowControl/>
              <w:snapToGrid w:val="0"/>
              <w:spacing w:line="288" w:lineRule="auto"/>
              <w:jc w:val="left"/>
              <w:rPr>
                <w:rFonts w:asciiTheme="minorEastAsia" w:hAnsiTheme="minorEastAsia" w:cs="Times New Roman"/>
                <w:color w:val="000000" w:themeColor="text1"/>
                <w:kern w:val="0"/>
                <w:szCs w:val="21"/>
              </w:rPr>
            </w:pPr>
          </w:p>
        </w:tc>
        <w:tc>
          <w:tcPr>
            <w:tcW w:w="1140" w:type="dxa"/>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占基金总份额比例（</w:t>
            </w:r>
            <w:r>
              <w:rPr>
                <w:rFonts w:asciiTheme="minorEastAsia" w:hAnsiTheme="minorEastAsia" w:cs="Times New Roman"/>
                <w:color w:val="000000" w:themeColor="text1"/>
                <w:kern w:val="0"/>
                <w:szCs w:val="21"/>
              </w:rPr>
              <w:t>%</w:t>
            </w:r>
            <w:r>
              <w:rPr>
                <w:rFonts w:asciiTheme="minorEastAsia" w:hAnsiTheme="minorEastAsia" w:cs="Times New Roman"/>
                <w:color w:val="000000" w:themeColor="text1"/>
                <w:kern w:val="0"/>
                <w:szCs w:val="21"/>
              </w:rPr>
              <w:t>）</w:t>
            </w:r>
          </w:p>
        </w:tc>
        <w:tc>
          <w:tcPr>
            <w:tcW w:w="1979" w:type="dxa"/>
            <w:shd w:val="clear" w:color="auto" w:fill="auto"/>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2.22</w:t>
            </w:r>
          </w:p>
        </w:tc>
        <w:tc>
          <w:tcPr>
            <w:tcW w:w="1984" w:type="dxa"/>
            <w:shd w:val="clear" w:color="auto" w:fill="auto"/>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0.00</w:t>
            </w:r>
          </w:p>
        </w:tc>
        <w:tc>
          <w:tcPr>
            <w:tcW w:w="1985" w:type="dxa"/>
            <w:shd w:val="clear" w:color="auto" w:fill="auto"/>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2.22</w:t>
            </w:r>
          </w:p>
        </w:tc>
      </w:tr>
      <w:tr w:rsidR="004D6C56">
        <w:trPr>
          <w:trHeight w:val="1020"/>
        </w:trPr>
        <w:tc>
          <w:tcPr>
            <w:tcW w:w="2524" w:type="dxa"/>
            <w:gridSpan w:val="2"/>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募集期限届满基金是否符合法律法规规定的办理基金备案手续的条件</w:t>
            </w:r>
          </w:p>
        </w:tc>
        <w:tc>
          <w:tcPr>
            <w:tcW w:w="5948" w:type="dxa"/>
            <w:gridSpan w:val="3"/>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hint="eastAsia"/>
                <w:kern w:val="0"/>
                <w:szCs w:val="21"/>
              </w:rPr>
              <w:t>是</w:t>
            </w:r>
          </w:p>
        </w:tc>
      </w:tr>
      <w:tr w:rsidR="004D6C56">
        <w:trPr>
          <w:trHeight w:val="765"/>
        </w:trPr>
        <w:tc>
          <w:tcPr>
            <w:tcW w:w="2524" w:type="dxa"/>
            <w:gridSpan w:val="2"/>
          </w:tcPr>
          <w:p w:rsidR="004D6C56" w:rsidRDefault="00DF246C">
            <w:pPr>
              <w:widowControl/>
              <w:snapToGrid w:val="0"/>
              <w:spacing w:line="288" w:lineRule="auto"/>
              <w:jc w:val="left"/>
              <w:rPr>
                <w:rFonts w:asciiTheme="minorEastAsia" w:hAnsiTheme="minorEastAsia" w:cs="Times New Roman"/>
                <w:color w:val="000000" w:themeColor="text1"/>
                <w:kern w:val="0"/>
                <w:szCs w:val="21"/>
              </w:rPr>
            </w:pPr>
            <w:r>
              <w:rPr>
                <w:rFonts w:asciiTheme="minorEastAsia" w:hAnsiTheme="minorEastAsia" w:cs="Times New Roman" w:hint="eastAsia"/>
                <w:color w:val="000000" w:themeColor="text1"/>
                <w:kern w:val="0"/>
                <w:szCs w:val="21"/>
              </w:rPr>
              <w:t>向中国证监会办理基金备案手续获得书面确认的日期</w:t>
            </w:r>
          </w:p>
        </w:tc>
        <w:tc>
          <w:tcPr>
            <w:tcW w:w="5948" w:type="dxa"/>
            <w:gridSpan w:val="3"/>
            <w:vAlign w:val="center"/>
          </w:tcPr>
          <w:p w:rsidR="004D6C56" w:rsidRDefault="00DF246C">
            <w:pPr>
              <w:widowControl/>
              <w:snapToGrid w:val="0"/>
              <w:spacing w:line="288" w:lineRule="auto"/>
              <w:rPr>
                <w:rFonts w:asciiTheme="minorEastAsia" w:hAnsiTheme="minorEastAsia" w:cs="Times New Roman"/>
                <w:color w:val="000000" w:themeColor="text1"/>
                <w:kern w:val="0"/>
                <w:szCs w:val="21"/>
              </w:rPr>
            </w:pPr>
            <w:r>
              <w:rPr>
                <w:rFonts w:asciiTheme="minorEastAsia" w:hAnsiTheme="minorEastAsia" w:cs="Times New Roman"/>
                <w:kern w:val="0"/>
                <w:szCs w:val="21"/>
              </w:rPr>
              <w:t>202</w:t>
            </w:r>
            <w:r>
              <w:rPr>
                <w:rFonts w:asciiTheme="minorEastAsia" w:hAnsiTheme="minorEastAsia" w:cs="Times New Roman" w:hint="eastAsia"/>
                <w:kern w:val="0"/>
                <w:szCs w:val="21"/>
              </w:rPr>
              <w:t>6</w:t>
            </w:r>
            <w:r>
              <w:rPr>
                <w:rFonts w:asciiTheme="minorEastAsia" w:hAnsiTheme="minorEastAsia" w:cs="Times New Roman" w:hint="eastAsia"/>
                <w:kern w:val="0"/>
                <w:szCs w:val="21"/>
              </w:rPr>
              <w:t>年</w:t>
            </w:r>
            <w:r>
              <w:rPr>
                <w:rFonts w:asciiTheme="minorEastAsia" w:hAnsiTheme="minorEastAsia" w:cs="Times New Roman" w:hint="eastAsia"/>
                <w:kern w:val="0"/>
                <w:szCs w:val="21"/>
              </w:rPr>
              <w:t>2</w:t>
            </w:r>
            <w:r>
              <w:rPr>
                <w:rFonts w:asciiTheme="minorEastAsia" w:hAnsiTheme="minorEastAsia" w:cs="Times New Roman" w:hint="eastAsia"/>
                <w:kern w:val="0"/>
                <w:szCs w:val="21"/>
              </w:rPr>
              <w:t>月</w:t>
            </w:r>
            <w:r>
              <w:rPr>
                <w:rFonts w:asciiTheme="minorEastAsia" w:hAnsiTheme="minorEastAsia" w:cs="Times New Roman" w:hint="eastAsia"/>
                <w:kern w:val="0"/>
                <w:szCs w:val="21"/>
              </w:rPr>
              <w:t>4</w:t>
            </w:r>
            <w:r>
              <w:rPr>
                <w:rFonts w:asciiTheme="minorEastAsia" w:hAnsiTheme="minorEastAsia" w:cs="Times New Roman" w:hint="eastAsia"/>
                <w:kern w:val="0"/>
                <w:szCs w:val="21"/>
              </w:rPr>
              <w:t>日</w:t>
            </w:r>
          </w:p>
        </w:tc>
      </w:tr>
    </w:tbl>
    <w:p w:rsidR="004D6C56" w:rsidRDefault="00DF246C">
      <w:pPr>
        <w:snapToGrid w:val="0"/>
        <w:spacing w:line="360" w:lineRule="auto"/>
        <w:rPr>
          <w:rFonts w:asciiTheme="minorEastAsia" w:hAnsiTheme="minorEastAsia"/>
        </w:rPr>
      </w:pPr>
      <w:r>
        <w:rPr>
          <w:rFonts w:asciiTheme="minorEastAsia" w:hAnsiTheme="minorEastAsia" w:hint="eastAsia"/>
        </w:rPr>
        <w:t>注：（</w:t>
      </w:r>
      <w:r>
        <w:rPr>
          <w:rFonts w:asciiTheme="minorEastAsia" w:hAnsiTheme="minorEastAsia" w:hint="eastAsia"/>
        </w:rPr>
        <w:t>1</w:t>
      </w:r>
      <w:r>
        <w:rPr>
          <w:rFonts w:asciiTheme="minorEastAsia" w:hAnsiTheme="minorEastAsia" w:hint="eastAsia"/>
        </w:rPr>
        <w:t>）募集期间基金管理人的高级管理人员、投资部负责人、研究部负责人持有该只基金份额总量的数量区间为</w:t>
      </w:r>
      <w:r>
        <w:rPr>
          <w:rFonts w:asciiTheme="minorEastAsia" w:hAnsiTheme="minorEastAsia" w:hint="eastAsia"/>
        </w:rPr>
        <w:t>0</w:t>
      </w:r>
      <w:r>
        <w:rPr>
          <w:rFonts w:asciiTheme="minorEastAsia" w:hAnsiTheme="minorEastAsia" w:hint="eastAsia"/>
        </w:rPr>
        <w:t>至</w:t>
      </w:r>
      <w:r>
        <w:rPr>
          <w:rFonts w:asciiTheme="minorEastAsia" w:hAnsiTheme="minorEastAsia" w:hint="eastAsia"/>
        </w:rPr>
        <w:t>10</w:t>
      </w:r>
      <w:r>
        <w:rPr>
          <w:rFonts w:asciiTheme="minorEastAsia" w:hAnsiTheme="minorEastAsia" w:hint="eastAsia"/>
        </w:rPr>
        <w:t>万份（含）份，该只基金的基金经理持有该只基金份额总量的数量区间为</w:t>
      </w:r>
      <w:r>
        <w:rPr>
          <w:rFonts w:asciiTheme="minorEastAsia" w:hAnsiTheme="minorEastAsia" w:hint="eastAsia"/>
        </w:rPr>
        <w:t>100</w:t>
      </w:r>
      <w:r>
        <w:rPr>
          <w:rFonts w:asciiTheme="minorEastAsia" w:hAnsiTheme="minorEastAsia" w:hint="eastAsia"/>
        </w:rPr>
        <w:t>万份以上份，前述所指基金份额总量的数量区间为</w:t>
      </w:r>
      <w:r>
        <w:rPr>
          <w:rFonts w:asciiTheme="minorEastAsia" w:hAnsiTheme="minorEastAsia"/>
        </w:rPr>
        <w:t>0</w:t>
      </w:r>
      <w:r>
        <w:rPr>
          <w:rFonts w:asciiTheme="minorEastAsia" w:hAnsiTheme="minorEastAsia" w:hint="eastAsia"/>
        </w:rPr>
        <w:t>、</w:t>
      </w:r>
      <w:r>
        <w:rPr>
          <w:rFonts w:asciiTheme="minorEastAsia" w:hAnsiTheme="minorEastAsia" w:hint="eastAsia"/>
        </w:rPr>
        <w:t>0</w:t>
      </w:r>
      <w:r>
        <w:rPr>
          <w:rFonts w:asciiTheme="minorEastAsia" w:hAnsiTheme="minorEastAsia" w:hint="eastAsia"/>
        </w:rPr>
        <w:t>至</w:t>
      </w:r>
      <w:r>
        <w:rPr>
          <w:rFonts w:asciiTheme="minorEastAsia" w:hAnsiTheme="minorEastAsia" w:hint="eastAsia"/>
        </w:rPr>
        <w:t>10</w:t>
      </w:r>
      <w:r>
        <w:rPr>
          <w:rFonts w:asciiTheme="minorEastAsia" w:hAnsiTheme="minorEastAsia" w:hint="eastAsia"/>
        </w:rPr>
        <w:t>万份（含）、</w:t>
      </w:r>
      <w:r>
        <w:rPr>
          <w:rFonts w:asciiTheme="minorEastAsia" w:hAnsiTheme="minorEastAsia" w:hint="eastAsia"/>
        </w:rPr>
        <w:t>10</w:t>
      </w:r>
      <w:r>
        <w:rPr>
          <w:rFonts w:asciiTheme="minorEastAsia" w:hAnsiTheme="minorEastAsia" w:hint="eastAsia"/>
        </w:rPr>
        <w:t>万份至</w:t>
      </w:r>
      <w:r>
        <w:rPr>
          <w:rFonts w:asciiTheme="minorEastAsia" w:hAnsiTheme="minorEastAsia" w:hint="eastAsia"/>
        </w:rPr>
        <w:t>50</w:t>
      </w:r>
      <w:r>
        <w:rPr>
          <w:rFonts w:asciiTheme="minorEastAsia" w:hAnsiTheme="minorEastAsia" w:hint="eastAsia"/>
        </w:rPr>
        <w:t>万份（含）、</w:t>
      </w:r>
      <w:r>
        <w:rPr>
          <w:rFonts w:asciiTheme="minorEastAsia" w:hAnsiTheme="minorEastAsia" w:hint="eastAsia"/>
        </w:rPr>
        <w:t>50</w:t>
      </w:r>
      <w:r>
        <w:rPr>
          <w:rFonts w:asciiTheme="minorEastAsia" w:hAnsiTheme="minorEastAsia" w:hint="eastAsia"/>
        </w:rPr>
        <w:t>万份至</w:t>
      </w:r>
      <w:r>
        <w:rPr>
          <w:rFonts w:asciiTheme="minorEastAsia" w:hAnsiTheme="minorEastAsia" w:hint="eastAsia"/>
        </w:rPr>
        <w:t>100</w:t>
      </w:r>
      <w:r>
        <w:rPr>
          <w:rFonts w:asciiTheme="minorEastAsia" w:hAnsiTheme="minorEastAsia" w:hint="eastAsia"/>
        </w:rPr>
        <w:t>万份（含）、</w:t>
      </w:r>
      <w:r>
        <w:rPr>
          <w:rFonts w:asciiTheme="minorEastAsia" w:hAnsiTheme="minorEastAsia" w:hint="eastAsia"/>
        </w:rPr>
        <w:t>100</w:t>
      </w:r>
      <w:r>
        <w:rPr>
          <w:rFonts w:asciiTheme="minorEastAsia" w:hAnsiTheme="minorEastAsia" w:hint="eastAsia"/>
        </w:rPr>
        <w:t>万份以上。</w:t>
      </w:r>
    </w:p>
    <w:p w:rsidR="004D6C56" w:rsidRDefault="00DF246C">
      <w:pPr>
        <w:snapToGrid w:val="0"/>
        <w:spacing w:line="360" w:lineRule="auto"/>
        <w:rPr>
          <w:rFonts w:asciiTheme="minorEastAsia" w:hAnsiTheme="minorEastAsia"/>
        </w:rPr>
      </w:pPr>
      <w:r>
        <w:rPr>
          <w:rFonts w:asciiTheme="minorEastAsia" w:hAnsiTheme="minorEastAsia" w:hint="eastAsia"/>
        </w:rPr>
        <w:t>（</w:t>
      </w:r>
      <w:r>
        <w:rPr>
          <w:rFonts w:asciiTheme="minorEastAsia" w:hAnsiTheme="minorEastAsia" w:hint="eastAsia"/>
        </w:rPr>
        <w:t>2</w:t>
      </w:r>
      <w:r>
        <w:rPr>
          <w:rFonts w:asciiTheme="minorEastAsia" w:hAnsiTheme="minorEastAsia" w:hint="eastAsia"/>
        </w:rPr>
        <w:t>）按照</w:t>
      </w:r>
      <w:r>
        <w:rPr>
          <w:rFonts w:asciiTheme="minorEastAsia" w:hAnsiTheme="minorEastAsia"/>
        </w:rPr>
        <w:t>有关法律规定，本次基金募集期间所发生的律师费、会计师费、信息披露费等费用由基金管理人承担，不从基金财产中列支。</w:t>
      </w:r>
    </w:p>
    <w:p w:rsidR="004D6C56" w:rsidRDefault="004D6C56">
      <w:pPr>
        <w:snapToGrid w:val="0"/>
        <w:spacing w:line="360" w:lineRule="auto"/>
      </w:pPr>
    </w:p>
    <w:p w:rsidR="004D6C56" w:rsidRDefault="00DF246C">
      <w:pPr>
        <w:widowControl/>
        <w:shd w:val="clear" w:color="auto" w:fill="FFFFFF"/>
        <w:snapToGrid w:val="0"/>
        <w:spacing w:line="288" w:lineRule="auto"/>
        <w:jc w:val="left"/>
        <w:rPr>
          <w:rFonts w:asciiTheme="minorEastAsia" w:hAnsiTheme="minorEastAsia" w:cs="宋体"/>
          <w:b/>
          <w:bCs/>
          <w:color w:val="000000"/>
          <w:kern w:val="0"/>
          <w:sz w:val="27"/>
          <w:szCs w:val="27"/>
          <w:lang w:val="zh-CN"/>
        </w:rPr>
      </w:pPr>
      <w:r>
        <w:rPr>
          <w:rFonts w:asciiTheme="minorEastAsia" w:hAnsiTheme="minorEastAsia" w:cs="宋体" w:hint="eastAsia"/>
          <w:b/>
          <w:bCs/>
          <w:color w:val="000000"/>
          <w:kern w:val="0"/>
          <w:sz w:val="27"/>
          <w:szCs w:val="27"/>
          <w:lang w:val="zh-CN"/>
        </w:rPr>
        <w:t>3</w:t>
      </w:r>
      <w:r>
        <w:rPr>
          <w:rFonts w:asciiTheme="minorEastAsia" w:hAnsiTheme="minorEastAsia" w:cs="宋体" w:hint="eastAsia"/>
          <w:b/>
          <w:bCs/>
          <w:color w:val="000000"/>
          <w:kern w:val="0"/>
          <w:sz w:val="27"/>
          <w:szCs w:val="27"/>
          <w:lang w:val="zh-CN"/>
        </w:rPr>
        <w:t>、发起式基金发起资金持有份额情况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41"/>
        <w:gridCol w:w="1458"/>
        <w:gridCol w:w="1163"/>
        <w:gridCol w:w="1457"/>
        <w:gridCol w:w="1314"/>
        <w:gridCol w:w="1389"/>
      </w:tblGrid>
      <w:tr w:rsidR="004D6C56">
        <w:trPr>
          <w:trHeight w:val="543"/>
          <w:jc w:val="center"/>
        </w:trPr>
        <w:tc>
          <w:tcPr>
            <w:tcW w:w="1021" w:type="pct"/>
            <w:tcMar>
              <w:top w:w="0" w:type="dxa"/>
              <w:left w:w="108" w:type="dxa"/>
              <w:bottom w:w="0" w:type="dxa"/>
              <w:right w:w="108" w:type="dxa"/>
            </w:tcMar>
            <w:vAlign w:val="center"/>
          </w:tcPr>
          <w:p w:rsidR="004D6C56" w:rsidRDefault="00DF246C">
            <w:pPr>
              <w:widowControl/>
              <w:spacing w:line="288" w:lineRule="auto"/>
              <w:jc w:val="center"/>
              <w:rPr>
                <w:rFonts w:asciiTheme="minorEastAsia" w:hAnsiTheme="minorEastAsia" w:cs="Times New Roman"/>
                <w:kern w:val="0"/>
                <w:szCs w:val="21"/>
              </w:rPr>
            </w:pPr>
            <w:r>
              <w:rPr>
                <w:rFonts w:asciiTheme="minorEastAsia" w:hAnsiTheme="minorEastAsia" w:cs="Times New Roman" w:hint="eastAsia"/>
                <w:kern w:val="0"/>
                <w:szCs w:val="21"/>
              </w:rPr>
              <w:t>项目</w:t>
            </w:r>
          </w:p>
        </w:tc>
        <w:tc>
          <w:tcPr>
            <w:tcW w:w="855" w:type="pct"/>
            <w:tcMar>
              <w:top w:w="0" w:type="dxa"/>
              <w:left w:w="108" w:type="dxa"/>
              <w:bottom w:w="0" w:type="dxa"/>
              <w:right w:w="108" w:type="dxa"/>
            </w:tcMar>
            <w:vAlign w:val="center"/>
          </w:tcPr>
          <w:p w:rsidR="004D6C56" w:rsidRDefault="00DF246C">
            <w:pPr>
              <w:widowControl/>
              <w:spacing w:line="288" w:lineRule="auto"/>
              <w:jc w:val="center"/>
              <w:rPr>
                <w:rFonts w:asciiTheme="minorEastAsia" w:hAnsiTheme="minorEastAsia" w:cs="Times New Roman"/>
                <w:kern w:val="0"/>
                <w:szCs w:val="21"/>
              </w:rPr>
            </w:pPr>
            <w:r>
              <w:rPr>
                <w:rFonts w:asciiTheme="minorEastAsia" w:hAnsiTheme="minorEastAsia" w:cs="Times New Roman" w:hint="eastAsia"/>
                <w:kern w:val="0"/>
                <w:szCs w:val="21"/>
              </w:rPr>
              <w:t>持有份额总</w:t>
            </w:r>
            <w:r>
              <w:rPr>
                <w:rFonts w:asciiTheme="minorEastAsia" w:hAnsiTheme="minorEastAsia" w:cs="Times New Roman" w:hint="eastAsia"/>
                <w:kern w:val="0"/>
                <w:szCs w:val="21"/>
              </w:rPr>
              <w:lastRenderedPageBreak/>
              <w:t>数</w:t>
            </w:r>
          </w:p>
        </w:tc>
        <w:tc>
          <w:tcPr>
            <w:tcW w:w="682" w:type="pct"/>
            <w:tcMar>
              <w:top w:w="0" w:type="dxa"/>
              <w:left w:w="108" w:type="dxa"/>
              <w:bottom w:w="0" w:type="dxa"/>
              <w:right w:w="108" w:type="dxa"/>
            </w:tcMar>
            <w:vAlign w:val="center"/>
          </w:tcPr>
          <w:p w:rsidR="004D6C56" w:rsidRDefault="00DF246C">
            <w:pPr>
              <w:widowControl/>
              <w:spacing w:line="288" w:lineRule="auto"/>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持有份额</w:t>
            </w:r>
            <w:r>
              <w:rPr>
                <w:rFonts w:asciiTheme="minorEastAsia" w:hAnsiTheme="minorEastAsia" w:cs="Times New Roman" w:hint="eastAsia"/>
                <w:kern w:val="0"/>
                <w:szCs w:val="21"/>
              </w:rPr>
              <w:lastRenderedPageBreak/>
              <w:t>占基金总份额比例</w:t>
            </w:r>
          </w:p>
        </w:tc>
        <w:tc>
          <w:tcPr>
            <w:tcW w:w="854" w:type="pct"/>
            <w:tcMar>
              <w:top w:w="0" w:type="dxa"/>
              <w:left w:w="108" w:type="dxa"/>
              <w:bottom w:w="0" w:type="dxa"/>
              <w:right w:w="108" w:type="dxa"/>
            </w:tcMar>
            <w:vAlign w:val="center"/>
          </w:tcPr>
          <w:p w:rsidR="004D6C56" w:rsidRDefault="00DF246C">
            <w:pPr>
              <w:widowControl/>
              <w:spacing w:line="288" w:lineRule="auto"/>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发起份额总</w:t>
            </w:r>
            <w:r>
              <w:rPr>
                <w:rFonts w:asciiTheme="minorEastAsia" w:hAnsiTheme="minorEastAsia" w:cs="Times New Roman" w:hint="eastAsia"/>
                <w:kern w:val="0"/>
                <w:szCs w:val="21"/>
              </w:rPr>
              <w:lastRenderedPageBreak/>
              <w:t>数</w:t>
            </w:r>
          </w:p>
        </w:tc>
        <w:tc>
          <w:tcPr>
            <w:tcW w:w="770" w:type="pct"/>
            <w:tcMar>
              <w:top w:w="0" w:type="dxa"/>
              <w:left w:w="108" w:type="dxa"/>
              <w:bottom w:w="0" w:type="dxa"/>
              <w:right w:w="108" w:type="dxa"/>
            </w:tcMar>
            <w:vAlign w:val="center"/>
          </w:tcPr>
          <w:p w:rsidR="004D6C56" w:rsidRDefault="00DF246C">
            <w:pPr>
              <w:widowControl/>
              <w:spacing w:line="288" w:lineRule="auto"/>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发起份额占</w:t>
            </w:r>
            <w:r>
              <w:rPr>
                <w:rFonts w:asciiTheme="minorEastAsia" w:hAnsiTheme="minorEastAsia" w:cs="Times New Roman" w:hint="eastAsia"/>
                <w:kern w:val="0"/>
                <w:szCs w:val="21"/>
              </w:rPr>
              <w:lastRenderedPageBreak/>
              <w:t>基金总份额比例</w:t>
            </w:r>
          </w:p>
        </w:tc>
        <w:tc>
          <w:tcPr>
            <w:tcW w:w="814" w:type="pct"/>
            <w:tcMar>
              <w:top w:w="0" w:type="dxa"/>
              <w:left w:w="108" w:type="dxa"/>
              <w:bottom w:w="0" w:type="dxa"/>
              <w:right w:w="108" w:type="dxa"/>
            </w:tcMar>
            <w:vAlign w:val="center"/>
          </w:tcPr>
          <w:p w:rsidR="004D6C56" w:rsidRDefault="00DF246C">
            <w:pPr>
              <w:widowControl/>
              <w:spacing w:line="288" w:lineRule="auto"/>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发起份额承</w:t>
            </w:r>
            <w:r>
              <w:rPr>
                <w:rFonts w:asciiTheme="minorEastAsia" w:hAnsiTheme="minorEastAsia" w:cs="Times New Roman" w:hint="eastAsia"/>
                <w:kern w:val="0"/>
                <w:szCs w:val="21"/>
              </w:rPr>
              <w:lastRenderedPageBreak/>
              <w:t>诺持有期限</w:t>
            </w:r>
          </w:p>
        </w:tc>
      </w:tr>
      <w:tr w:rsidR="004D6C56">
        <w:trPr>
          <w:jc w:val="center"/>
        </w:trPr>
        <w:tc>
          <w:tcPr>
            <w:tcW w:w="1021" w:type="pct"/>
            <w:tcMar>
              <w:top w:w="0" w:type="dxa"/>
              <w:left w:w="108" w:type="dxa"/>
              <w:bottom w:w="0" w:type="dxa"/>
              <w:right w:w="108" w:type="dxa"/>
            </w:tcMar>
            <w:vAlign w:val="center"/>
          </w:tcPr>
          <w:p w:rsidR="004D6C56" w:rsidRDefault="00DF246C">
            <w:pPr>
              <w:widowControl/>
              <w:spacing w:line="288" w:lineRule="auto"/>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基金管理人固有资金</w:t>
            </w:r>
          </w:p>
        </w:tc>
        <w:tc>
          <w:tcPr>
            <w:tcW w:w="855"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100,006,666.67</w:t>
            </w:r>
          </w:p>
        </w:tc>
        <w:tc>
          <w:tcPr>
            <w:tcW w:w="682"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97.62%</w:t>
            </w:r>
          </w:p>
        </w:tc>
        <w:tc>
          <w:tcPr>
            <w:tcW w:w="854"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100,000,000.00</w:t>
            </w:r>
          </w:p>
        </w:tc>
        <w:tc>
          <w:tcPr>
            <w:tcW w:w="770"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97.61%</w:t>
            </w:r>
          </w:p>
        </w:tc>
        <w:tc>
          <w:tcPr>
            <w:tcW w:w="814" w:type="pct"/>
            <w:tcMar>
              <w:top w:w="0" w:type="dxa"/>
              <w:left w:w="108" w:type="dxa"/>
              <w:bottom w:w="0" w:type="dxa"/>
              <w:right w:w="108" w:type="dxa"/>
            </w:tcMar>
            <w:vAlign w:val="center"/>
          </w:tcPr>
          <w:p w:rsidR="004D6C56" w:rsidRDefault="00DF246C">
            <w:pPr>
              <w:widowControl/>
              <w:spacing w:line="288" w:lineRule="auto"/>
              <w:jc w:val="center"/>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年</w:t>
            </w:r>
          </w:p>
        </w:tc>
      </w:tr>
      <w:tr w:rsidR="004D6C56">
        <w:trPr>
          <w:trHeight w:val="790"/>
          <w:jc w:val="center"/>
        </w:trPr>
        <w:tc>
          <w:tcPr>
            <w:tcW w:w="1021" w:type="pct"/>
            <w:tcMar>
              <w:top w:w="0" w:type="dxa"/>
              <w:left w:w="108" w:type="dxa"/>
              <w:bottom w:w="0" w:type="dxa"/>
              <w:right w:w="108" w:type="dxa"/>
            </w:tcMar>
            <w:vAlign w:val="center"/>
          </w:tcPr>
          <w:p w:rsidR="004D6C56" w:rsidRDefault="00DF246C">
            <w:pPr>
              <w:widowControl/>
              <w:spacing w:line="288" w:lineRule="auto"/>
              <w:jc w:val="center"/>
              <w:rPr>
                <w:rFonts w:asciiTheme="minorEastAsia" w:hAnsiTheme="minorEastAsia" w:cs="Times New Roman"/>
                <w:kern w:val="0"/>
                <w:szCs w:val="21"/>
              </w:rPr>
            </w:pPr>
            <w:r>
              <w:rPr>
                <w:rFonts w:asciiTheme="minorEastAsia" w:hAnsiTheme="minorEastAsia" w:cs="Times New Roman" w:hint="eastAsia"/>
                <w:kern w:val="0"/>
                <w:szCs w:val="21"/>
              </w:rPr>
              <w:t>基金管理人高级管理人员</w:t>
            </w:r>
          </w:p>
        </w:tc>
        <w:tc>
          <w:tcPr>
            <w:tcW w:w="855"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w:t>
            </w:r>
          </w:p>
        </w:tc>
        <w:tc>
          <w:tcPr>
            <w:tcW w:w="682"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w:t>
            </w:r>
          </w:p>
        </w:tc>
        <w:tc>
          <w:tcPr>
            <w:tcW w:w="854"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w:t>
            </w:r>
          </w:p>
        </w:tc>
        <w:tc>
          <w:tcPr>
            <w:tcW w:w="770"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w:t>
            </w:r>
          </w:p>
        </w:tc>
        <w:tc>
          <w:tcPr>
            <w:tcW w:w="814"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w:t>
            </w:r>
          </w:p>
        </w:tc>
      </w:tr>
      <w:tr w:rsidR="004D6C56">
        <w:trPr>
          <w:trHeight w:val="79"/>
          <w:jc w:val="center"/>
        </w:trPr>
        <w:tc>
          <w:tcPr>
            <w:tcW w:w="1021" w:type="pct"/>
            <w:tcMar>
              <w:top w:w="0" w:type="dxa"/>
              <w:left w:w="108" w:type="dxa"/>
              <w:bottom w:w="0" w:type="dxa"/>
              <w:right w:w="108" w:type="dxa"/>
            </w:tcMar>
            <w:vAlign w:val="center"/>
          </w:tcPr>
          <w:p w:rsidR="004D6C56" w:rsidRDefault="00DF246C">
            <w:pPr>
              <w:widowControl/>
              <w:spacing w:line="288" w:lineRule="auto"/>
              <w:jc w:val="center"/>
              <w:rPr>
                <w:rFonts w:asciiTheme="minorEastAsia" w:hAnsiTheme="minorEastAsia" w:cs="Times New Roman"/>
                <w:kern w:val="0"/>
                <w:szCs w:val="21"/>
              </w:rPr>
            </w:pPr>
            <w:r>
              <w:rPr>
                <w:rFonts w:asciiTheme="minorEastAsia" w:hAnsiTheme="minorEastAsia" w:cs="Times New Roman" w:hint="eastAsia"/>
                <w:kern w:val="0"/>
                <w:szCs w:val="21"/>
              </w:rPr>
              <w:t>基金经理等人员</w:t>
            </w:r>
          </w:p>
        </w:tc>
        <w:tc>
          <w:tcPr>
            <w:tcW w:w="855"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w:t>
            </w:r>
          </w:p>
        </w:tc>
        <w:tc>
          <w:tcPr>
            <w:tcW w:w="682"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w:t>
            </w:r>
          </w:p>
        </w:tc>
        <w:tc>
          <w:tcPr>
            <w:tcW w:w="854"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w:t>
            </w:r>
          </w:p>
        </w:tc>
        <w:tc>
          <w:tcPr>
            <w:tcW w:w="770"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w:t>
            </w:r>
          </w:p>
        </w:tc>
        <w:tc>
          <w:tcPr>
            <w:tcW w:w="814"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w:t>
            </w:r>
          </w:p>
        </w:tc>
      </w:tr>
      <w:tr w:rsidR="004D6C56">
        <w:trPr>
          <w:jc w:val="center"/>
        </w:trPr>
        <w:tc>
          <w:tcPr>
            <w:tcW w:w="1021" w:type="pct"/>
            <w:tcMar>
              <w:top w:w="0" w:type="dxa"/>
              <w:left w:w="108" w:type="dxa"/>
              <w:bottom w:w="0" w:type="dxa"/>
              <w:right w:w="108" w:type="dxa"/>
            </w:tcMar>
            <w:vAlign w:val="center"/>
          </w:tcPr>
          <w:p w:rsidR="004D6C56" w:rsidRDefault="00DF246C">
            <w:pPr>
              <w:widowControl/>
              <w:spacing w:line="288" w:lineRule="auto"/>
              <w:jc w:val="center"/>
              <w:rPr>
                <w:rFonts w:asciiTheme="minorEastAsia" w:hAnsiTheme="minorEastAsia" w:cs="Times New Roman"/>
                <w:kern w:val="0"/>
                <w:szCs w:val="21"/>
              </w:rPr>
            </w:pPr>
            <w:r>
              <w:rPr>
                <w:rFonts w:asciiTheme="minorEastAsia" w:hAnsiTheme="minorEastAsia" w:cs="Times New Roman" w:hint="eastAsia"/>
                <w:kern w:val="0"/>
                <w:szCs w:val="21"/>
              </w:rPr>
              <w:t>基金管理人股东</w:t>
            </w:r>
          </w:p>
        </w:tc>
        <w:tc>
          <w:tcPr>
            <w:tcW w:w="855"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w:t>
            </w:r>
          </w:p>
        </w:tc>
        <w:tc>
          <w:tcPr>
            <w:tcW w:w="682"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w:t>
            </w:r>
          </w:p>
        </w:tc>
        <w:tc>
          <w:tcPr>
            <w:tcW w:w="854"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w:t>
            </w:r>
          </w:p>
        </w:tc>
        <w:tc>
          <w:tcPr>
            <w:tcW w:w="770"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w:t>
            </w:r>
          </w:p>
        </w:tc>
        <w:tc>
          <w:tcPr>
            <w:tcW w:w="814"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w:t>
            </w:r>
          </w:p>
        </w:tc>
      </w:tr>
      <w:tr w:rsidR="004D6C56">
        <w:trPr>
          <w:jc w:val="center"/>
        </w:trPr>
        <w:tc>
          <w:tcPr>
            <w:tcW w:w="1021" w:type="pct"/>
            <w:tcMar>
              <w:top w:w="0" w:type="dxa"/>
              <w:left w:w="108" w:type="dxa"/>
              <w:bottom w:w="0" w:type="dxa"/>
              <w:right w:w="108" w:type="dxa"/>
            </w:tcMar>
            <w:vAlign w:val="center"/>
          </w:tcPr>
          <w:p w:rsidR="004D6C56" w:rsidRDefault="00DF246C">
            <w:pPr>
              <w:widowControl/>
              <w:spacing w:line="288" w:lineRule="auto"/>
              <w:jc w:val="center"/>
              <w:rPr>
                <w:rFonts w:asciiTheme="minorEastAsia" w:hAnsiTheme="minorEastAsia" w:cs="Times New Roman"/>
                <w:kern w:val="0"/>
                <w:szCs w:val="21"/>
              </w:rPr>
            </w:pPr>
            <w:r>
              <w:rPr>
                <w:rFonts w:asciiTheme="minorEastAsia" w:hAnsiTheme="minorEastAsia" w:cs="Times New Roman" w:hint="eastAsia"/>
                <w:kern w:val="0"/>
                <w:szCs w:val="21"/>
              </w:rPr>
              <w:t>其他</w:t>
            </w:r>
          </w:p>
        </w:tc>
        <w:tc>
          <w:tcPr>
            <w:tcW w:w="855"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w:t>
            </w:r>
          </w:p>
        </w:tc>
        <w:tc>
          <w:tcPr>
            <w:tcW w:w="682"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w:t>
            </w:r>
          </w:p>
        </w:tc>
        <w:tc>
          <w:tcPr>
            <w:tcW w:w="854"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w:t>
            </w:r>
          </w:p>
        </w:tc>
        <w:tc>
          <w:tcPr>
            <w:tcW w:w="770"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w:t>
            </w:r>
          </w:p>
        </w:tc>
        <w:tc>
          <w:tcPr>
            <w:tcW w:w="814"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w:t>
            </w:r>
          </w:p>
        </w:tc>
      </w:tr>
      <w:tr w:rsidR="004D6C56">
        <w:trPr>
          <w:jc w:val="center"/>
        </w:trPr>
        <w:tc>
          <w:tcPr>
            <w:tcW w:w="1021" w:type="pct"/>
            <w:tcMar>
              <w:top w:w="0" w:type="dxa"/>
              <w:left w:w="108" w:type="dxa"/>
              <w:bottom w:w="0" w:type="dxa"/>
              <w:right w:w="108" w:type="dxa"/>
            </w:tcMar>
            <w:vAlign w:val="center"/>
          </w:tcPr>
          <w:p w:rsidR="004D6C56" w:rsidRDefault="00DF246C">
            <w:pPr>
              <w:widowControl/>
              <w:spacing w:line="288" w:lineRule="auto"/>
              <w:jc w:val="center"/>
              <w:rPr>
                <w:rFonts w:asciiTheme="minorEastAsia" w:hAnsiTheme="minorEastAsia" w:cs="Times New Roman"/>
                <w:kern w:val="0"/>
                <w:szCs w:val="21"/>
              </w:rPr>
            </w:pPr>
            <w:r>
              <w:rPr>
                <w:rFonts w:asciiTheme="minorEastAsia" w:hAnsiTheme="minorEastAsia" w:cs="Times New Roman" w:hint="eastAsia"/>
                <w:kern w:val="0"/>
                <w:szCs w:val="21"/>
              </w:rPr>
              <w:t>合计</w:t>
            </w:r>
          </w:p>
        </w:tc>
        <w:tc>
          <w:tcPr>
            <w:tcW w:w="855"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100,006,666.67</w:t>
            </w:r>
          </w:p>
        </w:tc>
        <w:tc>
          <w:tcPr>
            <w:tcW w:w="682"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97.62%</w:t>
            </w:r>
          </w:p>
        </w:tc>
        <w:tc>
          <w:tcPr>
            <w:tcW w:w="854"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100,000,000.00</w:t>
            </w:r>
          </w:p>
        </w:tc>
        <w:tc>
          <w:tcPr>
            <w:tcW w:w="770" w:type="pct"/>
            <w:tcMar>
              <w:top w:w="0" w:type="dxa"/>
              <w:left w:w="108" w:type="dxa"/>
              <w:bottom w:w="0" w:type="dxa"/>
              <w:right w:w="108" w:type="dxa"/>
            </w:tcMar>
            <w:vAlign w:val="center"/>
          </w:tcPr>
          <w:p w:rsidR="004D6C56" w:rsidRDefault="00DF246C">
            <w:pPr>
              <w:widowControl/>
              <w:jc w:val="center"/>
              <w:rPr>
                <w:rFonts w:ascii="宋体" w:eastAsia="宋体" w:hAnsi="宋体" w:cs="宋体"/>
                <w:kern w:val="0"/>
                <w:szCs w:val="21"/>
              </w:rPr>
            </w:pPr>
            <w:r>
              <w:rPr>
                <w:rFonts w:ascii="宋体" w:eastAsia="宋体" w:hAnsi="宋体" w:cs="宋体" w:hint="eastAsia"/>
                <w:kern w:val="0"/>
                <w:szCs w:val="21"/>
              </w:rPr>
              <w:t>97.61%</w:t>
            </w:r>
          </w:p>
        </w:tc>
        <w:tc>
          <w:tcPr>
            <w:tcW w:w="814" w:type="pct"/>
            <w:tcMar>
              <w:top w:w="0" w:type="dxa"/>
              <w:left w:w="108" w:type="dxa"/>
              <w:bottom w:w="0" w:type="dxa"/>
              <w:right w:w="108" w:type="dxa"/>
            </w:tcMar>
            <w:vAlign w:val="center"/>
          </w:tcPr>
          <w:p w:rsidR="004D6C56" w:rsidRDefault="00DF246C">
            <w:pPr>
              <w:widowControl/>
              <w:spacing w:line="288" w:lineRule="auto"/>
              <w:jc w:val="center"/>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年</w:t>
            </w:r>
          </w:p>
        </w:tc>
      </w:tr>
    </w:tbl>
    <w:p w:rsidR="004D6C56" w:rsidRDefault="00DF246C">
      <w:pPr>
        <w:snapToGrid w:val="0"/>
        <w:spacing w:line="360" w:lineRule="auto"/>
      </w:pPr>
      <w:r>
        <w:rPr>
          <w:rFonts w:hint="eastAsia"/>
        </w:rPr>
        <w:t>注：持有份额总数部分包含利息结转的份额。</w:t>
      </w:r>
    </w:p>
    <w:p w:rsidR="004D6C56" w:rsidRDefault="004D6C56">
      <w:pPr>
        <w:snapToGrid w:val="0"/>
        <w:spacing w:line="360" w:lineRule="auto"/>
      </w:pPr>
    </w:p>
    <w:p w:rsidR="004D6C56" w:rsidRDefault="00DF246C">
      <w:pPr>
        <w:widowControl/>
        <w:shd w:val="clear" w:color="auto" w:fill="FFFFFF"/>
        <w:snapToGrid w:val="0"/>
        <w:spacing w:line="288" w:lineRule="auto"/>
        <w:jc w:val="left"/>
        <w:rPr>
          <w:rFonts w:asciiTheme="minorEastAsia" w:hAnsiTheme="minorEastAsia" w:cs="宋体"/>
          <w:b/>
          <w:bCs/>
          <w:color w:val="000000"/>
          <w:kern w:val="0"/>
          <w:sz w:val="27"/>
          <w:szCs w:val="27"/>
          <w:lang w:val="zh-CN"/>
        </w:rPr>
      </w:pPr>
      <w:r>
        <w:rPr>
          <w:rFonts w:asciiTheme="minorEastAsia" w:hAnsiTheme="minorEastAsia" w:cs="宋体"/>
          <w:b/>
          <w:bCs/>
          <w:color w:val="000000"/>
          <w:kern w:val="0"/>
          <w:sz w:val="27"/>
          <w:szCs w:val="27"/>
          <w:lang w:val="zh-CN"/>
        </w:rPr>
        <w:t>4</w:t>
      </w:r>
      <w:r>
        <w:rPr>
          <w:rFonts w:asciiTheme="minorEastAsia" w:hAnsiTheme="minorEastAsia" w:cs="宋体" w:hint="eastAsia"/>
          <w:b/>
          <w:bCs/>
          <w:color w:val="000000"/>
          <w:kern w:val="0"/>
          <w:sz w:val="27"/>
          <w:szCs w:val="27"/>
          <w:lang w:val="zh-CN"/>
        </w:rPr>
        <w:t>、其他需要提示的事项</w:t>
      </w:r>
    </w:p>
    <w:p w:rsidR="004D6C56" w:rsidRDefault="00DF246C">
      <w:pPr>
        <w:widowControl/>
        <w:snapToGrid w:val="0"/>
        <w:spacing w:line="360" w:lineRule="auto"/>
        <w:ind w:firstLineChars="200" w:firstLine="420"/>
        <w:rPr>
          <w:bCs/>
          <w:szCs w:val="21"/>
        </w:rPr>
      </w:pPr>
      <w:bookmarkStart w:id="7" w:name="t_1_3_2646_a1_fm1"/>
      <w:bookmarkEnd w:id="7"/>
      <w:r>
        <w:rPr>
          <w:rFonts w:hint="eastAsia"/>
          <w:bCs/>
          <w:szCs w:val="21"/>
        </w:rPr>
        <w:t>自基金合同生效之日起，本基金管理人正式开始管理本基金。</w:t>
      </w:r>
    </w:p>
    <w:p w:rsidR="004D6C56" w:rsidRDefault="00DF246C">
      <w:pPr>
        <w:widowControl/>
        <w:snapToGrid w:val="0"/>
        <w:spacing w:line="360" w:lineRule="auto"/>
        <w:ind w:firstLineChars="200" w:firstLine="420"/>
        <w:rPr>
          <w:bCs/>
          <w:szCs w:val="21"/>
        </w:rPr>
      </w:pPr>
      <w:r>
        <w:rPr>
          <w:rFonts w:hint="eastAsia"/>
          <w:bCs/>
          <w:szCs w:val="21"/>
        </w:rPr>
        <w:t>基金管理人可根据实际情况依法决定本基金开始办理申购的具体日期。基金管理人自基金合同生效之日起不超过三个月开始办理赎回。</w:t>
      </w:r>
    </w:p>
    <w:p w:rsidR="004D6C56" w:rsidRDefault="00DF246C">
      <w:pPr>
        <w:widowControl/>
        <w:snapToGrid w:val="0"/>
        <w:spacing w:line="360" w:lineRule="auto"/>
        <w:ind w:firstLineChars="200" w:firstLine="420"/>
        <w:rPr>
          <w:bCs/>
          <w:szCs w:val="21"/>
        </w:rPr>
      </w:pPr>
      <w:r>
        <w:rPr>
          <w:rFonts w:hint="eastAsia"/>
          <w:bCs/>
          <w:szCs w:val="21"/>
        </w:rPr>
        <w:t>在确定申购开始与赎回开始时间后，基金管理人应在申购、赎回开放前依照《公开募集证券投资基金信息披露管理办法》的有关规定在规定媒介上进行公告。</w:t>
      </w:r>
    </w:p>
    <w:p w:rsidR="004D6C56" w:rsidRDefault="00DF246C">
      <w:pPr>
        <w:widowControl/>
        <w:snapToGrid w:val="0"/>
        <w:spacing w:line="360" w:lineRule="auto"/>
        <w:ind w:firstLineChars="200" w:firstLine="420"/>
      </w:pPr>
      <w:r>
        <w:rPr>
          <w:rFonts w:hint="eastAsia"/>
        </w:rPr>
        <w:t>基金管理人依照恪尽职守、诚实信用、谨慎勤勉的原则管理和运用基金财产，但不保证基金一定盈利，也不保证最低收益。</w:t>
      </w:r>
    </w:p>
    <w:p w:rsidR="004D6C56" w:rsidRDefault="00DF246C">
      <w:pPr>
        <w:widowControl/>
        <w:snapToGrid w:val="0"/>
        <w:spacing w:line="360" w:lineRule="auto"/>
        <w:ind w:firstLineChars="200" w:firstLine="420"/>
      </w:pPr>
      <w:r>
        <w:rPr>
          <w:rFonts w:hint="eastAsia"/>
        </w:rPr>
        <w:t>投资有风险，投资者在投资本基金之前，请仔细阅读本基金的招募说明书</w:t>
      </w:r>
      <w:r>
        <w:rPr>
          <w:rFonts w:hint="eastAsia"/>
        </w:rPr>
        <w:t>和基金合同，全面认识本基金的风险收益特征和产品特性，并充分考虑自身的风险承受能力，理性判断市场，谨慎做出投资决策，并承担基金投资中出现的各类风险。</w:t>
      </w:r>
    </w:p>
    <w:p w:rsidR="004D6C56" w:rsidRDefault="00DF246C">
      <w:pPr>
        <w:widowControl/>
        <w:snapToGrid w:val="0"/>
        <w:spacing w:line="360" w:lineRule="auto"/>
        <w:ind w:firstLineChars="200" w:firstLine="420"/>
      </w:pPr>
      <w:r>
        <w:rPr>
          <w:rFonts w:hint="eastAsia"/>
        </w:rPr>
        <w:t>投资者可访问本公司网站（</w:t>
      </w:r>
      <w:r>
        <w:t>https://www.htscamc.com</w:t>
      </w:r>
      <w:r>
        <w:rPr>
          <w:rFonts w:hint="eastAsia"/>
        </w:rPr>
        <w:t>）或拨打全国免长途话费的客户服务电话</w:t>
      </w:r>
      <w:r>
        <w:rPr>
          <w:rFonts w:hint="eastAsia"/>
        </w:rPr>
        <w:t>(4008895597/95597)</w:t>
      </w:r>
      <w:r>
        <w:rPr>
          <w:rFonts w:hint="eastAsia"/>
        </w:rPr>
        <w:t>咨询相关情况。</w:t>
      </w:r>
    </w:p>
    <w:p w:rsidR="004D6C56" w:rsidRDefault="004D6C56">
      <w:pPr>
        <w:widowControl/>
        <w:snapToGrid w:val="0"/>
        <w:spacing w:line="360" w:lineRule="auto"/>
        <w:ind w:firstLineChars="200" w:firstLine="420"/>
        <w:jc w:val="left"/>
      </w:pPr>
    </w:p>
    <w:p w:rsidR="004D6C56" w:rsidRDefault="00DF246C">
      <w:pPr>
        <w:snapToGrid w:val="0"/>
        <w:spacing w:line="360" w:lineRule="auto"/>
        <w:jc w:val="right"/>
        <w:rPr>
          <w:rFonts w:ascii="宋体" w:eastAsia="宋体" w:hAnsi="宋体"/>
        </w:rPr>
      </w:pPr>
      <w:r>
        <w:rPr>
          <w:rFonts w:ascii="宋体" w:eastAsia="宋体" w:hAnsi="宋体"/>
        </w:rPr>
        <w:t>华泰证券</w:t>
      </w:r>
      <w:r>
        <w:rPr>
          <w:rFonts w:ascii="宋体" w:eastAsia="宋体" w:hAnsi="宋体" w:hint="eastAsia"/>
        </w:rPr>
        <w:t>（上海）资产管理有限公司</w:t>
      </w:r>
    </w:p>
    <w:p w:rsidR="004D6C56" w:rsidRDefault="00DF246C">
      <w:pPr>
        <w:snapToGrid w:val="0"/>
        <w:spacing w:line="360" w:lineRule="auto"/>
        <w:jc w:val="right"/>
        <w:rPr>
          <w:rFonts w:ascii="宋体" w:eastAsia="宋体" w:hAnsi="宋体"/>
        </w:rPr>
      </w:pPr>
      <w:r>
        <w:rPr>
          <w:rFonts w:ascii="宋体" w:eastAsia="宋体" w:hAnsi="宋体"/>
        </w:rPr>
        <w:t>202</w:t>
      </w:r>
      <w:r>
        <w:rPr>
          <w:rFonts w:ascii="宋体" w:eastAsia="宋体" w:hAnsi="宋体" w:hint="eastAsia"/>
        </w:rPr>
        <w:t>6</w:t>
      </w:r>
      <w:r>
        <w:rPr>
          <w:rFonts w:ascii="宋体" w:eastAsia="宋体" w:hAnsi="宋体" w:hint="eastAsia"/>
        </w:rPr>
        <w:t>年</w:t>
      </w:r>
      <w:r>
        <w:rPr>
          <w:rFonts w:ascii="宋体" w:eastAsia="宋体" w:hAnsi="宋体" w:hint="eastAsia"/>
        </w:rPr>
        <w:t>2</w:t>
      </w:r>
      <w:r>
        <w:rPr>
          <w:rFonts w:ascii="宋体" w:eastAsia="宋体" w:hAnsi="宋体" w:hint="eastAsia"/>
        </w:rPr>
        <w:t>月</w:t>
      </w:r>
      <w:r>
        <w:rPr>
          <w:rFonts w:ascii="宋体" w:eastAsia="宋体" w:hAnsi="宋体" w:hint="eastAsia"/>
        </w:rPr>
        <w:t>5</w:t>
      </w:r>
      <w:r>
        <w:rPr>
          <w:rFonts w:ascii="宋体" w:eastAsia="宋体" w:hAnsi="宋体" w:hint="eastAsia"/>
        </w:rPr>
        <w:t>日</w:t>
      </w:r>
    </w:p>
    <w:sectPr w:rsidR="004D6C56" w:rsidSect="004D6C5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5301B"/>
    <w:rsid w:val="0000109D"/>
    <w:rsid w:val="00015763"/>
    <w:rsid w:val="000167D2"/>
    <w:rsid w:val="000449E0"/>
    <w:rsid w:val="000516C1"/>
    <w:rsid w:val="0005393A"/>
    <w:rsid w:val="0005487A"/>
    <w:rsid w:val="00060144"/>
    <w:rsid w:val="000713B8"/>
    <w:rsid w:val="00071AB6"/>
    <w:rsid w:val="00076A87"/>
    <w:rsid w:val="00096B52"/>
    <w:rsid w:val="000974A4"/>
    <w:rsid w:val="000A2973"/>
    <w:rsid w:val="000B445B"/>
    <w:rsid w:val="000B4FE2"/>
    <w:rsid w:val="000C5217"/>
    <w:rsid w:val="000C70F5"/>
    <w:rsid w:val="000D7469"/>
    <w:rsid w:val="000F50A0"/>
    <w:rsid w:val="0010159B"/>
    <w:rsid w:val="00121FFF"/>
    <w:rsid w:val="00125209"/>
    <w:rsid w:val="00125A29"/>
    <w:rsid w:val="001275B5"/>
    <w:rsid w:val="00134648"/>
    <w:rsid w:val="00156C62"/>
    <w:rsid w:val="00157583"/>
    <w:rsid w:val="00163ACB"/>
    <w:rsid w:val="001748F0"/>
    <w:rsid w:val="001755B0"/>
    <w:rsid w:val="0017571B"/>
    <w:rsid w:val="001759D2"/>
    <w:rsid w:val="00184862"/>
    <w:rsid w:val="00186390"/>
    <w:rsid w:val="001918A5"/>
    <w:rsid w:val="001B0768"/>
    <w:rsid w:val="001C7A4F"/>
    <w:rsid w:val="001D3A9A"/>
    <w:rsid w:val="001E07F7"/>
    <w:rsid w:val="001E3276"/>
    <w:rsid w:val="001E58D6"/>
    <w:rsid w:val="001F6719"/>
    <w:rsid w:val="00200CA1"/>
    <w:rsid w:val="00207663"/>
    <w:rsid w:val="00216D1C"/>
    <w:rsid w:val="00221B59"/>
    <w:rsid w:val="00224EFD"/>
    <w:rsid w:val="00225394"/>
    <w:rsid w:val="00227C2C"/>
    <w:rsid w:val="00230BF2"/>
    <w:rsid w:val="00230CCF"/>
    <w:rsid w:val="00260E79"/>
    <w:rsid w:val="00266A99"/>
    <w:rsid w:val="002672DC"/>
    <w:rsid w:val="00272421"/>
    <w:rsid w:val="0028327D"/>
    <w:rsid w:val="00283336"/>
    <w:rsid w:val="00285374"/>
    <w:rsid w:val="0029538B"/>
    <w:rsid w:val="002C0AE3"/>
    <w:rsid w:val="002C37CA"/>
    <w:rsid w:val="002D6707"/>
    <w:rsid w:val="002E46EF"/>
    <w:rsid w:val="002F19F2"/>
    <w:rsid w:val="0030273A"/>
    <w:rsid w:val="00315AE8"/>
    <w:rsid w:val="00324A0D"/>
    <w:rsid w:val="003251D0"/>
    <w:rsid w:val="00340204"/>
    <w:rsid w:val="00351C1C"/>
    <w:rsid w:val="00351D28"/>
    <w:rsid w:val="00352567"/>
    <w:rsid w:val="00354400"/>
    <w:rsid w:val="0035622F"/>
    <w:rsid w:val="003563A8"/>
    <w:rsid w:val="00364BBF"/>
    <w:rsid w:val="00365433"/>
    <w:rsid w:val="00393D98"/>
    <w:rsid w:val="003A2AC3"/>
    <w:rsid w:val="003B03A9"/>
    <w:rsid w:val="003C166E"/>
    <w:rsid w:val="003C28F4"/>
    <w:rsid w:val="003C7981"/>
    <w:rsid w:val="003D00AC"/>
    <w:rsid w:val="003D2D69"/>
    <w:rsid w:val="003D4FB8"/>
    <w:rsid w:val="003E1F9B"/>
    <w:rsid w:val="003F19B9"/>
    <w:rsid w:val="003F5A98"/>
    <w:rsid w:val="003F7326"/>
    <w:rsid w:val="004005F4"/>
    <w:rsid w:val="004228EE"/>
    <w:rsid w:val="00422912"/>
    <w:rsid w:val="00423EF0"/>
    <w:rsid w:val="00423FCB"/>
    <w:rsid w:val="00425728"/>
    <w:rsid w:val="00442228"/>
    <w:rsid w:val="00443950"/>
    <w:rsid w:val="00444290"/>
    <w:rsid w:val="00446467"/>
    <w:rsid w:val="0045556D"/>
    <w:rsid w:val="00467696"/>
    <w:rsid w:val="00471A72"/>
    <w:rsid w:val="00473F45"/>
    <w:rsid w:val="00486068"/>
    <w:rsid w:val="00487F47"/>
    <w:rsid w:val="00495431"/>
    <w:rsid w:val="004967E1"/>
    <w:rsid w:val="004C33EE"/>
    <w:rsid w:val="004C65B0"/>
    <w:rsid w:val="004D20AB"/>
    <w:rsid w:val="004D6C56"/>
    <w:rsid w:val="004E0BDA"/>
    <w:rsid w:val="004E129C"/>
    <w:rsid w:val="004E2B58"/>
    <w:rsid w:val="004E322B"/>
    <w:rsid w:val="004E4209"/>
    <w:rsid w:val="004F267A"/>
    <w:rsid w:val="004F6E3C"/>
    <w:rsid w:val="00501321"/>
    <w:rsid w:val="005032B6"/>
    <w:rsid w:val="00506682"/>
    <w:rsid w:val="00510A85"/>
    <w:rsid w:val="00516C10"/>
    <w:rsid w:val="00521697"/>
    <w:rsid w:val="00523EA3"/>
    <w:rsid w:val="005275BB"/>
    <w:rsid w:val="00531EC3"/>
    <w:rsid w:val="0053203D"/>
    <w:rsid w:val="00535FE4"/>
    <w:rsid w:val="00537EB1"/>
    <w:rsid w:val="00540065"/>
    <w:rsid w:val="00565317"/>
    <w:rsid w:val="00565DA5"/>
    <w:rsid w:val="00571E77"/>
    <w:rsid w:val="005740CC"/>
    <w:rsid w:val="005746B4"/>
    <w:rsid w:val="005A0C7F"/>
    <w:rsid w:val="005A1FB5"/>
    <w:rsid w:val="005B019A"/>
    <w:rsid w:val="005C0E36"/>
    <w:rsid w:val="005C2A6A"/>
    <w:rsid w:val="005E4608"/>
    <w:rsid w:val="005F0A6A"/>
    <w:rsid w:val="005F3B33"/>
    <w:rsid w:val="005F4F4D"/>
    <w:rsid w:val="006266EC"/>
    <w:rsid w:val="00640D4F"/>
    <w:rsid w:val="006444BD"/>
    <w:rsid w:val="00654B56"/>
    <w:rsid w:val="00665173"/>
    <w:rsid w:val="00667FAE"/>
    <w:rsid w:val="006711C8"/>
    <w:rsid w:val="006732AB"/>
    <w:rsid w:val="0067331B"/>
    <w:rsid w:val="00675DA7"/>
    <w:rsid w:val="00683C73"/>
    <w:rsid w:val="00687474"/>
    <w:rsid w:val="00691E85"/>
    <w:rsid w:val="00693165"/>
    <w:rsid w:val="00695357"/>
    <w:rsid w:val="006A5CEB"/>
    <w:rsid w:val="006B2CB6"/>
    <w:rsid w:val="006C66DE"/>
    <w:rsid w:val="006D6F55"/>
    <w:rsid w:val="006E4004"/>
    <w:rsid w:val="006F10D3"/>
    <w:rsid w:val="006F5433"/>
    <w:rsid w:val="00704213"/>
    <w:rsid w:val="0071113A"/>
    <w:rsid w:val="00715F15"/>
    <w:rsid w:val="00730942"/>
    <w:rsid w:val="0073135F"/>
    <w:rsid w:val="00743F24"/>
    <w:rsid w:val="0075159C"/>
    <w:rsid w:val="0075390C"/>
    <w:rsid w:val="00760CA0"/>
    <w:rsid w:val="007863E4"/>
    <w:rsid w:val="007871DC"/>
    <w:rsid w:val="00796E07"/>
    <w:rsid w:val="007A1A8E"/>
    <w:rsid w:val="007A3DC7"/>
    <w:rsid w:val="007B46A7"/>
    <w:rsid w:val="007C6583"/>
    <w:rsid w:val="007D0ABB"/>
    <w:rsid w:val="007D3A9A"/>
    <w:rsid w:val="007D4245"/>
    <w:rsid w:val="007D650B"/>
    <w:rsid w:val="007E2A23"/>
    <w:rsid w:val="007F2504"/>
    <w:rsid w:val="007F7D8C"/>
    <w:rsid w:val="008102E3"/>
    <w:rsid w:val="00816EED"/>
    <w:rsid w:val="00822FE6"/>
    <w:rsid w:val="00825BF7"/>
    <w:rsid w:val="008278FB"/>
    <w:rsid w:val="008422F8"/>
    <w:rsid w:val="00842840"/>
    <w:rsid w:val="00843D41"/>
    <w:rsid w:val="008500C7"/>
    <w:rsid w:val="00852A4D"/>
    <w:rsid w:val="0085301B"/>
    <w:rsid w:val="00870393"/>
    <w:rsid w:val="00871D8C"/>
    <w:rsid w:val="00872BFA"/>
    <w:rsid w:val="00874D0C"/>
    <w:rsid w:val="00876DBC"/>
    <w:rsid w:val="0088052F"/>
    <w:rsid w:val="00892F63"/>
    <w:rsid w:val="008A1F0C"/>
    <w:rsid w:val="008A44D6"/>
    <w:rsid w:val="008B5CAA"/>
    <w:rsid w:val="008C317C"/>
    <w:rsid w:val="008C3F2E"/>
    <w:rsid w:val="008D2182"/>
    <w:rsid w:val="008D26BF"/>
    <w:rsid w:val="008E0F68"/>
    <w:rsid w:val="008E4F35"/>
    <w:rsid w:val="008F020D"/>
    <w:rsid w:val="00903421"/>
    <w:rsid w:val="00907C7F"/>
    <w:rsid w:val="00913A34"/>
    <w:rsid w:val="009167A3"/>
    <w:rsid w:val="00925651"/>
    <w:rsid w:val="0092713A"/>
    <w:rsid w:val="00942B68"/>
    <w:rsid w:val="009459C7"/>
    <w:rsid w:val="00947078"/>
    <w:rsid w:val="00951F7C"/>
    <w:rsid w:val="00952223"/>
    <w:rsid w:val="00953C71"/>
    <w:rsid w:val="00961972"/>
    <w:rsid w:val="009721CE"/>
    <w:rsid w:val="00976A77"/>
    <w:rsid w:val="009A0074"/>
    <w:rsid w:val="009B190A"/>
    <w:rsid w:val="009C04BD"/>
    <w:rsid w:val="009C5F93"/>
    <w:rsid w:val="009C65E3"/>
    <w:rsid w:val="009C7C3E"/>
    <w:rsid w:val="009E0940"/>
    <w:rsid w:val="009E3DE7"/>
    <w:rsid w:val="009E487E"/>
    <w:rsid w:val="009F01DE"/>
    <w:rsid w:val="009F5854"/>
    <w:rsid w:val="00A05E46"/>
    <w:rsid w:val="00A13112"/>
    <w:rsid w:val="00A179EA"/>
    <w:rsid w:val="00A255F2"/>
    <w:rsid w:val="00A3070F"/>
    <w:rsid w:val="00A42AD2"/>
    <w:rsid w:val="00A44EFC"/>
    <w:rsid w:val="00A4581F"/>
    <w:rsid w:val="00A52336"/>
    <w:rsid w:val="00A545B2"/>
    <w:rsid w:val="00A567EA"/>
    <w:rsid w:val="00A5690B"/>
    <w:rsid w:val="00A660D6"/>
    <w:rsid w:val="00A70183"/>
    <w:rsid w:val="00A773DE"/>
    <w:rsid w:val="00A8178B"/>
    <w:rsid w:val="00A87468"/>
    <w:rsid w:val="00A95EEB"/>
    <w:rsid w:val="00AA39C1"/>
    <w:rsid w:val="00AB19C0"/>
    <w:rsid w:val="00AB4593"/>
    <w:rsid w:val="00AC0F53"/>
    <w:rsid w:val="00AD6608"/>
    <w:rsid w:val="00AD71AA"/>
    <w:rsid w:val="00AE1199"/>
    <w:rsid w:val="00AF6E8D"/>
    <w:rsid w:val="00B01D78"/>
    <w:rsid w:val="00B05360"/>
    <w:rsid w:val="00B06135"/>
    <w:rsid w:val="00B13FF6"/>
    <w:rsid w:val="00B14AEA"/>
    <w:rsid w:val="00B1764A"/>
    <w:rsid w:val="00B24246"/>
    <w:rsid w:val="00B32354"/>
    <w:rsid w:val="00B4180B"/>
    <w:rsid w:val="00B4290B"/>
    <w:rsid w:val="00B53171"/>
    <w:rsid w:val="00B63AE8"/>
    <w:rsid w:val="00B749DB"/>
    <w:rsid w:val="00B775F4"/>
    <w:rsid w:val="00B8203B"/>
    <w:rsid w:val="00B93D70"/>
    <w:rsid w:val="00BA2669"/>
    <w:rsid w:val="00BA62A0"/>
    <w:rsid w:val="00BB142A"/>
    <w:rsid w:val="00BB4B28"/>
    <w:rsid w:val="00BB59E4"/>
    <w:rsid w:val="00BC02F1"/>
    <w:rsid w:val="00BC7062"/>
    <w:rsid w:val="00BD0324"/>
    <w:rsid w:val="00BD42CD"/>
    <w:rsid w:val="00BE17EA"/>
    <w:rsid w:val="00BE7C24"/>
    <w:rsid w:val="00BF183A"/>
    <w:rsid w:val="00BF753C"/>
    <w:rsid w:val="00C10ECF"/>
    <w:rsid w:val="00C23CDC"/>
    <w:rsid w:val="00C2530F"/>
    <w:rsid w:val="00C26979"/>
    <w:rsid w:val="00C314D2"/>
    <w:rsid w:val="00C33253"/>
    <w:rsid w:val="00C53717"/>
    <w:rsid w:val="00C80E6B"/>
    <w:rsid w:val="00C81980"/>
    <w:rsid w:val="00C81CE0"/>
    <w:rsid w:val="00C84AF5"/>
    <w:rsid w:val="00C95787"/>
    <w:rsid w:val="00CB019F"/>
    <w:rsid w:val="00CC4658"/>
    <w:rsid w:val="00CD2F8F"/>
    <w:rsid w:val="00CD49BC"/>
    <w:rsid w:val="00CF10B1"/>
    <w:rsid w:val="00CF220E"/>
    <w:rsid w:val="00CF26BF"/>
    <w:rsid w:val="00D03680"/>
    <w:rsid w:val="00D13D9D"/>
    <w:rsid w:val="00D17FCF"/>
    <w:rsid w:val="00D21D05"/>
    <w:rsid w:val="00D2650E"/>
    <w:rsid w:val="00D3295B"/>
    <w:rsid w:val="00D41365"/>
    <w:rsid w:val="00D417B4"/>
    <w:rsid w:val="00D42315"/>
    <w:rsid w:val="00D43ACB"/>
    <w:rsid w:val="00D46422"/>
    <w:rsid w:val="00D51425"/>
    <w:rsid w:val="00D5200A"/>
    <w:rsid w:val="00D5480C"/>
    <w:rsid w:val="00D5697D"/>
    <w:rsid w:val="00D57669"/>
    <w:rsid w:val="00D62918"/>
    <w:rsid w:val="00D65DA2"/>
    <w:rsid w:val="00D711C6"/>
    <w:rsid w:val="00D749B2"/>
    <w:rsid w:val="00D74CE6"/>
    <w:rsid w:val="00D74E4A"/>
    <w:rsid w:val="00D770DE"/>
    <w:rsid w:val="00D77B23"/>
    <w:rsid w:val="00D938F5"/>
    <w:rsid w:val="00D93B3D"/>
    <w:rsid w:val="00D93E54"/>
    <w:rsid w:val="00D94394"/>
    <w:rsid w:val="00D94618"/>
    <w:rsid w:val="00D96CC8"/>
    <w:rsid w:val="00DA4627"/>
    <w:rsid w:val="00DB34B3"/>
    <w:rsid w:val="00DB42E4"/>
    <w:rsid w:val="00DC2C80"/>
    <w:rsid w:val="00DC6E8E"/>
    <w:rsid w:val="00DD68C2"/>
    <w:rsid w:val="00DD6C9C"/>
    <w:rsid w:val="00DE295C"/>
    <w:rsid w:val="00DE414F"/>
    <w:rsid w:val="00DE587A"/>
    <w:rsid w:val="00DF246C"/>
    <w:rsid w:val="00DF5ADE"/>
    <w:rsid w:val="00DF7017"/>
    <w:rsid w:val="00E1109F"/>
    <w:rsid w:val="00E11373"/>
    <w:rsid w:val="00E12BAA"/>
    <w:rsid w:val="00E22248"/>
    <w:rsid w:val="00E32D6F"/>
    <w:rsid w:val="00E40486"/>
    <w:rsid w:val="00E50876"/>
    <w:rsid w:val="00E52029"/>
    <w:rsid w:val="00E524D4"/>
    <w:rsid w:val="00E53CE9"/>
    <w:rsid w:val="00E6511D"/>
    <w:rsid w:val="00E65CAA"/>
    <w:rsid w:val="00E7100A"/>
    <w:rsid w:val="00E8633B"/>
    <w:rsid w:val="00EA08FC"/>
    <w:rsid w:val="00EB5067"/>
    <w:rsid w:val="00EC2BB6"/>
    <w:rsid w:val="00ED0A1F"/>
    <w:rsid w:val="00ED26F5"/>
    <w:rsid w:val="00EE2ABB"/>
    <w:rsid w:val="00EE51CC"/>
    <w:rsid w:val="00F21192"/>
    <w:rsid w:val="00F3591B"/>
    <w:rsid w:val="00F42259"/>
    <w:rsid w:val="00F664F6"/>
    <w:rsid w:val="00F74057"/>
    <w:rsid w:val="00F76DD2"/>
    <w:rsid w:val="00F81D19"/>
    <w:rsid w:val="00F861FB"/>
    <w:rsid w:val="00F91331"/>
    <w:rsid w:val="00FA71C0"/>
    <w:rsid w:val="00FB0A82"/>
    <w:rsid w:val="00FB0FAF"/>
    <w:rsid w:val="00FB466A"/>
    <w:rsid w:val="00FB5717"/>
    <w:rsid w:val="00FB7DB1"/>
    <w:rsid w:val="00FD7932"/>
    <w:rsid w:val="00FE0A97"/>
    <w:rsid w:val="00FE6E67"/>
    <w:rsid w:val="00FF358B"/>
    <w:rsid w:val="030E0058"/>
    <w:rsid w:val="06BB730F"/>
    <w:rsid w:val="14A85F61"/>
    <w:rsid w:val="29E24025"/>
    <w:rsid w:val="3375232C"/>
    <w:rsid w:val="35290A04"/>
    <w:rsid w:val="4529421A"/>
    <w:rsid w:val="47007645"/>
    <w:rsid w:val="4EBE7277"/>
    <w:rsid w:val="4F8A4458"/>
    <w:rsid w:val="507053D3"/>
    <w:rsid w:val="53813298"/>
    <w:rsid w:val="5FDA2851"/>
    <w:rsid w:val="60B80C9E"/>
    <w:rsid w:val="7DDE32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C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D6C56"/>
    <w:pPr>
      <w:jc w:val="left"/>
    </w:pPr>
  </w:style>
  <w:style w:type="paragraph" w:styleId="a4">
    <w:name w:val="Balloon Text"/>
    <w:basedOn w:val="a"/>
    <w:link w:val="Char0"/>
    <w:uiPriority w:val="99"/>
    <w:semiHidden/>
    <w:unhideWhenUsed/>
    <w:qFormat/>
    <w:rsid w:val="004D6C56"/>
    <w:rPr>
      <w:sz w:val="18"/>
      <w:szCs w:val="18"/>
    </w:rPr>
  </w:style>
  <w:style w:type="paragraph" w:styleId="a5">
    <w:name w:val="footer"/>
    <w:basedOn w:val="a"/>
    <w:link w:val="Char1"/>
    <w:uiPriority w:val="99"/>
    <w:unhideWhenUsed/>
    <w:qFormat/>
    <w:rsid w:val="004D6C56"/>
    <w:pPr>
      <w:tabs>
        <w:tab w:val="center" w:pos="4153"/>
        <w:tab w:val="right" w:pos="8306"/>
      </w:tabs>
      <w:snapToGrid w:val="0"/>
      <w:jc w:val="left"/>
    </w:pPr>
    <w:rPr>
      <w:sz w:val="18"/>
      <w:szCs w:val="18"/>
    </w:rPr>
  </w:style>
  <w:style w:type="paragraph" w:styleId="a6">
    <w:name w:val="header"/>
    <w:basedOn w:val="a"/>
    <w:link w:val="Char2"/>
    <w:uiPriority w:val="99"/>
    <w:unhideWhenUsed/>
    <w:rsid w:val="004D6C5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4D6C56"/>
    <w:rPr>
      <w:b/>
      <w:bCs/>
    </w:rPr>
  </w:style>
  <w:style w:type="table" w:styleId="a8">
    <w:name w:val="Table Grid"/>
    <w:basedOn w:val="a1"/>
    <w:uiPriority w:val="59"/>
    <w:qFormat/>
    <w:rsid w:val="004D6C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4D6C56"/>
    <w:rPr>
      <w:sz w:val="21"/>
      <w:szCs w:val="21"/>
    </w:rPr>
  </w:style>
  <w:style w:type="character" w:customStyle="1" w:styleId="Char2">
    <w:name w:val="页眉 Char"/>
    <w:basedOn w:val="a0"/>
    <w:link w:val="a6"/>
    <w:uiPriority w:val="99"/>
    <w:qFormat/>
    <w:rsid w:val="004D6C56"/>
    <w:rPr>
      <w:sz w:val="18"/>
      <w:szCs w:val="18"/>
    </w:rPr>
  </w:style>
  <w:style w:type="character" w:customStyle="1" w:styleId="Char1">
    <w:name w:val="页脚 Char"/>
    <w:basedOn w:val="a0"/>
    <w:link w:val="a5"/>
    <w:uiPriority w:val="99"/>
    <w:qFormat/>
    <w:rsid w:val="004D6C56"/>
    <w:rPr>
      <w:sz w:val="18"/>
      <w:szCs w:val="18"/>
    </w:rPr>
  </w:style>
  <w:style w:type="character" w:customStyle="1" w:styleId="Char0">
    <w:name w:val="批注框文本 Char"/>
    <w:basedOn w:val="a0"/>
    <w:link w:val="a4"/>
    <w:uiPriority w:val="99"/>
    <w:semiHidden/>
    <w:qFormat/>
    <w:rsid w:val="004D6C56"/>
    <w:rPr>
      <w:sz w:val="18"/>
      <w:szCs w:val="18"/>
    </w:rPr>
  </w:style>
  <w:style w:type="character" w:customStyle="1" w:styleId="Char">
    <w:name w:val="批注文字 Char"/>
    <w:basedOn w:val="a0"/>
    <w:link w:val="a3"/>
    <w:uiPriority w:val="99"/>
    <w:semiHidden/>
    <w:qFormat/>
    <w:rsid w:val="004D6C56"/>
  </w:style>
  <w:style w:type="character" w:customStyle="1" w:styleId="Char3">
    <w:name w:val="批注主题 Char"/>
    <w:basedOn w:val="Char"/>
    <w:link w:val="a7"/>
    <w:uiPriority w:val="99"/>
    <w:semiHidden/>
    <w:qFormat/>
    <w:rsid w:val="004D6C56"/>
    <w:rPr>
      <w:b/>
      <w:bCs/>
    </w:rPr>
  </w:style>
  <w:style w:type="paragraph" w:styleId="aa">
    <w:name w:val="List Paragraph"/>
    <w:basedOn w:val="a"/>
    <w:uiPriority w:val="99"/>
    <w:qFormat/>
    <w:rsid w:val="004D6C5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320</Words>
  <Characters>1830</Characters>
  <Application>Microsoft Office Word</Application>
  <DocSecurity>4</DocSecurity>
  <Lines>15</Lines>
  <Paragraphs>4</Paragraphs>
  <ScaleCrop>false</ScaleCrop>
  <Company>CNSTOCK</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刘智</dc:creator>
  <cp:lastModifiedBy>ZHONGM</cp:lastModifiedBy>
  <cp:revision>2</cp:revision>
  <cp:lastPrinted>2024-03-06T06:04:00Z</cp:lastPrinted>
  <dcterms:created xsi:type="dcterms:W3CDTF">2026-02-04T16:01:00Z</dcterms:created>
  <dcterms:modified xsi:type="dcterms:W3CDTF">2026-02-04T16:01:00Z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8BAE2F6E2C60474E8CFC2762D3EA6839</vt:lpwstr>
  </property>
</Properties>
</file>