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6B" w:rsidRDefault="0088763C">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63676B" w:rsidRDefault="0088763C">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阳光人寿保险股份有限公司</w:t>
      </w:r>
      <w:r>
        <w:rPr>
          <w:rFonts w:asciiTheme="minorEastAsia" w:eastAsiaTheme="minorEastAsia" w:hAnsiTheme="minorEastAsia" w:hint="eastAsia"/>
          <w:b/>
          <w:sz w:val="21"/>
          <w:szCs w:val="21"/>
        </w:rPr>
        <w:t>为旗下部分基金销售机构的公告</w:t>
      </w:r>
    </w:p>
    <w:p w:rsidR="0063676B" w:rsidRDefault="0088763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阳光人寿保险股份有限公司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阳光人寿</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为旗下部分基金销售机构，现将相关事项公告如下：</w:t>
      </w:r>
    </w:p>
    <w:p w:rsidR="0063676B" w:rsidRDefault="0088763C">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63676B">
        <w:trPr>
          <w:trHeight w:val="450"/>
        </w:trPr>
        <w:tc>
          <w:tcPr>
            <w:tcW w:w="658" w:type="dxa"/>
            <w:vAlign w:val="center"/>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63676B" w:rsidRDefault="0088763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008726</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平安添裕债券型证券投资基金（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008727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平安添裕债券型证券投资基金（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025490</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025491</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026544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E</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022672</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平安产业竞争力混合型证券投资基金（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022673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平安产业竞争力混合型证券投资基金（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026357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平安港股医疗优选股票型证券投资基金（</w:t>
            </w:r>
            <w:r>
              <w:rPr>
                <w:rFonts w:hint="eastAsia"/>
                <w:color w:val="000000"/>
                <w:sz w:val="21"/>
                <w:szCs w:val="21"/>
                <w:lang/>
              </w:rPr>
              <w:t>QDII</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ascii="Arial" w:hAnsi="Arial"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026358</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平安港股医疗优选股票型证券投资基金（</w:t>
            </w:r>
            <w:r>
              <w:rPr>
                <w:rFonts w:hint="eastAsia"/>
                <w:color w:val="000000"/>
                <w:sz w:val="21"/>
                <w:szCs w:val="21"/>
                <w:lang/>
              </w:rPr>
              <w:t>QDII</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006717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平安惠金定期开放债券型证券投资基金（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167001</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平安鼎泰灵活配置混合型证券投资基金（</w:t>
            </w:r>
            <w:r>
              <w:rPr>
                <w:rFonts w:hint="eastAsia"/>
                <w:color w:val="000000"/>
                <w:sz w:val="21"/>
                <w:szCs w:val="21"/>
                <w:lang/>
              </w:rPr>
              <w:t>LOF</w:t>
            </w:r>
            <w:r>
              <w:rPr>
                <w:rFonts w:hint="eastAsia"/>
                <w:color w:val="000000"/>
                <w:sz w:val="21"/>
                <w:szCs w:val="21"/>
                <w:lang/>
              </w:rPr>
              <w:t>）</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025650</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025651</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025646</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平安高端装备混合型发起式证券投资基金（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025647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平安高端装备混合型发起式证券投资基金（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167002</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 xml:space="preserve"> </w:t>
            </w:r>
            <w:r>
              <w:rPr>
                <w:rFonts w:hint="eastAsia"/>
                <w:color w:val="000000"/>
                <w:sz w:val="21"/>
                <w:szCs w:val="21"/>
                <w:lang/>
              </w:rPr>
              <w:t>平安鼎越灵活配置混合型证券投资基金</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009671</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平安恒泽混合型证券投资基金（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009672</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平安恒泽混合型证券投资基金（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501099</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平安新兴产业混合型证券投资基金（</w:t>
            </w:r>
            <w:r>
              <w:rPr>
                <w:rFonts w:hint="eastAsia"/>
                <w:color w:val="000000"/>
                <w:sz w:val="21"/>
                <w:szCs w:val="21"/>
                <w:lang/>
              </w:rPr>
              <w:t>LOF</w:t>
            </w:r>
            <w:r>
              <w:rPr>
                <w:rFonts w:hint="eastAsia"/>
                <w:color w:val="000000"/>
                <w:sz w:val="21"/>
                <w:szCs w:val="21"/>
                <w:lang/>
              </w:rPr>
              <w:t>）</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001664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平安鑫安混合型证券投资基金（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001665</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平安鑫安混合型证券投资基金（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007049</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平安鑫安混合型证券投资基金（</w:t>
            </w:r>
            <w:r>
              <w:rPr>
                <w:rFonts w:hint="eastAsia"/>
                <w:color w:val="000000"/>
                <w:sz w:val="21"/>
                <w:szCs w:val="21"/>
                <w:lang/>
              </w:rPr>
              <w:t>E</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025923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平安新能源精选混合型发起式证券投资基金</w:t>
            </w:r>
            <w:r>
              <w:rPr>
                <w:rFonts w:hint="eastAsia"/>
                <w:color w:val="000000"/>
                <w:sz w:val="21"/>
                <w:szCs w:val="21"/>
                <w:lang/>
              </w:rPr>
              <w:lastRenderedPageBreak/>
              <w:t>（</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lastRenderedPageBreak/>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24</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025924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平安新能源精选混合型发起式证券投资基金（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25</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015078</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平安灵活配置混合型证券投资基金（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700004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平安灵活配置混合型证券投资基金（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025525</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平安恒生港股通科技主题交易型开放式指数证券投资基金发起式联接基金（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025526</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平安恒生港股通科技主题交易型开放式指数证券投资基金发起式联接基金（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026210</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平安科技精选混合型发起式证券投资基金（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026211</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平安科技精选混合型发起式证券投资基金（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007032</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平安可转债债券型证券投资基金（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007033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平安可转债债券型证券投资基金（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010228</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010229</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D</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bookmarkStart w:id="0" w:name="_GoBack" w:colFirst="0" w:colLast="0"/>
            <w:r>
              <w:rPr>
                <w:rFonts w:asciiTheme="minorEastAsia" w:eastAsiaTheme="minorEastAsia" w:hAnsiTheme="minorEastAsia" w:hint="eastAsia"/>
                <w:color w:val="000000"/>
                <w:sz w:val="21"/>
                <w:szCs w:val="21"/>
              </w:rPr>
              <w:t>35</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167003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不开通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003626</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平安鑫利灵活配置混合型证券投资基金（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006433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平安鑫利灵活配置混合型证券投资基金（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002598</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平安消费精选混合型证券投资基金（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002599</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平安消费精选混合型证券投资基金（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40</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009336</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指数增强型发起式证券投资基金（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41</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009337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指数增强型发起式证券投资基金（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42</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013767</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平安价值回报混合型证券投资基金（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43</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013768</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平安价值回报混合型证券投资基金（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44</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004403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平安股息精选沪港深股票型证券投资基金（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45</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004404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平安股息精选沪港深股票型证券投资基金（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46</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026273</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平安数字经济精选混合型发起式证券投资基金（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r w:rsidR="0063676B">
        <w:trPr>
          <w:trHeight w:val="227"/>
        </w:trPr>
        <w:tc>
          <w:tcPr>
            <w:tcW w:w="658" w:type="dxa"/>
            <w:vAlign w:val="center"/>
          </w:tcPr>
          <w:p w:rsidR="0063676B" w:rsidRDefault="0088763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47</w:t>
            </w:r>
          </w:p>
        </w:tc>
        <w:tc>
          <w:tcPr>
            <w:tcW w:w="1112" w:type="dxa"/>
            <w:vAlign w:val="bottom"/>
          </w:tcPr>
          <w:p w:rsidR="0063676B" w:rsidRDefault="0088763C">
            <w:pPr>
              <w:jc w:val="center"/>
              <w:textAlignment w:val="bottom"/>
              <w:rPr>
                <w:color w:val="000000"/>
                <w:sz w:val="21"/>
                <w:szCs w:val="21"/>
              </w:rPr>
            </w:pPr>
            <w:r>
              <w:rPr>
                <w:rFonts w:hint="eastAsia"/>
                <w:color w:val="000000"/>
                <w:sz w:val="21"/>
                <w:szCs w:val="21"/>
                <w:lang/>
              </w:rPr>
              <w:t>026274</w:t>
            </w:r>
          </w:p>
        </w:tc>
        <w:tc>
          <w:tcPr>
            <w:tcW w:w="4320" w:type="dxa"/>
            <w:vAlign w:val="bottom"/>
          </w:tcPr>
          <w:p w:rsidR="0063676B" w:rsidRDefault="0088763C">
            <w:pPr>
              <w:textAlignment w:val="bottom"/>
              <w:rPr>
                <w:color w:val="000000"/>
                <w:sz w:val="21"/>
                <w:szCs w:val="21"/>
              </w:rPr>
            </w:pPr>
            <w:r>
              <w:rPr>
                <w:rFonts w:hint="eastAsia"/>
                <w:color w:val="000000"/>
                <w:sz w:val="21"/>
                <w:szCs w:val="21"/>
                <w:lang/>
              </w:rPr>
              <w:t>平安数字经济精选混合型发起式证券投资基金（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929" w:type="dxa"/>
            <w:vAlign w:val="bottom"/>
          </w:tcPr>
          <w:p w:rsidR="0063676B" w:rsidRDefault="0088763C">
            <w:pPr>
              <w:jc w:val="center"/>
              <w:textAlignment w:val="bottom"/>
              <w:rPr>
                <w:color w:val="000000"/>
                <w:sz w:val="21"/>
                <w:szCs w:val="21"/>
              </w:rPr>
            </w:pPr>
            <w:r>
              <w:rPr>
                <w:rFonts w:hint="eastAsia"/>
                <w:color w:val="000000"/>
                <w:sz w:val="21"/>
                <w:szCs w:val="21"/>
                <w:lang/>
              </w:rPr>
              <w:t>开通</w:t>
            </w:r>
          </w:p>
        </w:tc>
        <w:tc>
          <w:tcPr>
            <w:tcW w:w="1091" w:type="dxa"/>
            <w:vAlign w:val="bottom"/>
          </w:tcPr>
          <w:p w:rsidR="0063676B" w:rsidRDefault="0088763C">
            <w:pPr>
              <w:jc w:val="center"/>
              <w:rPr>
                <w:rFonts w:cs="Arial"/>
                <w:sz w:val="21"/>
                <w:szCs w:val="21"/>
              </w:rPr>
            </w:pPr>
            <w:r>
              <w:rPr>
                <w:rFonts w:cs="Arial" w:hint="eastAsia"/>
                <w:sz w:val="21"/>
                <w:szCs w:val="21"/>
              </w:rPr>
              <w:t>参加</w:t>
            </w:r>
          </w:p>
        </w:tc>
      </w:tr>
    </w:tbl>
    <w:bookmarkEnd w:id="0"/>
    <w:p w:rsidR="0063676B" w:rsidRDefault="0088763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63676B" w:rsidRDefault="0088763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w:t>
      </w:r>
      <w:r>
        <w:rPr>
          <w:rFonts w:asciiTheme="minorEastAsia" w:eastAsiaTheme="minorEastAsia" w:hAnsiTheme="minorEastAsia" w:hint="eastAsia"/>
          <w:sz w:val="21"/>
          <w:szCs w:val="21"/>
        </w:rPr>
        <w:lastRenderedPageBreak/>
        <w:t>额以销售机构的规定为准。</w:t>
      </w:r>
    </w:p>
    <w:p w:rsidR="0063676B" w:rsidRDefault="0088763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63676B" w:rsidRDefault="0088763C">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63676B" w:rsidRDefault="0088763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阳光人寿</w:t>
      </w:r>
      <w:r>
        <w:rPr>
          <w:rFonts w:asciiTheme="minorEastAsia" w:eastAsiaTheme="minorEastAsia" w:hAnsiTheme="minorEastAsia" w:hint="eastAsia"/>
          <w:sz w:val="21"/>
          <w:szCs w:val="21"/>
        </w:rPr>
        <w:t>的活动公告为准，本公司不再另行公告。</w:t>
      </w:r>
    </w:p>
    <w:p w:rsidR="0063676B" w:rsidRDefault="0088763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63676B" w:rsidRDefault="0088763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阳光人寿保险股份有限公司</w:t>
      </w:r>
    </w:p>
    <w:p w:rsidR="0063676B" w:rsidRDefault="0088763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95510</w:t>
      </w:r>
    </w:p>
    <w:p w:rsidR="0063676B" w:rsidRDefault="0088763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www.sinosig.com</w:t>
      </w:r>
    </w:p>
    <w:p w:rsidR="0063676B" w:rsidRDefault="0088763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63676B" w:rsidRDefault="0088763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63676B" w:rsidRDefault="0088763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63676B" w:rsidRDefault="0088763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63676B" w:rsidRDefault="0088763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63676B" w:rsidRDefault="0063676B">
      <w:pPr>
        <w:pStyle w:val="Default"/>
        <w:spacing w:line="360" w:lineRule="auto"/>
        <w:ind w:right="630" w:firstLineChars="2900" w:firstLine="6090"/>
        <w:rPr>
          <w:rFonts w:asciiTheme="minorEastAsia" w:eastAsiaTheme="minorEastAsia" w:hAnsiTheme="minorEastAsia"/>
          <w:sz w:val="21"/>
          <w:szCs w:val="21"/>
        </w:rPr>
      </w:pPr>
    </w:p>
    <w:p w:rsidR="0063676B" w:rsidRDefault="0088763C">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63676B" w:rsidRDefault="0088763C">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日</w:t>
      </w:r>
    </w:p>
    <w:sectPr w:rsidR="0063676B" w:rsidSect="0063676B">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6B"/>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63C"/>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2FD03B3"/>
    <w:rsid w:val="13B05FD3"/>
    <w:rsid w:val="141B4B0A"/>
    <w:rsid w:val="18CB3795"/>
    <w:rsid w:val="18CF0341"/>
    <w:rsid w:val="1955189F"/>
    <w:rsid w:val="1CD303EC"/>
    <w:rsid w:val="1F6422CD"/>
    <w:rsid w:val="21193631"/>
    <w:rsid w:val="247321DC"/>
    <w:rsid w:val="24B551A0"/>
    <w:rsid w:val="26F453D6"/>
    <w:rsid w:val="2CF653D4"/>
    <w:rsid w:val="32295481"/>
    <w:rsid w:val="373D1531"/>
    <w:rsid w:val="38413546"/>
    <w:rsid w:val="38C71038"/>
    <w:rsid w:val="3B865D6F"/>
    <w:rsid w:val="3DBD6105"/>
    <w:rsid w:val="3F9E79D3"/>
    <w:rsid w:val="42726210"/>
    <w:rsid w:val="44E672FE"/>
    <w:rsid w:val="477E3253"/>
    <w:rsid w:val="49ED225A"/>
    <w:rsid w:val="49FB190C"/>
    <w:rsid w:val="4E0A2F23"/>
    <w:rsid w:val="4E6E4107"/>
    <w:rsid w:val="4E797F0A"/>
    <w:rsid w:val="50016951"/>
    <w:rsid w:val="51CF7E46"/>
    <w:rsid w:val="540A1CEF"/>
    <w:rsid w:val="54DF655A"/>
    <w:rsid w:val="5ABE2BBA"/>
    <w:rsid w:val="5DAD3226"/>
    <w:rsid w:val="60241DE6"/>
    <w:rsid w:val="6308378C"/>
    <w:rsid w:val="64EE2935"/>
    <w:rsid w:val="66C80289"/>
    <w:rsid w:val="6AF0063E"/>
    <w:rsid w:val="6C2731EE"/>
    <w:rsid w:val="6D0B68C2"/>
    <w:rsid w:val="6E3E0599"/>
    <w:rsid w:val="761949E6"/>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6B"/>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63676B"/>
  </w:style>
  <w:style w:type="paragraph" w:styleId="a4">
    <w:name w:val="Balloon Text"/>
    <w:basedOn w:val="a"/>
    <w:link w:val="Char0"/>
    <w:semiHidden/>
    <w:unhideWhenUsed/>
    <w:qFormat/>
    <w:rsid w:val="0063676B"/>
    <w:rPr>
      <w:sz w:val="18"/>
      <w:szCs w:val="18"/>
    </w:rPr>
  </w:style>
  <w:style w:type="paragraph" w:styleId="a5">
    <w:name w:val="footer"/>
    <w:basedOn w:val="a"/>
    <w:link w:val="Char1"/>
    <w:uiPriority w:val="99"/>
    <w:unhideWhenUsed/>
    <w:qFormat/>
    <w:rsid w:val="0063676B"/>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63676B"/>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63676B"/>
    <w:rPr>
      <w:b/>
      <w:bCs/>
    </w:rPr>
  </w:style>
  <w:style w:type="character" w:styleId="a8">
    <w:name w:val="Hyperlink"/>
    <w:basedOn w:val="a0"/>
    <w:unhideWhenUsed/>
    <w:qFormat/>
    <w:rsid w:val="0063676B"/>
    <w:rPr>
      <w:color w:val="0000FF" w:themeColor="hyperlink"/>
      <w:u w:val="single"/>
    </w:rPr>
  </w:style>
  <w:style w:type="character" w:styleId="a9">
    <w:name w:val="annotation reference"/>
    <w:basedOn w:val="a0"/>
    <w:semiHidden/>
    <w:unhideWhenUsed/>
    <w:qFormat/>
    <w:rsid w:val="0063676B"/>
    <w:rPr>
      <w:sz w:val="21"/>
      <w:szCs w:val="21"/>
    </w:rPr>
  </w:style>
  <w:style w:type="paragraph" w:customStyle="1" w:styleId="Default">
    <w:name w:val="Default"/>
    <w:qFormat/>
    <w:rsid w:val="0063676B"/>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63676B"/>
    <w:rPr>
      <w:sz w:val="18"/>
      <w:szCs w:val="18"/>
    </w:rPr>
  </w:style>
  <w:style w:type="character" w:customStyle="1" w:styleId="Char1">
    <w:name w:val="页脚 Char"/>
    <w:basedOn w:val="a0"/>
    <w:link w:val="a5"/>
    <w:uiPriority w:val="99"/>
    <w:qFormat/>
    <w:rsid w:val="0063676B"/>
    <w:rPr>
      <w:sz w:val="18"/>
      <w:szCs w:val="18"/>
    </w:rPr>
  </w:style>
  <w:style w:type="character" w:customStyle="1" w:styleId="Char0">
    <w:name w:val="批注框文本 Char"/>
    <w:basedOn w:val="a0"/>
    <w:link w:val="a4"/>
    <w:semiHidden/>
    <w:qFormat/>
    <w:rsid w:val="0063676B"/>
    <w:rPr>
      <w:rFonts w:ascii="宋体" w:hAnsi="宋体" w:cs="宋体"/>
      <w:sz w:val="18"/>
      <w:szCs w:val="18"/>
    </w:rPr>
  </w:style>
  <w:style w:type="character" w:customStyle="1" w:styleId="Char">
    <w:name w:val="批注文字 Char"/>
    <w:basedOn w:val="a0"/>
    <w:link w:val="a3"/>
    <w:semiHidden/>
    <w:qFormat/>
    <w:rsid w:val="0063676B"/>
    <w:rPr>
      <w:rFonts w:ascii="宋体" w:hAnsi="宋体" w:cs="宋体"/>
      <w:sz w:val="24"/>
      <w:szCs w:val="24"/>
    </w:rPr>
  </w:style>
  <w:style w:type="character" w:customStyle="1" w:styleId="Char3">
    <w:name w:val="批注主题 Char"/>
    <w:basedOn w:val="Char"/>
    <w:link w:val="a7"/>
    <w:semiHidden/>
    <w:qFormat/>
    <w:rsid w:val="0063676B"/>
    <w:rPr>
      <w:rFonts w:ascii="宋体" w:hAnsi="宋体" w:cs="宋体"/>
      <w:b/>
      <w:bCs/>
      <w:sz w:val="24"/>
      <w:szCs w:val="24"/>
    </w:rPr>
  </w:style>
  <w:style w:type="paragraph" w:styleId="aa">
    <w:name w:val="List Paragraph"/>
    <w:basedOn w:val="a"/>
    <w:uiPriority w:val="34"/>
    <w:qFormat/>
    <w:rsid w:val="0063676B"/>
    <w:pPr>
      <w:ind w:firstLineChars="200" w:firstLine="420"/>
    </w:pPr>
  </w:style>
  <w:style w:type="character" w:customStyle="1" w:styleId="font31">
    <w:name w:val="font31"/>
    <w:basedOn w:val="a0"/>
    <w:qFormat/>
    <w:rsid w:val="0063676B"/>
    <w:rPr>
      <w:rFonts w:ascii="Helvetica" w:eastAsia="Helvetica" w:hAnsi="Helvetica" w:cs="Helvetica"/>
      <w:color w:val="333333"/>
      <w:sz w:val="24"/>
      <w:szCs w:val="24"/>
      <w:u w:val="none"/>
    </w:rPr>
  </w:style>
  <w:style w:type="character" w:customStyle="1" w:styleId="font41">
    <w:name w:val="font41"/>
    <w:basedOn w:val="a0"/>
    <w:qFormat/>
    <w:rsid w:val="0063676B"/>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2656</Characters>
  <Application>Microsoft Office Word</Application>
  <DocSecurity>4</DocSecurity>
  <Lines>22</Lines>
  <Paragraphs>6</Paragraphs>
  <ScaleCrop>false</ScaleCrop>
  <Company>中国平安保险(集团)股份有限公司</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