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72" w:rsidRDefault="00DA712A">
      <w:pPr>
        <w:spacing w:line="360" w:lineRule="auto"/>
        <w:jc w:val="center"/>
        <w:rPr>
          <w:rFonts w:ascii="宋体" w:eastAsia="宋体" w:hAnsi="宋体" w:cs="宋体"/>
          <w:b/>
          <w:sz w:val="32"/>
          <w:szCs w:val="32"/>
        </w:rPr>
      </w:pPr>
      <w:r>
        <w:rPr>
          <w:rFonts w:ascii="宋体" w:eastAsia="宋体" w:hAnsi="宋体" w:cs="宋体" w:hint="eastAsia"/>
          <w:b/>
          <w:sz w:val="32"/>
          <w:szCs w:val="32"/>
        </w:rPr>
        <w:t>中信建投基金管理有限公司关于旗下部分基金投资关联方承销证券的公告</w:t>
      </w:r>
    </w:p>
    <w:p w:rsidR="00D36072" w:rsidRDefault="00D36072">
      <w:pPr>
        <w:spacing w:line="360" w:lineRule="auto"/>
        <w:jc w:val="center"/>
        <w:rPr>
          <w:rFonts w:ascii="Times New Roman" w:hAnsi="Times New Roman" w:cs="Times New Roman"/>
          <w:sz w:val="24"/>
          <w:szCs w:val="24"/>
        </w:rPr>
      </w:pPr>
    </w:p>
    <w:p w:rsidR="00D36072" w:rsidRDefault="00DA71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中华人民共和国证券投资基金法》《公开募集证券投资基金运作管理办法》《公开募集证券投资基金信息披露管理办法》及相关基金合同、招募说明书等有关规定，经履行适当的审批程序，中信建投基金管理有限公司（以下简称“本公司”）旗下部分基金参与了</w:t>
      </w:r>
      <w:r>
        <w:rPr>
          <w:rFonts w:ascii="Times New Roman" w:hAnsi="Times New Roman" w:cs="Times New Roman" w:hint="eastAsia"/>
          <w:sz w:val="24"/>
          <w:szCs w:val="24"/>
        </w:rPr>
        <w:t>中电科蓝天科技股份有限公司</w:t>
      </w:r>
      <w:r>
        <w:rPr>
          <w:rFonts w:ascii="Times New Roman" w:hAnsi="Times New Roman" w:cs="Times New Roman" w:hint="eastAsia"/>
          <w:sz w:val="24"/>
          <w:szCs w:val="24"/>
        </w:rPr>
        <w:t>（以下简称“</w:t>
      </w:r>
      <w:r>
        <w:rPr>
          <w:rFonts w:ascii="Times New Roman" w:hAnsi="Times New Roman" w:cs="Times New Roman" w:hint="eastAsia"/>
          <w:sz w:val="24"/>
          <w:szCs w:val="24"/>
        </w:rPr>
        <w:t>电科蓝天</w:t>
      </w:r>
      <w:r>
        <w:rPr>
          <w:rFonts w:ascii="Times New Roman" w:hAnsi="Times New Roman" w:cs="Times New Roman" w:hint="eastAsia"/>
          <w:sz w:val="24"/>
          <w:szCs w:val="24"/>
        </w:rPr>
        <w:t>”</w:t>
      </w:r>
      <w:r>
        <w:rPr>
          <w:rFonts w:ascii="Times New Roman" w:hAnsi="Times New Roman" w:cs="Times New Roman" w:hint="eastAsia"/>
          <w:sz w:val="24"/>
          <w:szCs w:val="24"/>
        </w:rPr>
        <w:t>“发行人”</w:t>
      </w:r>
      <w:r>
        <w:rPr>
          <w:rFonts w:ascii="Times New Roman" w:hAnsi="Times New Roman" w:cs="Times New Roman" w:hint="eastAsia"/>
          <w:sz w:val="24"/>
          <w:szCs w:val="24"/>
        </w:rPr>
        <w:t>）首次公开发行人民币普通股（</w:t>
      </w:r>
      <w:r>
        <w:rPr>
          <w:rFonts w:ascii="Times New Roman" w:hAnsi="Times New Roman" w:cs="Times New Roman"/>
          <w:sz w:val="24"/>
          <w:szCs w:val="24"/>
        </w:rPr>
        <w:t>A</w:t>
      </w:r>
      <w:r>
        <w:rPr>
          <w:rFonts w:ascii="Times New Roman" w:hAnsi="Times New Roman" w:cs="Times New Roman" w:hint="eastAsia"/>
          <w:sz w:val="24"/>
          <w:szCs w:val="24"/>
        </w:rPr>
        <w:t>股）并在</w:t>
      </w:r>
      <w:r>
        <w:rPr>
          <w:rFonts w:ascii="Times New Roman" w:hAnsi="Times New Roman" w:cs="Times New Roman" w:hint="eastAsia"/>
          <w:sz w:val="24"/>
          <w:szCs w:val="24"/>
        </w:rPr>
        <w:t>科创板</w:t>
      </w:r>
      <w:r>
        <w:rPr>
          <w:rFonts w:ascii="Times New Roman" w:hAnsi="Times New Roman" w:cs="Times New Roman" w:hint="eastAsia"/>
          <w:sz w:val="24"/>
          <w:szCs w:val="24"/>
        </w:rPr>
        <w:t>上市（以下简称“</w:t>
      </w:r>
      <w:r>
        <w:rPr>
          <w:rFonts w:ascii="Times New Roman" w:hAnsi="Times New Roman" w:cs="Times New Roman" w:hint="eastAsia"/>
          <w:sz w:val="24"/>
          <w:szCs w:val="24"/>
        </w:rPr>
        <w:t>本次发行</w:t>
      </w:r>
      <w:r>
        <w:rPr>
          <w:rFonts w:ascii="Times New Roman" w:hAnsi="Times New Roman" w:cs="Times New Roman" w:hint="eastAsia"/>
          <w:sz w:val="24"/>
          <w:szCs w:val="24"/>
        </w:rPr>
        <w:t>”）的网下申购，本公司</w:t>
      </w:r>
      <w:r>
        <w:rPr>
          <w:rFonts w:ascii="Times New Roman" w:hAnsi="Times New Roman" w:cs="Times New Roman" w:hint="eastAsia"/>
          <w:sz w:val="24"/>
          <w:szCs w:val="24"/>
        </w:rPr>
        <w:t>全资</w:t>
      </w:r>
      <w:r>
        <w:rPr>
          <w:rFonts w:ascii="Times New Roman" w:hAnsi="Times New Roman" w:cs="Times New Roman" w:hint="eastAsia"/>
          <w:sz w:val="24"/>
          <w:szCs w:val="24"/>
        </w:rPr>
        <w:t>股东中信建投证券股份有限公司为本次发行的</w:t>
      </w:r>
      <w:r>
        <w:rPr>
          <w:rFonts w:ascii="Times New Roman" w:hAnsi="Times New Roman" w:cs="Times New Roman" w:hint="eastAsia"/>
          <w:sz w:val="24"/>
          <w:szCs w:val="24"/>
        </w:rPr>
        <w:t>保荐机构（</w:t>
      </w:r>
      <w:r>
        <w:rPr>
          <w:rFonts w:ascii="Times New Roman" w:hAnsi="Times New Roman" w:cs="Times New Roman" w:hint="eastAsia"/>
          <w:sz w:val="24"/>
          <w:szCs w:val="24"/>
        </w:rPr>
        <w:t>联席</w:t>
      </w:r>
      <w:r>
        <w:rPr>
          <w:rFonts w:ascii="Times New Roman" w:hAnsi="Times New Roman" w:cs="Times New Roman" w:hint="eastAsia"/>
          <w:sz w:val="24"/>
          <w:szCs w:val="24"/>
        </w:rPr>
        <w:t>主承销商</w:t>
      </w:r>
      <w:r>
        <w:rPr>
          <w:rFonts w:ascii="Times New Roman" w:hAnsi="Times New Roman" w:cs="Times New Roman" w:hint="eastAsia"/>
          <w:sz w:val="24"/>
          <w:szCs w:val="24"/>
        </w:rPr>
        <w:t>）</w:t>
      </w:r>
      <w:r>
        <w:rPr>
          <w:rFonts w:ascii="Times New Roman" w:hAnsi="Times New Roman" w:cs="Times New Roman" w:hint="eastAsia"/>
          <w:sz w:val="24"/>
          <w:szCs w:val="24"/>
        </w:rPr>
        <w:t>。本次发行价格为</w:t>
      </w:r>
      <w:r>
        <w:rPr>
          <w:rFonts w:ascii="Times New Roman" w:hAnsi="Times New Roman" w:cs="Times New Roman" w:hint="eastAsia"/>
          <w:sz w:val="24"/>
          <w:szCs w:val="24"/>
        </w:rPr>
        <w:t>9.47</w:t>
      </w:r>
      <w:r>
        <w:rPr>
          <w:rFonts w:ascii="Times New Roman" w:hAnsi="Times New Roman" w:cs="Times New Roman" w:hint="eastAsia"/>
          <w:sz w:val="24"/>
          <w:szCs w:val="24"/>
        </w:rPr>
        <w:t>元</w:t>
      </w:r>
      <w:r>
        <w:rPr>
          <w:rFonts w:ascii="Times New Roman" w:hAnsi="Times New Roman" w:cs="Times New Roman"/>
          <w:sz w:val="24"/>
          <w:szCs w:val="24"/>
        </w:rPr>
        <w:t>/</w:t>
      </w:r>
      <w:r>
        <w:rPr>
          <w:rFonts w:ascii="Times New Roman" w:hAnsi="Times New Roman" w:cs="Times New Roman" w:hint="eastAsia"/>
          <w:sz w:val="24"/>
          <w:szCs w:val="24"/>
        </w:rPr>
        <w:t>股，</w:t>
      </w:r>
      <w:r>
        <w:rPr>
          <w:rFonts w:ascii="宋体" w:eastAsia="宋体" w:hAnsi="宋体" w:cs="宋体"/>
          <w:sz w:val="24"/>
          <w:szCs w:val="24"/>
        </w:rPr>
        <w:t>发行人与</w:t>
      </w:r>
      <w:r>
        <w:rPr>
          <w:rFonts w:ascii="宋体" w:eastAsia="宋体" w:hAnsi="宋体" w:cs="宋体" w:hint="eastAsia"/>
          <w:sz w:val="24"/>
          <w:szCs w:val="24"/>
        </w:rPr>
        <w:t>联席</w:t>
      </w:r>
      <w:r>
        <w:rPr>
          <w:rFonts w:ascii="宋体" w:eastAsia="宋体" w:hAnsi="宋体" w:cs="宋体"/>
          <w:sz w:val="24"/>
          <w:szCs w:val="24"/>
        </w:rPr>
        <w:t>主承销商根据</w:t>
      </w:r>
      <w:r>
        <w:rPr>
          <w:rFonts w:ascii="宋体" w:eastAsia="宋体" w:hAnsi="宋体" w:cs="宋体" w:hint="eastAsia"/>
          <w:sz w:val="24"/>
          <w:szCs w:val="24"/>
        </w:rPr>
        <w:t>初步</w:t>
      </w:r>
      <w:r>
        <w:rPr>
          <w:rFonts w:ascii="宋体" w:eastAsia="宋体" w:hAnsi="宋体" w:cs="宋体"/>
          <w:sz w:val="24"/>
          <w:szCs w:val="24"/>
        </w:rPr>
        <w:t>询价</w:t>
      </w:r>
      <w:r>
        <w:rPr>
          <w:rFonts w:ascii="宋体" w:eastAsia="宋体" w:hAnsi="宋体" w:cs="宋体" w:hint="eastAsia"/>
          <w:sz w:val="24"/>
          <w:szCs w:val="24"/>
        </w:rPr>
        <w:t>结果</w:t>
      </w:r>
      <w:r>
        <w:rPr>
          <w:rFonts w:ascii="宋体" w:eastAsia="宋体" w:hAnsi="宋体" w:cs="宋体"/>
          <w:sz w:val="24"/>
          <w:szCs w:val="24"/>
        </w:rPr>
        <w:t>，综合评估</w:t>
      </w:r>
      <w:r>
        <w:rPr>
          <w:rFonts w:ascii="宋体" w:eastAsia="宋体" w:hAnsi="宋体" w:cs="宋体" w:hint="eastAsia"/>
          <w:sz w:val="24"/>
          <w:szCs w:val="24"/>
        </w:rPr>
        <w:t>发行人</w:t>
      </w:r>
      <w:r>
        <w:rPr>
          <w:rFonts w:ascii="宋体" w:eastAsia="宋体" w:hAnsi="宋体" w:cs="宋体"/>
          <w:sz w:val="24"/>
          <w:szCs w:val="24"/>
        </w:rPr>
        <w:t>合理投资价值、可比公司二级市场估值水平、所属行业二级市场估值水平等方面，充分考虑网下投资者有效申购倍数、市场情况、募集资金需求及承销风险等因素协商确定本次发行价格</w:t>
      </w:r>
      <w:r>
        <w:rPr>
          <w:rFonts w:ascii="宋体" w:eastAsia="宋体" w:hAnsi="宋体" w:cs="宋体" w:hint="eastAsia"/>
          <w:sz w:val="24"/>
          <w:szCs w:val="24"/>
        </w:rPr>
        <w:t>。</w:t>
      </w:r>
    </w:p>
    <w:p w:rsidR="00D36072" w:rsidRDefault="00DA71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根据法律法规、基金合同及</w:t>
      </w:r>
      <w:r>
        <w:rPr>
          <w:rFonts w:ascii="Times New Roman" w:hAnsi="Times New Roman" w:cs="Times New Roman" w:hint="eastAsia"/>
          <w:sz w:val="24"/>
          <w:szCs w:val="24"/>
        </w:rPr>
        <w:t>电科蓝天</w:t>
      </w:r>
      <w:r>
        <w:rPr>
          <w:rFonts w:ascii="Times New Roman" w:hAnsi="Times New Roman" w:cs="Times New Roman" w:hint="eastAsia"/>
          <w:sz w:val="24"/>
          <w:szCs w:val="24"/>
        </w:rPr>
        <w:t>于</w:t>
      </w:r>
      <w:r>
        <w:rPr>
          <w:rFonts w:ascii="Times New Roman" w:hAnsi="Times New Roman" w:cs="Times New Roman"/>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3</w:t>
      </w:r>
      <w:r>
        <w:rPr>
          <w:rFonts w:ascii="Times New Roman" w:hAnsi="Times New Roman" w:cs="Times New Roman" w:hint="eastAsia"/>
          <w:sz w:val="24"/>
          <w:szCs w:val="24"/>
        </w:rPr>
        <w:t>日发布的《</w:t>
      </w:r>
      <w:r>
        <w:rPr>
          <w:rFonts w:ascii="Times New Roman" w:hAnsi="Times New Roman" w:cs="Times New Roman" w:hint="eastAsia"/>
          <w:sz w:val="24"/>
          <w:szCs w:val="24"/>
        </w:rPr>
        <w:t>中电科蓝天科技股份</w:t>
      </w:r>
      <w:r>
        <w:rPr>
          <w:rFonts w:ascii="Times New Roman" w:hAnsi="Times New Roman" w:cs="Times New Roman" w:hint="eastAsia"/>
          <w:sz w:val="24"/>
          <w:szCs w:val="24"/>
        </w:rPr>
        <w:t>有限公司首次公开发行股票</w:t>
      </w:r>
      <w:r>
        <w:rPr>
          <w:rFonts w:ascii="Times New Roman" w:hAnsi="Times New Roman" w:cs="Times New Roman" w:hint="eastAsia"/>
          <w:sz w:val="24"/>
          <w:szCs w:val="24"/>
        </w:rPr>
        <w:t>并在科创板上市网下初步配售结果及网上中签结果</w:t>
      </w:r>
      <w:r>
        <w:rPr>
          <w:rFonts w:ascii="Times New Roman" w:hAnsi="Times New Roman" w:cs="Times New Roman" w:hint="eastAsia"/>
          <w:sz w:val="24"/>
          <w:szCs w:val="24"/>
        </w:rPr>
        <w:t>公告》，现将本公司旗下基金获配信息公告如下：</w:t>
      </w:r>
    </w:p>
    <w:tbl>
      <w:tblPr>
        <w:tblStyle w:val="a6"/>
        <w:tblW w:w="9523" w:type="dxa"/>
        <w:jc w:val="center"/>
        <w:tblLayout w:type="fixed"/>
        <w:tblLook w:val="04A0"/>
      </w:tblPr>
      <w:tblGrid>
        <w:gridCol w:w="5106"/>
        <w:gridCol w:w="1015"/>
        <w:gridCol w:w="1701"/>
        <w:gridCol w:w="1701"/>
      </w:tblGrid>
      <w:tr w:rsidR="00D36072">
        <w:trPr>
          <w:jc w:val="center"/>
        </w:trPr>
        <w:tc>
          <w:tcPr>
            <w:tcW w:w="5106" w:type="dxa"/>
          </w:tcPr>
          <w:p w:rsidR="00D36072" w:rsidRDefault="00DA71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基金名称</w:t>
            </w:r>
          </w:p>
        </w:tc>
        <w:tc>
          <w:tcPr>
            <w:tcW w:w="1015" w:type="dxa"/>
          </w:tcPr>
          <w:p w:rsidR="00D36072" w:rsidRDefault="00DA71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获配数量（股）</w:t>
            </w:r>
          </w:p>
        </w:tc>
        <w:tc>
          <w:tcPr>
            <w:tcW w:w="1701" w:type="dxa"/>
          </w:tcPr>
          <w:p w:rsidR="00D36072" w:rsidRDefault="00DA71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获配金额（元，不含佣金）</w:t>
            </w:r>
          </w:p>
        </w:tc>
        <w:tc>
          <w:tcPr>
            <w:tcW w:w="1701" w:type="dxa"/>
          </w:tcPr>
          <w:p w:rsidR="00D36072" w:rsidRDefault="00DA71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相应新股配售经纪佣金（元）</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中信建投医改灵活配置混合型证券投资基金</w:t>
            </w:r>
          </w:p>
        </w:tc>
        <w:tc>
          <w:tcPr>
            <w:tcW w:w="1015"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17,168</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162,580.96</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中信建投智信物联网灵活配置混合型证券投资基金</w:t>
            </w:r>
          </w:p>
        </w:tc>
        <w:tc>
          <w:tcPr>
            <w:tcW w:w="1015"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6,622</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62,710.34</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中信建投行业轮换混合型证券投资基金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17,168</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162,580.96</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中信建投价值甄选混合型证券投资基金</w:t>
            </w:r>
          </w:p>
        </w:tc>
        <w:tc>
          <w:tcPr>
            <w:tcW w:w="1015"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17,168</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162,580.96</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中信建投策略精选混合型证券投资基金</w:t>
            </w:r>
          </w:p>
        </w:tc>
        <w:tc>
          <w:tcPr>
            <w:tcW w:w="1015"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8,032</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76,063.04</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中信建投中证</w:t>
            </w:r>
            <w:r>
              <w:rPr>
                <w:rFonts w:ascii="Times New Roman" w:eastAsia="宋体" w:hAnsi="Times New Roman" w:cs="Times New Roman"/>
                <w:color w:val="000000"/>
                <w:kern w:val="0"/>
                <w:sz w:val="22"/>
                <w:lang/>
              </w:rPr>
              <w:t>500</w:t>
            </w:r>
            <w:r>
              <w:rPr>
                <w:rFonts w:ascii="宋体" w:eastAsia="宋体" w:hAnsi="宋体" w:cs="宋体" w:hint="eastAsia"/>
                <w:color w:val="000000"/>
                <w:kern w:val="0"/>
                <w:sz w:val="22"/>
                <w:lang/>
              </w:rPr>
              <w:t>指数增强型证券投资基金</w:t>
            </w:r>
          </w:p>
        </w:tc>
        <w:tc>
          <w:tcPr>
            <w:tcW w:w="1015"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7</w:t>
            </w:r>
            <w:r>
              <w:rPr>
                <w:rFonts w:ascii="Times New Roman" w:eastAsia="宋体" w:hAnsi="Times New Roman" w:cs="Times New Roman" w:hint="eastAsia"/>
                <w:color w:val="000000"/>
                <w:kern w:val="0"/>
                <w:sz w:val="22"/>
                <w:lang/>
              </w:rPr>
              <w:t>,</w:t>
            </w:r>
            <w:r>
              <w:rPr>
                <w:rFonts w:ascii="Times New Roman" w:eastAsia="宋体" w:hAnsi="Times New Roman" w:cs="Times New Roman"/>
                <w:color w:val="000000"/>
                <w:kern w:val="0"/>
                <w:sz w:val="22"/>
                <w:lang/>
              </w:rPr>
              <w:t>327</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69,386.69</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中信建投医药健康混合型证券投资基金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7,971</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75</w:t>
            </w:r>
            <w:r>
              <w:rPr>
                <w:rFonts w:ascii="Times New Roman" w:eastAsia="宋体" w:hAnsi="Times New Roman" w:cs="Times New Roman" w:hint="eastAsia"/>
                <w:color w:val="000000"/>
                <w:kern w:val="0"/>
                <w:sz w:val="22"/>
                <w:lang/>
              </w:rPr>
              <w:t>,</w:t>
            </w:r>
            <w:r>
              <w:rPr>
                <w:rFonts w:ascii="Times New Roman" w:eastAsia="宋体" w:hAnsi="Times New Roman" w:cs="Times New Roman"/>
                <w:color w:val="000000"/>
                <w:kern w:val="0"/>
                <w:sz w:val="22"/>
                <w:lang/>
              </w:rPr>
              <w:t>485.37</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中信建投量化进取</w:t>
            </w:r>
            <w:r>
              <w:rPr>
                <w:rFonts w:ascii="Times New Roman" w:eastAsia="宋体" w:hAnsi="Times New Roman" w:cs="Times New Roman"/>
                <w:color w:val="000000"/>
                <w:kern w:val="0"/>
                <w:sz w:val="22"/>
                <w:lang/>
              </w:rPr>
              <w:t>6</w:t>
            </w:r>
            <w:r>
              <w:rPr>
                <w:rFonts w:ascii="宋体" w:eastAsia="宋体" w:hAnsi="宋体" w:cs="宋体" w:hint="eastAsia"/>
                <w:color w:val="000000"/>
                <w:kern w:val="0"/>
                <w:sz w:val="22"/>
                <w:lang/>
              </w:rPr>
              <w:t>个月持有期混合型证券投资基金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8,492</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80,419.24</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中信建投量化精选</w:t>
            </w:r>
            <w:r>
              <w:rPr>
                <w:rFonts w:ascii="Times New Roman" w:eastAsia="宋体" w:hAnsi="Times New Roman" w:cs="Times New Roman"/>
                <w:color w:val="000000"/>
                <w:kern w:val="0"/>
                <w:sz w:val="22"/>
                <w:lang/>
              </w:rPr>
              <w:t>6</w:t>
            </w:r>
            <w:r>
              <w:rPr>
                <w:rFonts w:ascii="宋体" w:eastAsia="宋体" w:hAnsi="宋体" w:cs="宋体" w:hint="eastAsia"/>
                <w:color w:val="000000"/>
                <w:kern w:val="0"/>
                <w:sz w:val="22"/>
                <w:lang/>
              </w:rPr>
              <w:t>个月持有期混合型证券投资基金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7</w:t>
            </w:r>
            <w:r>
              <w:rPr>
                <w:rFonts w:ascii="Times New Roman" w:eastAsia="宋体" w:hAnsi="Times New Roman" w:cs="Times New Roman" w:hint="eastAsia"/>
                <w:color w:val="000000"/>
                <w:kern w:val="0"/>
                <w:sz w:val="22"/>
                <w:lang/>
              </w:rPr>
              <w:t>,</w:t>
            </w:r>
            <w:r>
              <w:rPr>
                <w:rFonts w:ascii="Times New Roman" w:eastAsia="宋体" w:hAnsi="Times New Roman" w:cs="Times New Roman"/>
                <w:color w:val="000000"/>
                <w:kern w:val="0"/>
                <w:sz w:val="22"/>
                <w:lang/>
              </w:rPr>
              <w:t>449</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70,542.03</w:t>
            </w:r>
          </w:p>
        </w:tc>
        <w:tc>
          <w:tcPr>
            <w:tcW w:w="1701" w:type="dxa"/>
          </w:tcPr>
          <w:p w:rsidR="00D36072" w:rsidRDefault="00DA712A">
            <w:pPr>
              <w:spacing w:line="360" w:lineRule="auto"/>
              <w:jc w:val="right"/>
              <w:rPr>
                <w:rFonts w:ascii="Times New Roman" w:hAnsi="Times New Roman" w:cs="Times New Roman"/>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中信建投远见回报混合型证券投资基金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14,010</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132,674.70</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lastRenderedPageBreak/>
              <w:t>中信建投低碳成长混合型证券投资基金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17,168</w:t>
            </w:r>
          </w:p>
        </w:tc>
        <w:tc>
          <w:tcPr>
            <w:tcW w:w="1701" w:type="dxa"/>
            <w:vAlign w:val="center"/>
          </w:tcPr>
          <w:p w:rsidR="00D36072" w:rsidRDefault="00DA712A">
            <w:pPr>
              <w:widowControl/>
              <w:jc w:val="right"/>
              <w:textAlignment w:val="center"/>
              <w:rPr>
                <w:rFonts w:ascii="Times New Roman" w:hAnsi="Times New Roman" w:cs="Times New Roman"/>
                <w:szCs w:val="21"/>
              </w:rPr>
            </w:pPr>
            <w:r>
              <w:rPr>
                <w:rFonts w:ascii="Times New Roman" w:eastAsia="宋体" w:hAnsi="Times New Roman" w:cs="Times New Roman"/>
                <w:color w:val="000000"/>
                <w:kern w:val="0"/>
                <w:sz w:val="22"/>
                <w:lang/>
              </w:rPr>
              <w:t>162,580.96</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中信建投品质优选一年持有期混合型证券投资基金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5,702</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53,997.94</w:t>
            </w:r>
          </w:p>
        </w:tc>
        <w:tc>
          <w:tcPr>
            <w:tcW w:w="1701" w:type="dxa"/>
          </w:tcPr>
          <w:p w:rsidR="00D36072" w:rsidRDefault="00DA712A">
            <w:pPr>
              <w:spacing w:line="360" w:lineRule="auto"/>
              <w:jc w:val="right"/>
              <w:rPr>
                <w:rFonts w:ascii="Times New Roman" w:hAnsi="Times New Roman" w:cs="Times New Roman"/>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中信建投中证</w:t>
            </w:r>
            <w:r>
              <w:rPr>
                <w:rFonts w:ascii="Times New Roman" w:eastAsia="宋体" w:hAnsi="Times New Roman" w:cs="Times New Roman"/>
                <w:color w:val="000000"/>
                <w:kern w:val="0"/>
                <w:sz w:val="22"/>
                <w:lang/>
              </w:rPr>
              <w:t>1000</w:t>
            </w:r>
            <w:r>
              <w:rPr>
                <w:rFonts w:ascii="宋体" w:eastAsia="宋体" w:hAnsi="宋体" w:cs="宋体" w:hint="eastAsia"/>
                <w:color w:val="000000"/>
                <w:kern w:val="0"/>
                <w:sz w:val="22"/>
                <w:lang/>
              </w:rPr>
              <w:t>指数增强型证券投资基金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11,803</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111,774.41</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rPr>
              <w:t>中信建投沪深</w:t>
            </w:r>
            <w:r>
              <w:rPr>
                <w:rFonts w:ascii="Times New Roman" w:eastAsia="宋体" w:hAnsi="Times New Roman" w:cs="Times New Roman"/>
                <w:color w:val="000000"/>
                <w:kern w:val="0"/>
                <w:sz w:val="22"/>
                <w:lang/>
              </w:rPr>
              <w:t>300</w:t>
            </w:r>
            <w:r>
              <w:rPr>
                <w:rFonts w:ascii="宋体" w:eastAsia="宋体" w:hAnsi="宋体" w:cs="宋体" w:hint="eastAsia"/>
                <w:color w:val="000000"/>
                <w:kern w:val="0"/>
                <w:sz w:val="22"/>
                <w:lang/>
              </w:rPr>
              <w:t>指数增强型证券投资基金</w:t>
            </w:r>
          </w:p>
        </w:tc>
        <w:tc>
          <w:tcPr>
            <w:tcW w:w="1015"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w:t>
            </w:r>
            <w:r>
              <w:rPr>
                <w:rFonts w:ascii="Times New Roman" w:eastAsia="宋体" w:hAnsi="Times New Roman" w:cs="Times New Roman" w:hint="eastAsia"/>
                <w:color w:val="000000"/>
                <w:kern w:val="0"/>
                <w:sz w:val="22"/>
                <w:lang/>
              </w:rPr>
              <w:t>,</w:t>
            </w:r>
            <w:r>
              <w:rPr>
                <w:rFonts w:ascii="Times New Roman" w:eastAsia="宋体" w:hAnsi="Times New Roman" w:cs="Times New Roman"/>
                <w:color w:val="000000"/>
                <w:kern w:val="0"/>
                <w:sz w:val="22"/>
                <w:lang/>
              </w:rPr>
              <w:t>966</w:t>
            </w:r>
          </w:p>
        </w:tc>
        <w:tc>
          <w:tcPr>
            <w:tcW w:w="1701" w:type="dxa"/>
            <w:vAlign w:val="center"/>
          </w:tcPr>
          <w:p w:rsidR="00D36072" w:rsidRDefault="00DA712A">
            <w:pPr>
              <w:widowControl/>
              <w:jc w:val="right"/>
              <w:textAlignment w:val="center"/>
              <w:rPr>
                <w:rFonts w:ascii="Times New Roman" w:hAnsi="Times New Roman" w:cs="Times New Roman"/>
              </w:rPr>
            </w:pPr>
            <w:r>
              <w:rPr>
                <w:rFonts w:ascii="Times New Roman" w:eastAsia="宋体" w:hAnsi="Times New Roman" w:cs="Times New Roman"/>
                <w:color w:val="000000"/>
                <w:kern w:val="0"/>
                <w:sz w:val="22"/>
                <w:lang/>
              </w:rPr>
              <w:t>47,028.02</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r w:rsidR="00D36072">
        <w:trPr>
          <w:jc w:val="center"/>
        </w:trPr>
        <w:tc>
          <w:tcPr>
            <w:tcW w:w="5106" w:type="dxa"/>
            <w:shd w:val="clear" w:color="auto" w:fill="FFFFFF" w:themeFill="background1"/>
            <w:vAlign w:val="center"/>
          </w:tcPr>
          <w:p w:rsidR="00D36072" w:rsidRDefault="00DA712A">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中信建投价值增长混合型证券投资基金</w:t>
            </w:r>
          </w:p>
        </w:tc>
        <w:tc>
          <w:tcPr>
            <w:tcW w:w="1015" w:type="dxa"/>
            <w:vAlign w:val="center"/>
          </w:tcPr>
          <w:p w:rsidR="00D36072" w:rsidRDefault="00DA712A">
            <w:pPr>
              <w:widowControl/>
              <w:jc w:val="right"/>
              <w:textAlignment w:val="center"/>
              <w:rPr>
                <w:rFonts w:ascii="Times New Roman" w:eastAsia="宋体" w:hAnsi="Times New Roman" w:cs="Times New Roman"/>
                <w:color w:val="000000"/>
                <w:kern w:val="0"/>
                <w:sz w:val="22"/>
                <w:lang/>
              </w:rPr>
            </w:pPr>
            <w:r>
              <w:rPr>
                <w:rFonts w:ascii="Times New Roman" w:eastAsia="宋体" w:hAnsi="Times New Roman" w:cs="Times New Roman" w:hint="eastAsia"/>
                <w:color w:val="000000"/>
                <w:kern w:val="0"/>
                <w:sz w:val="22"/>
                <w:lang/>
              </w:rPr>
              <w:t>17,168</w:t>
            </w:r>
          </w:p>
        </w:tc>
        <w:tc>
          <w:tcPr>
            <w:tcW w:w="1701" w:type="dxa"/>
            <w:vAlign w:val="center"/>
          </w:tcPr>
          <w:p w:rsidR="00D36072" w:rsidRDefault="00DA712A">
            <w:pPr>
              <w:widowControl/>
              <w:jc w:val="right"/>
              <w:textAlignment w:val="center"/>
              <w:rPr>
                <w:rFonts w:ascii="Times New Roman" w:eastAsia="宋体" w:hAnsi="Times New Roman" w:cs="Times New Roman"/>
                <w:color w:val="000000"/>
                <w:kern w:val="0"/>
                <w:sz w:val="22"/>
                <w:lang/>
              </w:rPr>
            </w:pPr>
            <w:r>
              <w:rPr>
                <w:rFonts w:ascii="Times New Roman" w:eastAsia="宋体" w:hAnsi="Times New Roman" w:cs="Times New Roman" w:hint="eastAsia"/>
                <w:color w:val="000000"/>
                <w:kern w:val="0"/>
                <w:sz w:val="22"/>
                <w:lang/>
              </w:rPr>
              <w:t>162,580.96</w:t>
            </w:r>
          </w:p>
        </w:tc>
        <w:tc>
          <w:tcPr>
            <w:tcW w:w="1701" w:type="dxa"/>
          </w:tcPr>
          <w:p w:rsidR="00D36072" w:rsidRDefault="00DA712A">
            <w:pPr>
              <w:spacing w:line="360" w:lineRule="auto"/>
              <w:jc w:val="right"/>
              <w:rPr>
                <w:rFonts w:ascii="Times New Roman" w:hAnsi="Times New Roman" w:cs="Times New Roman"/>
                <w:szCs w:val="21"/>
              </w:rPr>
            </w:pPr>
            <w:r>
              <w:rPr>
                <w:rFonts w:ascii="Times New Roman" w:hAnsi="Times New Roman" w:cs="Times New Roman" w:hint="eastAsia"/>
                <w:szCs w:val="21"/>
              </w:rPr>
              <w:t>0.00</w:t>
            </w:r>
          </w:p>
        </w:tc>
      </w:tr>
    </w:tbl>
    <w:p w:rsidR="00D36072" w:rsidRDefault="00DA712A">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注：上述基金新股配售经纪佣金费率为其获配金额的</w:t>
      </w:r>
      <w:r>
        <w:rPr>
          <w:rFonts w:ascii="Times New Roman" w:hAnsi="Times New Roman" w:cs="Times New Roman"/>
          <w:sz w:val="24"/>
          <w:szCs w:val="24"/>
        </w:rPr>
        <w:t>0</w:t>
      </w:r>
      <w:r>
        <w:rPr>
          <w:rFonts w:ascii="Times New Roman" w:hAnsi="Times New Roman" w:cs="Times New Roman" w:hint="eastAsia"/>
          <w:sz w:val="24"/>
          <w:szCs w:val="24"/>
        </w:rPr>
        <w:t>.00%</w:t>
      </w:r>
      <w:r>
        <w:rPr>
          <w:rFonts w:ascii="Times New Roman" w:hAnsi="Times New Roman" w:cs="Times New Roman" w:hint="eastAsia"/>
          <w:sz w:val="24"/>
          <w:szCs w:val="24"/>
        </w:rPr>
        <w:t>。</w:t>
      </w:r>
      <w:r>
        <w:rPr>
          <w:rFonts w:ascii="Times New Roman" w:hAnsi="Times New Roman" w:cs="Times New Roman" w:hint="eastAsia"/>
          <w:sz w:val="24"/>
          <w:szCs w:val="24"/>
        </w:rPr>
        <w:t>上述</w:t>
      </w:r>
      <w:r>
        <w:rPr>
          <w:rFonts w:ascii="Times New Roman" w:hAnsi="Times New Roman" w:cs="Times New Roman" w:hint="eastAsia"/>
          <w:sz w:val="24"/>
          <w:szCs w:val="24"/>
        </w:rPr>
        <w:t>每个</w:t>
      </w:r>
      <w:r>
        <w:rPr>
          <w:rFonts w:ascii="Times New Roman" w:hAnsi="Times New Roman" w:cs="Times New Roman" w:hint="eastAsia"/>
          <w:sz w:val="24"/>
          <w:szCs w:val="24"/>
        </w:rPr>
        <w:t>基金</w:t>
      </w:r>
      <w:r>
        <w:rPr>
          <w:rFonts w:ascii="Times New Roman" w:hAnsi="Times New Roman" w:cs="Times New Roman" w:hint="eastAsia"/>
          <w:sz w:val="24"/>
          <w:szCs w:val="24"/>
        </w:rPr>
        <w:t>获配的</w:t>
      </w:r>
      <w:r>
        <w:rPr>
          <w:rFonts w:ascii="Times New Roman" w:hAnsi="Times New Roman" w:cs="Times New Roman" w:hint="eastAsia"/>
          <w:sz w:val="24"/>
          <w:szCs w:val="24"/>
        </w:rPr>
        <w:t>电科蓝天</w:t>
      </w:r>
      <w:r>
        <w:rPr>
          <w:rFonts w:ascii="Times New Roman" w:hAnsi="Times New Roman" w:cs="Times New Roman" w:hint="eastAsia"/>
          <w:sz w:val="24"/>
          <w:szCs w:val="24"/>
        </w:rPr>
        <w:t>股票中，</w:t>
      </w:r>
      <w:r>
        <w:rPr>
          <w:rFonts w:ascii="Times New Roman" w:hAnsi="Times New Roman" w:cs="Times New Roman" w:hint="eastAsia"/>
          <w:sz w:val="24"/>
          <w:szCs w:val="24"/>
        </w:rPr>
        <w:t>10%</w:t>
      </w:r>
      <w:r>
        <w:rPr>
          <w:rFonts w:ascii="Times New Roman" w:hAnsi="Times New Roman" w:cs="Times New Roman" w:hint="eastAsia"/>
          <w:sz w:val="24"/>
          <w:szCs w:val="24"/>
        </w:rPr>
        <w:t>的股份</w:t>
      </w:r>
      <w:r>
        <w:rPr>
          <w:rFonts w:ascii="Times New Roman" w:hAnsi="Times New Roman" w:cs="Times New Roman" w:hint="eastAsia"/>
          <w:sz w:val="24"/>
          <w:szCs w:val="24"/>
        </w:rPr>
        <w:t>（</w:t>
      </w:r>
      <w:r>
        <w:rPr>
          <w:rFonts w:ascii="Times New Roman" w:hAnsi="Times New Roman" w:cs="Times New Roman" w:hint="eastAsia"/>
          <w:sz w:val="24"/>
          <w:szCs w:val="24"/>
        </w:rPr>
        <w:t>向上取整计算</w:t>
      </w:r>
      <w:r>
        <w:rPr>
          <w:rFonts w:ascii="Times New Roman" w:hAnsi="Times New Roman" w:cs="Times New Roman" w:hint="eastAsia"/>
          <w:sz w:val="24"/>
          <w:szCs w:val="24"/>
        </w:rPr>
        <w:t>）</w:t>
      </w:r>
      <w:r>
        <w:rPr>
          <w:rFonts w:ascii="Times New Roman" w:hAnsi="Times New Roman" w:cs="Times New Roman" w:hint="eastAsia"/>
          <w:sz w:val="24"/>
          <w:szCs w:val="24"/>
        </w:rPr>
        <w:t>限售期为</w:t>
      </w:r>
      <w:r>
        <w:rPr>
          <w:rFonts w:ascii="Times New Roman" w:hAnsi="Times New Roman" w:cs="Times New Roman" w:hint="eastAsia"/>
          <w:sz w:val="24"/>
          <w:szCs w:val="24"/>
        </w:rPr>
        <w:t>6</w:t>
      </w:r>
      <w:r>
        <w:rPr>
          <w:rFonts w:ascii="Times New Roman" w:hAnsi="Times New Roman" w:cs="Times New Roman" w:hint="eastAsia"/>
          <w:sz w:val="24"/>
          <w:szCs w:val="24"/>
        </w:rPr>
        <w:t>个月，限售期自本次发行股票在上交所上市交易之日起开始计算</w:t>
      </w:r>
      <w:r>
        <w:rPr>
          <w:rFonts w:ascii="Times New Roman" w:hAnsi="Times New Roman" w:cs="Times New Roman" w:hint="eastAsia"/>
          <w:sz w:val="24"/>
          <w:szCs w:val="24"/>
        </w:rPr>
        <w:t>；</w:t>
      </w:r>
      <w:r>
        <w:rPr>
          <w:rFonts w:ascii="Times New Roman" w:hAnsi="Times New Roman" w:cs="Times New Roman" w:hint="eastAsia"/>
          <w:sz w:val="24"/>
          <w:szCs w:val="24"/>
        </w:rPr>
        <w:t>90%</w:t>
      </w:r>
      <w:r>
        <w:rPr>
          <w:rFonts w:ascii="Times New Roman" w:hAnsi="Times New Roman" w:cs="Times New Roman" w:hint="eastAsia"/>
          <w:sz w:val="24"/>
          <w:szCs w:val="24"/>
        </w:rPr>
        <w:t>的股份无限售期，自本次发行股票在上交所上市交易之日起即可流通。</w:t>
      </w:r>
    </w:p>
    <w:p w:rsidR="00D36072" w:rsidRDefault="00DA712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投资者可访问本公司网站（</w:t>
      </w:r>
      <w:r>
        <w:rPr>
          <w:rFonts w:ascii="Times New Roman" w:hAnsi="Times New Roman" w:cs="Times New Roman"/>
          <w:sz w:val="24"/>
          <w:szCs w:val="24"/>
        </w:rPr>
        <w:t>www.cfund108.</w:t>
      </w:r>
      <w:bookmarkStart w:id="0" w:name="_GoBack"/>
      <w:bookmarkEnd w:id="0"/>
      <w:r>
        <w:rPr>
          <w:rFonts w:ascii="Times New Roman" w:hAnsi="Times New Roman" w:cs="Times New Roman"/>
          <w:sz w:val="24"/>
          <w:szCs w:val="24"/>
        </w:rPr>
        <w:t>com</w:t>
      </w:r>
      <w:r>
        <w:rPr>
          <w:rFonts w:ascii="Times New Roman" w:hAnsi="Times New Roman" w:cs="Times New Roman" w:hint="eastAsia"/>
          <w:sz w:val="24"/>
          <w:szCs w:val="24"/>
        </w:rPr>
        <w:t>），或拨打客户服务电话</w:t>
      </w:r>
      <w:r>
        <w:rPr>
          <w:rFonts w:ascii="Times New Roman" w:hAnsi="Times New Roman" w:cs="Times New Roman"/>
          <w:sz w:val="24"/>
          <w:szCs w:val="24"/>
        </w:rPr>
        <w:t>4009-108-108</w:t>
      </w:r>
      <w:r>
        <w:rPr>
          <w:rFonts w:ascii="Times New Roman" w:hAnsi="Times New Roman" w:cs="Times New Roman" w:hint="eastAsia"/>
          <w:sz w:val="24"/>
          <w:szCs w:val="24"/>
        </w:rPr>
        <w:t>咨询相关情况。</w:t>
      </w:r>
    </w:p>
    <w:p w:rsidR="00D36072" w:rsidRDefault="00DA712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特此公告。</w:t>
      </w:r>
    </w:p>
    <w:p w:rsidR="00D36072" w:rsidRDefault="00D36072">
      <w:pPr>
        <w:spacing w:line="360" w:lineRule="auto"/>
        <w:ind w:firstLineChars="200" w:firstLine="480"/>
        <w:jc w:val="left"/>
        <w:rPr>
          <w:rFonts w:ascii="Times New Roman" w:hAnsi="Times New Roman" w:cs="Times New Roman"/>
          <w:sz w:val="24"/>
          <w:szCs w:val="24"/>
        </w:rPr>
      </w:pPr>
    </w:p>
    <w:p w:rsidR="00D36072" w:rsidRDefault="00D36072">
      <w:pPr>
        <w:spacing w:line="360" w:lineRule="auto"/>
        <w:ind w:firstLineChars="200" w:firstLine="480"/>
        <w:jc w:val="left"/>
        <w:rPr>
          <w:rFonts w:ascii="Times New Roman" w:hAnsi="Times New Roman" w:cs="Times New Roman"/>
          <w:sz w:val="24"/>
          <w:szCs w:val="24"/>
        </w:rPr>
      </w:pPr>
    </w:p>
    <w:p w:rsidR="00D36072" w:rsidRDefault="00DA712A">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中信建投基金管理有限公司</w:t>
      </w:r>
    </w:p>
    <w:p w:rsidR="00D36072" w:rsidRDefault="00DA712A">
      <w:pPr>
        <w:spacing w:line="360" w:lineRule="auto"/>
        <w:jc w:val="right"/>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hint="eastAsia"/>
          <w:sz w:val="24"/>
          <w:szCs w:val="24"/>
        </w:rPr>
        <w:t>6</w:t>
      </w:r>
      <w:r>
        <w:rPr>
          <w:rFonts w:ascii="Times New Roman" w:hAnsi="Times New Roman" w:cs="Times New Roman"/>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4</w:t>
      </w:r>
      <w:r>
        <w:rPr>
          <w:rFonts w:ascii="Times New Roman" w:hAnsi="Times New Roman" w:cs="Times New Roman" w:hint="eastAsia"/>
          <w:sz w:val="24"/>
          <w:szCs w:val="24"/>
        </w:rPr>
        <w:t>日</w:t>
      </w:r>
    </w:p>
    <w:sectPr w:rsidR="00D36072" w:rsidSect="00D360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72" w:rsidRDefault="00D36072"/>
  </w:endnote>
  <w:endnote w:type="continuationSeparator" w:id="0">
    <w:p w:rsidR="00D36072" w:rsidRDefault="00D3607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72" w:rsidRDefault="00D36072"/>
  </w:footnote>
  <w:footnote w:type="continuationSeparator" w:id="0">
    <w:p w:rsidR="00D36072" w:rsidRDefault="00D3607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7E9"/>
    <w:rsid w:val="000077EE"/>
    <w:rsid w:val="00032B51"/>
    <w:rsid w:val="00053B2F"/>
    <w:rsid w:val="000678A3"/>
    <w:rsid w:val="000A1142"/>
    <w:rsid w:val="000B09C8"/>
    <w:rsid w:val="000B0F55"/>
    <w:rsid w:val="000B6654"/>
    <w:rsid w:val="00160133"/>
    <w:rsid w:val="001D6E6D"/>
    <w:rsid w:val="001E06D6"/>
    <w:rsid w:val="00237664"/>
    <w:rsid w:val="00241166"/>
    <w:rsid w:val="00241641"/>
    <w:rsid w:val="00271B13"/>
    <w:rsid w:val="00272D57"/>
    <w:rsid w:val="00282537"/>
    <w:rsid w:val="002D5829"/>
    <w:rsid w:val="003023C3"/>
    <w:rsid w:val="00375CA8"/>
    <w:rsid w:val="00396883"/>
    <w:rsid w:val="003C3BB4"/>
    <w:rsid w:val="003E2884"/>
    <w:rsid w:val="003F5292"/>
    <w:rsid w:val="00403EB1"/>
    <w:rsid w:val="004160A8"/>
    <w:rsid w:val="00445900"/>
    <w:rsid w:val="00456D0B"/>
    <w:rsid w:val="004B4756"/>
    <w:rsid w:val="004E5844"/>
    <w:rsid w:val="0054002B"/>
    <w:rsid w:val="00574C0D"/>
    <w:rsid w:val="00577CD9"/>
    <w:rsid w:val="005E7E77"/>
    <w:rsid w:val="00623172"/>
    <w:rsid w:val="00696ECC"/>
    <w:rsid w:val="006B7C62"/>
    <w:rsid w:val="006C44A4"/>
    <w:rsid w:val="00734F4D"/>
    <w:rsid w:val="007628AE"/>
    <w:rsid w:val="00762BDC"/>
    <w:rsid w:val="007D5AEE"/>
    <w:rsid w:val="00810D1E"/>
    <w:rsid w:val="008D27B3"/>
    <w:rsid w:val="00913D20"/>
    <w:rsid w:val="0092081A"/>
    <w:rsid w:val="00937AC4"/>
    <w:rsid w:val="00974183"/>
    <w:rsid w:val="00974A20"/>
    <w:rsid w:val="009822B4"/>
    <w:rsid w:val="009D7DA3"/>
    <w:rsid w:val="00A76370"/>
    <w:rsid w:val="00AC06F6"/>
    <w:rsid w:val="00AF4479"/>
    <w:rsid w:val="00B123DD"/>
    <w:rsid w:val="00B76CAD"/>
    <w:rsid w:val="00BC4592"/>
    <w:rsid w:val="00C014B6"/>
    <w:rsid w:val="00C24EA9"/>
    <w:rsid w:val="00C44676"/>
    <w:rsid w:val="00CA600E"/>
    <w:rsid w:val="00CB15FD"/>
    <w:rsid w:val="00CB1B22"/>
    <w:rsid w:val="00CD0824"/>
    <w:rsid w:val="00CE635F"/>
    <w:rsid w:val="00CF584C"/>
    <w:rsid w:val="00CF76DC"/>
    <w:rsid w:val="00D14F0C"/>
    <w:rsid w:val="00D152D8"/>
    <w:rsid w:val="00D36072"/>
    <w:rsid w:val="00D7647F"/>
    <w:rsid w:val="00DA712A"/>
    <w:rsid w:val="00DD0431"/>
    <w:rsid w:val="00E01189"/>
    <w:rsid w:val="00E05F44"/>
    <w:rsid w:val="00E11A88"/>
    <w:rsid w:val="00E16A04"/>
    <w:rsid w:val="00E24040"/>
    <w:rsid w:val="00E45927"/>
    <w:rsid w:val="00E507E9"/>
    <w:rsid w:val="00E551CF"/>
    <w:rsid w:val="00E75A1E"/>
    <w:rsid w:val="00E84E2F"/>
    <w:rsid w:val="00EC4E2F"/>
    <w:rsid w:val="00ED4306"/>
    <w:rsid w:val="00EF1428"/>
    <w:rsid w:val="00F81641"/>
    <w:rsid w:val="00FE10B0"/>
    <w:rsid w:val="03385802"/>
    <w:rsid w:val="07C80074"/>
    <w:rsid w:val="085B3B1D"/>
    <w:rsid w:val="08AB5A48"/>
    <w:rsid w:val="126476C5"/>
    <w:rsid w:val="13182240"/>
    <w:rsid w:val="17D77DA9"/>
    <w:rsid w:val="1B37273F"/>
    <w:rsid w:val="1C394ADA"/>
    <w:rsid w:val="1D3D0CC3"/>
    <w:rsid w:val="1E47263C"/>
    <w:rsid w:val="1FFB37C4"/>
    <w:rsid w:val="20A55590"/>
    <w:rsid w:val="24787057"/>
    <w:rsid w:val="265A565A"/>
    <w:rsid w:val="26FE1506"/>
    <w:rsid w:val="270951F1"/>
    <w:rsid w:val="2BB17162"/>
    <w:rsid w:val="2FA47C66"/>
    <w:rsid w:val="31C02DAE"/>
    <w:rsid w:val="39B131B3"/>
    <w:rsid w:val="40AC28E8"/>
    <w:rsid w:val="4686396C"/>
    <w:rsid w:val="4817058B"/>
    <w:rsid w:val="52811D31"/>
    <w:rsid w:val="53193EB0"/>
    <w:rsid w:val="539A61B8"/>
    <w:rsid w:val="573323C5"/>
    <w:rsid w:val="58340C31"/>
    <w:rsid w:val="58454C94"/>
    <w:rsid w:val="58472A99"/>
    <w:rsid w:val="58B15D77"/>
    <w:rsid w:val="59E438F8"/>
    <w:rsid w:val="5AED349F"/>
    <w:rsid w:val="5EC03917"/>
    <w:rsid w:val="5FD33C17"/>
    <w:rsid w:val="601B093B"/>
    <w:rsid w:val="637B0F6D"/>
    <w:rsid w:val="64184643"/>
    <w:rsid w:val="64443215"/>
    <w:rsid w:val="64A01939"/>
    <w:rsid w:val="64A74572"/>
    <w:rsid w:val="6921406F"/>
    <w:rsid w:val="696A149D"/>
    <w:rsid w:val="6ED9555B"/>
    <w:rsid w:val="71251A34"/>
    <w:rsid w:val="73AE2EE4"/>
    <w:rsid w:val="74C66EA0"/>
    <w:rsid w:val="77BC358D"/>
    <w:rsid w:val="788053BF"/>
    <w:rsid w:val="7C256E3D"/>
    <w:rsid w:val="7E40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0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36072"/>
    <w:rPr>
      <w:sz w:val="18"/>
      <w:szCs w:val="18"/>
    </w:rPr>
  </w:style>
  <w:style w:type="paragraph" w:styleId="a4">
    <w:name w:val="footer"/>
    <w:basedOn w:val="a"/>
    <w:link w:val="Char0"/>
    <w:uiPriority w:val="99"/>
    <w:unhideWhenUsed/>
    <w:qFormat/>
    <w:rsid w:val="00D3607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3607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360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D36072"/>
    <w:rPr>
      <w:sz w:val="18"/>
      <w:szCs w:val="18"/>
    </w:rPr>
  </w:style>
  <w:style w:type="character" w:customStyle="1" w:styleId="Char0">
    <w:name w:val="页脚 Char"/>
    <w:basedOn w:val="a0"/>
    <w:link w:val="a4"/>
    <w:uiPriority w:val="99"/>
    <w:qFormat/>
    <w:rsid w:val="00D36072"/>
    <w:rPr>
      <w:sz w:val="18"/>
      <w:szCs w:val="18"/>
    </w:rPr>
  </w:style>
  <w:style w:type="character" w:customStyle="1" w:styleId="Char">
    <w:name w:val="批注框文本 Char"/>
    <w:basedOn w:val="a0"/>
    <w:link w:val="a3"/>
    <w:uiPriority w:val="99"/>
    <w:semiHidden/>
    <w:qFormat/>
    <w:rsid w:val="00D36072"/>
    <w:rPr>
      <w:kern w:val="2"/>
      <w:sz w:val="18"/>
      <w:szCs w:val="18"/>
    </w:rPr>
  </w:style>
  <w:style w:type="paragraph" w:customStyle="1" w:styleId="1">
    <w:name w:val="修订1"/>
    <w:hidden/>
    <w:uiPriority w:val="99"/>
    <w:semiHidden/>
    <w:qFormat/>
    <w:rsid w:val="00D3607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4</DocSecurity>
  <Lines>9</Lines>
  <Paragraphs>2</Paragraphs>
  <ScaleCrop>false</ScaleCrop>
  <Company>CNSTOCK</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F661D911788C42FC8A46B40402087EC4</vt:lpwstr>
  </property>
</Properties>
</file>