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77" w:rsidRDefault="00345A77" w:rsidP="00EE3451">
      <w:pPr>
        <w:spacing w:line="360" w:lineRule="auto"/>
        <w:ind w:rightChars="38" w:right="80"/>
        <w:jc w:val="center"/>
        <w:rPr>
          <w:b/>
          <w:sz w:val="24"/>
        </w:rPr>
      </w:pPr>
      <w:bookmarkStart w:id="0" w:name="_Toc249760023"/>
      <w:r>
        <w:rPr>
          <w:rFonts w:hint="eastAsia"/>
          <w:b/>
          <w:sz w:val="24"/>
        </w:rPr>
        <w:t>华夏基金管理有限公司</w:t>
      </w:r>
    </w:p>
    <w:p w:rsidR="00774D56" w:rsidRDefault="00345A77" w:rsidP="008F724A">
      <w:pPr>
        <w:spacing w:line="360" w:lineRule="auto"/>
        <w:ind w:rightChars="38" w:right="80"/>
        <w:jc w:val="center"/>
        <w:rPr>
          <w:rFonts w:hAnsi="宋体"/>
          <w:b/>
          <w:bCs/>
          <w:color w:val="000000"/>
          <w:sz w:val="24"/>
        </w:rPr>
      </w:pPr>
      <w:r>
        <w:rPr>
          <w:rFonts w:hint="eastAsia"/>
          <w:b/>
          <w:sz w:val="24"/>
        </w:rPr>
        <w:t>关于</w:t>
      </w:r>
      <w:r w:rsidR="009C6994" w:rsidRPr="009C6994">
        <w:rPr>
          <w:rFonts w:hint="eastAsia"/>
          <w:b/>
          <w:sz w:val="24"/>
        </w:rPr>
        <w:t>华夏鼎瑞三个月定期开放债券型发起式证券投资基金</w:t>
      </w:r>
      <w:r w:rsidR="00774D56">
        <w:rPr>
          <w:rFonts w:hint="eastAsia"/>
          <w:b/>
          <w:sz w:val="24"/>
        </w:rPr>
        <w:t>提前</w:t>
      </w:r>
      <w:r w:rsidR="00061734">
        <w:rPr>
          <w:rFonts w:hAnsi="宋体" w:hint="eastAsia"/>
          <w:b/>
          <w:bCs/>
          <w:color w:val="000000"/>
          <w:sz w:val="24"/>
        </w:rPr>
        <w:t>结束</w:t>
      </w:r>
      <w:r w:rsidR="00774D56">
        <w:rPr>
          <w:rFonts w:hAnsi="宋体" w:hint="eastAsia"/>
          <w:b/>
          <w:bCs/>
          <w:color w:val="000000"/>
          <w:sz w:val="24"/>
        </w:rPr>
        <w:t>开放期</w:t>
      </w:r>
      <w:r w:rsidR="00061734">
        <w:rPr>
          <w:rFonts w:hAnsi="宋体" w:hint="eastAsia"/>
          <w:b/>
          <w:bCs/>
          <w:color w:val="000000"/>
          <w:sz w:val="24"/>
        </w:rPr>
        <w:t>并</w:t>
      </w:r>
    </w:p>
    <w:p w:rsidR="00FD68CA" w:rsidRPr="000C17CA" w:rsidRDefault="00061734" w:rsidP="008F724A">
      <w:pPr>
        <w:spacing w:line="360" w:lineRule="auto"/>
        <w:ind w:rightChars="38" w:right="80"/>
        <w:jc w:val="center"/>
        <w:rPr>
          <w:rFonts w:hAnsi="宋体"/>
          <w:b/>
          <w:bCs/>
          <w:color w:val="000000"/>
          <w:sz w:val="24"/>
        </w:rPr>
      </w:pPr>
      <w:r>
        <w:rPr>
          <w:rFonts w:hAnsi="宋体" w:hint="eastAsia"/>
          <w:b/>
          <w:bCs/>
          <w:color w:val="000000"/>
          <w:sz w:val="24"/>
        </w:rPr>
        <w:t>进入下一封闭</w:t>
      </w:r>
      <w:r w:rsidR="00345A77">
        <w:rPr>
          <w:rFonts w:hAnsi="宋体" w:hint="eastAsia"/>
          <w:b/>
          <w:bCs/>
          <w:color w:val="000000"/>
          <w:sz w:val="24"/>
        </w:rPr>
        <w:t>期的</w:t>
      </w:r>
      <w:r w:rsidR="00FD68CA" w:rsidRPr="001F09D4">
        <w:rPr>
          <w:rFonts w:hAnsi="宋体"/>
          <w:b/>
          <w:bCs/>
          <w:color w:val="000000"/>
          <w:sz w:val="24"/>
        </w:rPr>
        <w:t>公告</w:t>
      </w:r>
    </w:p>
    <w:p w:rsidR="00FD68CA" w:rsidRPr="00503F93" w:rsidRDefault="00FD68CA" w:rsidP="00FD68CA">
      <w:pPr>
        <w:spacing w:line="360" w:lineRule="auto"/>
        <w:jc w:val="center"/>
        <w:rPr>
          <w:color w:val="000000"/>
          <w:sz w:val="24"/>
        </w:rPr>
      </w:pPr>
    </w:p>
    <w:bookmarkEnd w:id="0"/>
    <w:p w:rsidR="0048293C" w:rsidRPr="00FB7E25" w:rsidRDefault="007A3286" w:rsidP="00345A77">
      <w:pPr>
        <w:spacing w:line="360" w:lineRule="auto"/>
        <w:ind w:firstLineChars="200" w:firstLine="480"/>
        <w:rPr>
          <w:b/>
          <w:kern w:val="0"/>
          <w:sz w:val="24"/>
        </w:rPr>
      </w:pPr>
      <w:r>
        <w:rPr>
          <w:rFonts w:hint="eastAsia"/>
          <w:kern w:val="0"/>
          <w:sz w:val="24"/>
        </w:rPr>
        <w:t>根据华夏</w:t>
      </w:r>
      <w:r>
        <w:rPr>
          <w:kern w:val="0"/>
          <w:sz w:val="24"/>
        </w:rPr>
        <w:t>基金管理有限公司（</w:t>
      </w:r>
      <w:r>
        <w:rPr>
          <w:rFonts w:hint="eastAsia"/>
          <w:kern w:val="0"/>
          <w:sz w:val="24"/>
        </w:rPr>
        <w:t>以下</w:t>
      </w:r>
      <w:r>
        <w:rPr>
          <w:kern w:val="0"/>
          <w:sz w:val="24"/>
        </w:rPr>
        <w:t>简称</w:t>
      </w:r>
      <w:r w:rsidRPr="00035ED1">
        <w:rPr>
          <w:kern w:val="0"/>
          <w:sz w:val="24"/>
        </w:rPr>
        <w:t>“</w:t>
      </w:r>
      <w:r w:rsidRPr="00035ED1">
        <w:rPr>
          <w:rFonts w:hint="eastAsia"/>
          <w:kern w:val="0"/>
          <w:sz w:val="24"/>
        </w:rPr>
        <w:t>本公司</w:t>
      </w:r>
      <w:r w:rsidRPr="00035ED1">
        <w:rPr>
          <w:kern w:val="0"/>
          <w:sz w:val="24"/>
        </w:rPr>
        <w:t>”</w:t>
      </w:r>
      <w:r>
        <w:rPr>
          <w:kern w:val="0"/>
          <w:sz w:val="24"/>
        </w:rPr>
        <w:t>）</w:t>
      </w:r>
      <w:r>
        <w:rPr>
          <w:rFonts w:hint="eastAsia"/>
          <w:kern w:val="0"/>
          <w:sz w:val="24"/>
        </w:rPr>
        <w:t>于</w:t>
      </w:r>
      <w:r w:rsidR="0072318B" w:rsidRPr="0072318B">
        <w:rPr>
          <w:rFonts w:hint="eastAsia"/>
          <w:kern w:val="0"/>
          <w:sz w:val="24"/>
        </w:rPr>
        <w:t>202</w:t>
      </w:r>
      <w:r w:rsidR="00E059E9">
        <w:rPr>
          <w:kern w:val="0"/>
          <w:sz w:val="24"/>
        </w:rPr>
        <w:t>6</w:t>
      </w:r>
      <w:r w:rsidR="0072318B" w:rsidRPr="0072318B">
        <w:rPr>
          <w:rFonts w:hint="eastAsia"/>
          <w:kern w:val="0"/>
          <w:sz w:val="24"/>
        </w:rPr>
        <w:t>年</w:t>
      </w:r>
      <w:r w:rsidR="00E059E9">
        <w:rPr>
          <w:kern w:val="0"/>
          <w:sz w:val="24"/>
        </w:rPr>
        <w:t>1</w:t>
      </w:r>
      <w:r w:rsidR="0072318B" w:rsidRPr="0072318B">
        <w:rPr>
          <w:rFonts w:hint="eastAsia"/>
          <w:kern w:val="0"/>
          <w:sz w:val="24"/>
        </w:rPr>
        <w:t>月</w:t>
      </w:r>
      <w:r w:rsidR="002F48F1">
        <w:rPr>
          <w:kern w:val="0"/>
          <w:sz w:val="24"/>
        </w:rPr>
        <w:t>27</w:t>
      </w:r>
      <w:r w:rsidR="0072318B" w:rsidRPr="0072318B">
        <w:rPr>
          <w:rFonts w:hint="eastAsia"/>
          <w:kern w:val="0"/>
          <w:sz w:val="24"/>
        </w:rPr>
        <w:t>日</w:t>
      </w:r>
      <w:r w:rsidR="00EA1341">
        <w:rPr>
          <w:rFonts w:hint="eastAsia"/>
          <w:kern w:val="0"/>
          <w:sz w:val="24"/>
        </w:rPr>
        <w:t>发布</w:t>
      </w:r>
      <w:r>
        <w:rPr>
          <w:rFonts w:hint="eastAsia"/>
          <w:kern w:val="0"/>
          <w:sz w:val="24"/>
        </w:rPr>
        <w:t>的《</w:t>
      </w:r>
      <w:r w:rsidR="009C6994">
        <w:rPr>
          <w:rFonts w:hint="eastAsia"/>
          <w:kern w:val="0"/>
          <w:sz w:val="24"/>
        </w:rPr>
        <w:t>华夏鼎瑞三个月定期开放债券型发起式证券投资基金</w:t>
      </w:r>
      <w:r w:rsidR="00F1503E" w:rsidRPr="00F1503E">
        <w:rPr>
          <w:rFonts w:hint="eastAsia"/>
          <w:kern w:val="0"/>
          <w:sz w:val="24"/>
        </w:rPr>
        <w:t>开放日常申购、赎回</w:t>
      </w:r>
      <w:r w:rsidR="009C6994">
        <w:rPr>
          <w:rFonts w:hint="eastAsia"/>
          <w:kern w:val="0"/>
          <w:sz w:val="24"/>
        </w:rPr>
        <w:t>、转换</w:t>
      </w:r>
      <w:r w:rsidR="00F1503E" w:rsidRPr="00F1503E">
        <w:rPr>
          <w:rFonts w:hint="eastAsia"/>
          <w:kern w:val="0"/>
          <w:sz w:val="24"/>
        </w:rPr>
        <w:t>业务的公告</w:t>
      </w:r>
      <w:r>
        <w:rPr>
          <w:rFonts w:hint="eastAsia"/>
          <w:kern w:val="0"/>
          <w:sz w:val="24"/>
        </w:rPr>
        <w:t>》</w:t>
      </w:r>
      <w:r w:rsidR="00F1503E">
        <w:rPr>
          <w:rFonts w:hint="eastAsia"/>
          <w:kern w:val="0"/>
          <w:sz w:val="24"/>
        </w:rPr>
        <w:t>及</w:t>
      </w:r>
      <w:r w:rsidR="001F53DF">
        <w:rPr>
          <w:rFonts w:hint="eastAsia"/>
          <w:kern w:val="0"/>
          <w:sz w:val="24"/>
        </w:rPr>
        <w:t>《</w:t>
      </w:r>
      <w:r w:rsidR="009C6994" w:rsidRPr="009C6994">
        <w:rPr>
          <w:rFonts w:hint="eastAsia"/>
          <w:kern w:val="0"/>
          <w:sz w:val="24"/>
        </w:rPr>
        <w:t>华夏基金管理有限公司关于限制华夏鼎瑞三个月定期开放债券型发起式证券投资基金申购及转换转入业务的公告</w:t>
      </w:r>
      <w:r w:rsidR="001F53DF">
        <w:rPr>
          <w:rFonts w:hint="eastAsia"/>
          <w:kern w:val="0"/>
          <w:sz w:val="24"/>
        </w:rPr>
        <w:t>》</w:t>
      </w:r>
      <w:r>
        <w:rPr>
          <w:rFonts w:hint="eastAsia"/>
          <w:kern w:val="0"/>
          <w:sz w:val="24"/>
        </w:rPr>
        <w:t>，</w:t>
      </w:r>
      <w:r w:rsidR="009C6994">
        <w:rPr>
          <w:rFonts w:hint="eastAsia"/>
          <w:kern w:val="0"/>
          <w:sz w:val="24"/>
        </w:rPr>
        <w:t>华夏鼎瑞三个月定期开放债券型发起式证券投资基金</w:t>
      </w:r>
      <w:r w:rsidR="00101930" w:rsidRPr="00236BED">
        <w:rPr>
          <w:rFonts w:hint="eastAsia"/>
          <w:kern w:val="0"/>
          <w:sz w:val="24"/>
        </w:rPr>
        <w:t>（以下简称</w:t>
      </w:r>
      <w:r w:rsidR="00655B94">
        <w:rPr>
          <w:rFonts w:hint="eastAsia"/>
          <w:kern w:val="0"/>
          <w:sz w:val="24"/>
        </w:rPr>
        <w:t>“本基金</w:t>
      </w:r>
      <w:r w:rsidR="00655B94" w:rsidRPr="00035ED1">
        <w:rPr>
          <w:kern w:val="0"/>
          <w:sz w:val="24"/>
        </w:rPr>
        <w:t>”</w:t>
      </w:r>
      <w:r w:rsidR="00101930" w:rsidRPr="00035ED1">
        <w:rPr>
          <w:rFonts w:hint="eastAsia"/>
          <w:kern w:val="0"/>
          <w:sz w:val="24"/>
        </w:rPr>
        <w:t>，</w:t>
      </w:r>
      <w:r w:rsidR="00E51D6F" w:rsidRPr="00035ED1">
        <w:rPr>
          <w:rFonts w:hint="eastAsia"/>
          <w:kern w:val="0"/>
          <w:sz w:val="24"/>
        </w:rPr>
        <w:t>A</w:t>
      </w:r>
      <w:r w:rsidR="00E51D6F" w:rsidRPr="00035ED1">
        <w:rPr>
          <w:rFonts w:hint="eastAsia"/>
          <w:kern w:val="0"/>
          <w:sz w:val="24"/>
        </w:rPr>
        <w:t>类基金份额</w:t>
      </w:r>
      <w:r w:rsidR="00101930" w:rsidRPr="00035ED1">
        <w:rPr>
          <w:rFonts w:hint="eastAsia"/>
          <w:kern w:val="0"/>
          <w:sz w:val="24"/>
        </w:rPr>
        <w:t>代码：</w:t>
      </w:r>
      <w:r w:rsidR="009C6994" w:rsidRPr="009C6994">
        <w:rPr>
          <w:kern w:val="0"/>
          <w:sz w:val="24"/>
        </w:rPr>
        <w:t>004921</w:t>
      </w:r>
      <w:r w:rsidR="00E51D6F" w:rsidRPr="00035ED1">
        <w:rPr>
          <w:rFonts w:hint="eastAsia"/>
          <w:kern w:val="0"/>
          <w:sz w:val="24"/>
        </w:rPr>
        <w:t>，</w:t>
      </w:r>
      <w:r w:rsidR="00E51D6F" w:rsidRPr="00035ED1">
        <w:rPr>
          <w:rFonts w:hint="eastAsia"/>
          <w:kern w:val="0"/>
          <w:sz w:val="24"/>
        </w:rPr>
        <w:t>C</w:t>
      </w:r>
      <w:r w:rsidR="00E51D6F" w:rsidRPr="00035ED1">
        <w:rPr>
          <w:rFonts w:hint="eastAsia"/>
          <w:kern w:val="0"/>
          <w:sz w:val="24"/>
        </w:rPr>
        <w:t>类基金份额代码：</w:t>
      </w:r>
      <w:r w:rsidR="009C6994" w:rsidRPr="009C6994">
        <w:rPr>
          <w:kern w:val="0"/>
          <w:sz w:val="24"/>
        </w:rPr>
        <w:t>004922</w:t>
      </w:r>
      <w:r w:rsidR="00101930" w:rsidRPr="00035ED1">
        <w:rPr>
          <w:rFonts w:hint="eastAsia"/>
          <w:kern w:val="0"/>
          <w:sz w:val="24"/>
        </w:rPr>
        <w:t>）</w:t>
      </w:r>
      <w:r w:rsidR="008A4F03" w:rsidRPr="00035ED1">
        <w:rPr>
          <w:rFonts w:hint="eastAsia"/>
          <w:kern w:val="0"/>
          <w:sz w:val="24"/>
        </w:rPr>
        <w:t>原定</w:t>
      </w:r>
      <w:r w:rsidR="003D2087" w:rsidRPr="00035ED1">
        <w:rPr>
          <w:rFonts w:hint="eastAsia"/>
          <w:kern w:val="0"/>
          <w:sz w:val="24"/>
        </w:rPr>
        <w:t>开放期为</w:t>
      </w:r>
      <w:bookmarkStart w:id="1" w:name="OLE_LINK2"/>
      <w:r w:rsidR="00E059E9" w:rsidRPr="00307EFC">
        <w:rPr>
          <w:rFonts w:hint="eastAsia"/>
          <w:bCs/>
          <w:color w:val="000000"/>
          <w:sz w:val="24"/>
        </w:rPr>
        <w:t>202</w:t>
      </w:r>
      <w:r w:rsidR="00E059E9">
        <w:rPr>
          <w:bCs/>
          <w:color w:val="000000"/>
          <w:sz w:val="24"/>
        </w:rPr>
        <w:t>6</w:t>
      </w:r>
      <w:r w:rsidR="00E059E9" w:rsidRPr="00307EFC">
        <w:rPr>
          <w:rFonts w:hint="eastAsia"/>
          <w:bCs/>
          <w:color w:val="000000"/>
          <w:sz w:val="24"/>
        </w:rPr>
        <w:t>年</w:t>
      </w:r>
      <w:r w:rsidR="00E059E9">
        <w:rPr>
          <w:bCs/>
          <w:color w:val="000000"/>
          <w:sz w:val="24"/>
        </w:rPr>
        <w:t>1</w:t>
      </w:r>
      <w:r w:rsidR="00E059E9" w:rsidRPr="00307EFC">
        <w:rPr>
          <w:rFonts w:hint="eastAsia"/>
          <w:bCs/>
          <w:color w:val="000000"/>
          <w:sz w:val="24"/>
        </w:rPr>
        <w:t>月</w:t>
      </w:r>
      <w:r w:rsidR="00E059E9">
        <w:rPr>
          <w:bCs/>
          <w:color w:val="000000"/>
          <w:sz w:val="24"/>
        </w:rPr>
        <w:t>29</w:t>
      </w:r>
      <w:r w:rsidR="00E059E9" w:rsidRPr="00307EFC">
        <w:rPr>
          <w:rFonts w:hint="eastAsia"/>
          <w:bCs/>
          <w:color w:val="000000"/>
          <w:sz w:val="24"/>
        </w:rPr>
        <w:t>日</w:t>
      </w:r>
      <w:r w:rsidR="00E059E9">
        <w:rPr>
          <w:rFonts w:hint="eastAsia"/>
          <w:bCs/>
          <w:color w:val="000000"/>
          <w:sz w:val="24"/>
        </w:rPr>
        <w:t>起</w:t>
      </w:r>
      <w:r w:rsidR="00E059E9" w:rsidRPr="0079491F">
        <w:rPr>
          <w:rFonts w:hint="eastAsia"/>
          <w:bCs/>
          <w:color w:val="000000"/>
          <w:sz w:val="24"/>
        </w:rPr>
        <w:t>至</w:t>
      </w:r>
      <w:r w:rsidR="00E059E9" w:rsidRPr="001B734D">
        <w:rPr>
          <w:rFonts w:hint="eastAsia"/>
          <w:bCs/>
          <w:color w:val="000000"/>
          <w:sz w:val="24"/>
        </w:rPr>
        <w:t>202</w:t>
      </w:r>
      <w:r w:rsidR="00E059E9">
        <w:rPr>
          <w:bCs/>
          <w:color w:val="000000"/>
          <w:sz w:val="24"/>
        </w:rPr>
        <w:t>6</w:t>
      </w:r>
      <w:r w:rsidR="00E059E9" w:rsidRPr="001B734D">
        <w:rPr>
          <w:rFonts w:hint="eastAsia"/>
          <w:bCs/>
          <w:color w:val="000000"/>
          <w:sz w:val="24"/>
        </w:rPr>
        <w:t>年</w:t>
      </w:r>
      <w:r w:rsidR="00E059E9">
        <w:rPr>
          <w:bCs/>
          <w:color w:val="000000"/>
          <w:sz w:val="24"/>
        </w:rPr>
        <w:t>3</w:t>
      </w:r>
      <w:r w:rsidR="00E059E9" w:rsidRPr="0079491F">
        <w:rPr>
          <w:rFonts w:hint="eastAsia"/>
          <w:bCs/>
          <w:color w:val="000000"/>
          <w:sz w:val="24"/>
        </w:rPr>
        <w:t>月</w:t>
      </w:r>
      <w:r w:rsidR="00E059E9">
        <w:rPr>
          <w:bCs/>
          <w:color w:val="000000"/>
          <w:sz w:val="24"/>
        </w:rPr>
        <w:t>5</w:t>
      </w:r>
      <w:r w:rsidR="00E059E9" w:rsidRPr="0079491F">
        <w:rPr>
          <w:rFonts w:hint="eastAsia"/>
          <w:bCs/>
          <w:color w:val="000000"/>
          <w:sz w:val="24"/>
        </w:rPr>
        <w:t>日</w:t>
      </w:r>
      <w:bookmarkEnd w:id="1"/>
      <w:r w:rsidR="008A4F03" w:rsidRPr="00035ED1">
        <w:rPr>
          <w:rFonts w:hint="eastAsia"/>
          <w:kern w:val="0"/>
          <w:sz w:val="24"/>
        </w:rPr>
        <w:t>（含</w:t>
      </w:r>
      <w:r w:rsidR="008A4F03" w:rsidRPr="00035ED1">
        <w:rPr>
          <w:kern w:val="0"/>
          <w:sz w:val="24"/>
        </w:rPr>
        <w:t>）</w:t>
      </w:r>
      <w:r w:rsidR="008B1E71" w:rsidRPr="00035ED1">
        <w:rPr>
          <w:rFonts w:hint="eastAsia"/>
          <w:kern w:val="0"/>
          <w:sz w:val="24"/>
        </w:rPr>
        <w:t>期间</w:t>
      </w:r>
      <w:r w:rsidRPr="00035ED1">
        <w:rPr>
          <w:kern w:val="0"/>
          <w:sz w:val="24"/>
        </w:rPr>
        <w:t>，开放期内</w:t>
      </w:r>
      <w:r w:rsidR="00BB0287" w:rsidRPr="00035ED1">
        <w:rPr>
          <w:rFonts w:hint="eastAsia"/>
          <w:kern w:val="0"/>
          <w:sz w:val="24"/>
        </w:rPr>
        <w:t>本基金</w:t>
      </w:r>
      <w:r w:rsidR="00DD7872" w:rsidRPr="00035ED1">
        <w:rPr>
          <w:rFonts w:hint="eastAsia"/>
          <w:kern w:val="0"/>
          <w:sz w:val="24"/>
        </w:rPr>
        <w:t>开放</w:t>
      </w:r>
      <w:r w:rsidRPr="00035ED1">
        <w:rPr>
          <w:kern w:val="0"/>
          <w:sz w:val="24"/>
        </w:rPr>
        <w:t>申购、赎回</w:t>
      </w:r>
      <w:r w:rsidR="009C6994">
        <w:rPr>
          <w:rFonts w:hint="eastAsia"/>
          <w:kern w:val="0"/>
          <w:sz w:val="24"/>
        </w:rPr>
        <w:t>、</w:t>
      </w:r>
      <w:r w:rsidR="009C6994">
        <w:rPr>
          <w:kern w:val="0"/>
          <w:sz w:val="24"/>
        </w:rPr>
        <w:t>转换</w:t>
      </w:r>
      <w:r w:rsidRPr="00035ED1">
        <w:rPr>
          <w:kern w:val="0"/>
          <w:sz w:val="24"/>
        </w:rPr>
        <w:t>业务</w:t>
      </w:r>
      <w:r w:rsidR="001F53DF" w:rsidRPr="00035ED1">
        <w:rPr>
          <w:rFonts w:hint="eastAsia"/>
          <w:kern w:val="0"/>
          <w:sz w:val="24"/>
        </w:rPr>
        <w:t>，</w:t>
      </w:r>
      <w:r w:rsidR="00AF706C" w:rsidRPr="00C07A5D">
        <w:rPr>
          <w:rFonts w:hint="eastAsia"/>
          <w:bCs/>
          <w:color w:val="000000"/>
          <w:sz w:val="24"/>
        </w:rPr>
        <w:t>并对申购</w:t>
      </w:r>
      <w:r w:rsidR="00AF706C">
        <w:rPr>
          <w:rFonts w:hint="eastAsia"/>
          <w:bCs/>
          <w:color w:val="000000"/>
          <w:sz w:val="24"/>
        </w:rPr>
        <w:t>及转换转入</w:t>
      </w:r>
      <w:r w:rsidR="00AF706C" w:rsidRPr="00C07A5D">
        <w:rPr>
          <w:rFonts w:hint="eastAsia"/>
          <w:bCs/>
          <w:color w:val="000000"/>
          <w:sz w:val="24"/>
        </w:rPr>
        <w:t>业务进行限制，即</w:t>
      </w:r>
      <w:r w:rsidR="00AF706C">
        <w:rPr>
          <w:rFonts w:hint="eastAsia"/>
          <w:bCs/>
          <w:color w:val="000000"/>
          <w:sz w:val="24"/>
        </w:rPr>
        <w:t>开放期内</w:t>
      </w:r>
      <w:r w:rsidR="00AF706C" w:rsidRPr="0079491F">
        <w:rPr>
          <w:rFonts w:hint="eastAsia"/>
          <w:bCs/>
          <w:kern w:val="0"/>
          <w:sz w:val="24"/>
        </w:rPr>
        <w:t>单个投资人单日累计申购</w:t>
      </w:r>
      <w:r w:rsidR="00AF706C">
        <w:rPr>
          <w:rFonts w:hint="eastAsia"/>
          <w:bCs/>
          <w:kern w:val="0"/>
          <w:sz w:val="24"/>
        </w:rPr>
        <w:t>及转换转入申请</w:t>
      </w:r>
      <w:r w:rsidR="00AF706C" w:rsidRPr="0079491F">
        <w:rPr>
          <w:rFonts w:hint="eastAsia"/>
          <w:bCs/>
          <w:kern w:val="0"/>
          <w:sz w:val="24"/>
        </w:rPr>
        <w:t>本基金</w:t>
      </w:r>
      <w:r w:rsidR="00AF706C" w:rsidRPr="0079491F">
        <w:rPr>
          <w:rFonts w:hint="eastAsia"/>
          <w:bCs/>
          <w:kern w:val="0"/>
          <w:sz w:val="24"/>
        </w:rPr>
        <w:t>A</w:t>
      </w:r>
      <w:r w:rsidR="00AF706C" w:rsidRPr="00447F30">
        <w:rPr>
          <w:rFonts w:hint="eastAsia"/>
          <w:kern w:val="0"/>
          <w:sz w:val="24"/>
        </w:rPr>
        <w:t>类或</w:t>
      </w:r>
      <w:r w:rsidR="00AF706C" w:rsidRPr="00447F30">
        <w:rPr>
          <w:rFonts w:hint="eastAsia"/>
          <w:kern w:val="0"/>
          <w:sz w:val="24"/>
        </w:rPr>
        <w:t>C</w:t>
      </w:r>
      <w:r w:rsidR="00AF706C" w:rsidRPr="00447F30">
        <w:rPr>
          <w:rFonts w:hint="eastAsia"/>
          <w:kern w:val="0"/>
          <w:sz w:val="24"/>
        </w:rPr>
        <w:t>类基金</w:t>
      </w:r>
      <w:bookmarkStart w:id="2" w:name="_GoBack"/>
      <w:bookmarkEnd w:id="2"/>
      <w:r w:rsidR="00AF706C" w:rsidRPr="00447F30">
        <w:rPr>
          <w:rFonts w:hint="eastAsia"/>
          <w:kern w:val="0"/>
          <w:sz w:val="24"/>
        </w:rPr>
        <w:t>份额的合计申请金额各类别均应不超过人民币</w:t>
      </w:r>
      <w:r w:rsidR="00AF706C" w:rsidRPr="00447F30">
        <w:rPr>
          <w:kern w:val="0"/>
          <w:sz w:val="24"/>
        </w:rPr>
        <w:t>1</w:t>
      </w:r>
      <w:r w:rsidR="00AF706C" w:rsidRPr="00447F30">
        <w:rPr>
          <w:rFonts w:hint="eastAsia"/>
          <w:kern w:val="0"/>
          <w:sz w:val="24"/>
        </w:rPr>
        <w:t>0</w:t>
      </w:r>
      <w:r w:rsidR="00AF706C" w:rsidRPr="00447F30">
        <w:rPr>
          <w:kern w:val="0"/>
          <w:sz w:val="24"/>
        </w:rPr>
        <w:t>0</w:t>
      </w:r>
      <w:r w:rsidR="00AF706C" w:rsidRPr="00447F30">
        <w:rPr>
          <w:rFonts w:hint="eastAsia"/>
          <w:kern w:val="0"/>
          <w:sz w:val="24"/>
        </w:rPr>
        <w:t>万元。</w:t>
      </w:r>
      <w:r w:rsidR="00243EBD" w:rsidRPr="00447F30">
        <w:rPr>
          <w:kern w:val="0"/>
          <w:sz w:val="24"/>
        </w:rPr>
        <w:t>本基金单一投资者持有的基金份额或者构成一致行动人的多个投资者持有的基金份额可达到或者超过</w:t>
      </w:r>
      <w:r w:rsidR="00243EBD" w:rsidRPr="00447F30">
        <w:rPr>
          <w:kern w:val="0"/>
          <w:sz w:val="24"/>
        </w:rPr>
        <w:t xml:space="preserve"> 50%</w:t>
      </w:r>
      <w:r w:rsidR="00243EBD" w:rsidRPr="00447F30">
        <w:rPr>
          <w:kern w:val="0"/>
          <w:sz w:val="24"/>
        </w:rPr>
        <w:t>，本基金不向个人投资者销售。</w:t>
      </w:r>
    </w:p>
    <w:p w:rsidR="00EA1341" w:rsidRPr="00035ED1" w:rsidRDefault="005032B5" w:rsidP="00EA1341">
      <w:pPr>
        <w:spacing w:line="360" w:lineRule="auto"/>
        <w:ind w:firstLineChars="200" w:firstLine="480"/>
        <w:rPr>
          <w:kern w:val="0"/>
          <w:sz w:val="24"/>
        </w:rPr>
      </w:pPr>
      <w:r>
        <w:rPr>
          <w:rFonts w:hint="eastAsia"/>
          <w:kern w:val="0"/>
          <w:sz w:val="24"/>
        </w:rPr>
        <w:t>为维护</w:t>
      </w:r>
      <w:r w:rsidR="00660EA1" w:rsidRPr="00660EA1">
        <w:rPr>
          <w:rFonts w:hint="eastAsia"/>
          <w:kern w:val="0"/>
          <w:sz w:val="24"/>
        </w:rPr>
        <w:t>投资者利益</w:t>
      </w:r>
      <w:r w:rsidR="00660EA1">
        <w:rPr>
          <w:rFonts w:hint="eastAsia"/>
          <w:kern w:val="0"/>
          <w:sz w:val="24"/>
        </w:rPr>
        <w:t>，</w:t>
      </w:r>
      <w:r w:rsidR="002402F6" w:rsidRPr="00035ED1">
        <w:rPr>
          <w:kern w:val="0"/>
          <w:sz w:val="24"/>
        </w:rPr>
        <w:t>做好本基金的投资管理和风险控制工作</w:t>
      </w:r>
      <w:r w:rsidR="007A3286" w:rsidRPr="002402F6">
        <w:rPr>
          <w:kern w:val="0"/>
          <w:sz w:val="24"/>
        </w:rPr>
        <w:t>，</w:t>
      </w:r>
      <w:r w:rsidR="00655B94" w:rsidRPr="002402F6">
        <w:rPr>
          <w:kern w:val="0"/>
          <w:sz w:val="24"/>
        </w:rPr>
        <w:t>根据</w:t>
      </w:r>
      <w:r w:rsidR="00880D12" w:rsidRPr="002402F6">
        <w:rPr>
          <w:kern w:val="0"/>
          <w:sz w:val="24"/>
        </w:rPr>
        <w:t>本基金基金合同及</w:t>
      </w:r>
      <w:r w:rsidR="00880D12">
        <w:rPr>
          <w:kern w:val="0"/>
          <w:sz w:val="24"/>
        </w:rPr>
        <w:t>招募说明书（</w:t>
      </w:r>
      <w:r w:rsidR="00880D12">
        <w:rPr>
          <w:rFonts w:hint="eastAsia"/>
          <w:kern w:val="0"/>
          <w:sz w:val="24"/>
        </w:rPr>
        <w:t>更新</w:t>
      </w:r>
      <w:r w:rsidR="00880D12">
        <w:rPr>
          <w:kern w:val="0"/>
          <w:sz w:val="24"/>
        </w:rPr>
        <w:t>）</w:t>
      </w:r>
      <w:r w:rsidR="00880D12">
        <w:rPr>
          <w:rFonts w:hint="eastAsia"/>
          <w:kern w:val="0"/>
          <w:sz w:val="24"/>
        </w:rPr>
        <w:t>等规定</w:t>
      </w:r>
      <w:r w:rsidR="00880D12">
        <w:rPr>
          <w:kern w:val="0"/>
          <w:sz w:val="24"/>
        </w:rPr>
        <w:t>，本公司</w:t>
      </w:r>
      <w:r w:rsidR="00101930">
        <w:rPr>
          <w:rFonts w:hint="eastAsia"/>
          <w:kern w:val="0"/>
          <w:sz w:val="24"/>
        </w:rPr>
        <w:t>决定</w:t>
      </w:r>
      <w:r w:rsidR="000C4FC2">
        <w:rPr>
          <w:rFonts w:hint="eastAsia"/>
          <w:kern w:val="0"/>
          <w:sz w:val="24"/>
        </w:rPr>
        <w:t>提前结束</w:t>
      </w:r>
      <w:r w:rsidR="0048293C">
        <w:rPr>
          <w:rFonts w:hint="eastAsia"/>
          <w:kern w:val="0"/>
          <w:sz w:val="24"/>
        </w:rPr>
        <w:t>本基金</w:t>
      </w:r>
      <w:r w:rsidR="000C4FC2">
        <w:rPr>
          <w:rFonts w:hint="eastAsia"/>
          <w:kern w:val="0"/>
          <w:sz w:val="24"/>
        </w:rPr>
        <w:t>本次</w:t>
      </w:r>
      <w:r w:rsidR="00101930">
        <w:rPr>
          <w:rFonts w:hint="eastAsia"/>
          <w:kern w:val="0"/>
          <w:sz w:val="24"/>
        </w:rPr>
        <w:t>开放期</w:t>
      </w:r>
      <w:r w:rsidR="002402F6">
        <w:rPr>
          <w:rFonts w:hint="eastAsia"/>
          <w:kern w:val="0"/>
          <w:sz w:val="24"/>
        </w:rPr>
        <w:t>，</w:t>
      </w:r>
      <w:r w:rsidR="0048293C">
        <w:rPr>
          <w:rFonts w:hint="eastAsia"/>
          <w:kern w:val="0"/>
          <w:sz w:val="24"/>
        </w:rPr>
        <w:t>即决定将</w:t>
      </w:r>
      <w:r w:rsidR="00F1503E" w:rsidRPr="00B229F7">
        <w:rPr>
          <w:rFonts w:hint="eastAsia"/>
          <w:b/>
          <w:bCs/>
          <w:kern w:val="0"/>
          <w:sz w:val="24"/>
        </w:rPr>
        <w:t>20</w:t>
      </w:r>
      <w:r w:rsidR="00F1503E" w:rsidRPr="00B229F7">
        <w:rPr>
          <w:b/>
          <w:bCs/>
          <w:kern w:val="0"/>
          <w:sz w:val="24"/>
        </w:rPr>
        <w:t>2</w:t>
      </w:r>
      <w:r w:rsidR="00E059E9">
        <w:rPr>
          <w:b/>
          <w:bCs/>
          <w:kern w:val="0"/>
          <w:sz w:val="24"/>
        </w:rPr>
        <w:t>6</w:t>
      </w:r>
      <w:r w:rsidR="00F1503E" w:rsidRPr="00B229F7">
        <w:rPr>
          <w:rFonts w:hint="eastAsia"/>
          <w:b/>
          <w:bCs/>
          <w:kern w:val="0"/>
          <w:sz w:val="24"/>
        </w:rPr>
        <w:t>年</w:t>
      </w:r>
      <w:r w:rsidR="00E059E9">
        <w:rPr>
          <w:b/>
          <w:bCs/>
          <w:kern w:val="0"/>
          <w:sz w:val="24"/>
        </w:rPr>
        <w:t>2</w:t>
      </w:r>
      <w:r w:rsidR="00101930" w:rsidRPr="00B229F7">
        <w:rPr>
          <w:rFonts w:hint="eastAsia"/>
          <w:b/>
          <w:bCs/>
          <w:kern w:val="0"/>
          <w:sz w:val="24"/>
        </w:rPr>
        <w:t>月</w:t>
      </w:r>
      <w:r w:rsidR="00E059E9">
        <w:rPr>
          <w:b/>
          <w:bCs/>
          <w:kern w:val="0"/>
          <w:sz w:val="24"/>
        </w:rPr>
        <w:t>4</w:t>
      </w:r>
      <w:r w:rsidR="00101930" w:rsidRPr="00B229F7">
        <w:rPr>
          <w:rFonts w:hint="eastAsia"/>
          <w:b/>
          <w:bCs/>
          <w:kern w:val="0"/>
          <w:sz w:val="24"/>
        </w:rPr>
        <w:t>日</w:t>
      </w:r>
      <w:r w:rsidR="0048293C" w:rsidRPr="00B229F7">
        <w:rPr>
          <w:rFonts w:hint="eastAsia"/>
          <w:b/>
          <w:bCs/>
          <w:kern w:val="0"/>
          <w:sz w:val="24"/>
        </w:rPr>
        <w:t>定</w:t>
      </w:r>
      <w:r w:rsidR="000C4FC2" w:rsidRPr="00B229F7">
        <w:rPr>
          <w:rFonts w:hint="eastAsia"/>
          <w:b/>
          <w:bCs/>
          <w:kern w:val="0"/>
          <w:sz w:val="24"/>
        </w:rPr>
        <w:t>为本基金本次开放期最后</w:t>
      </w:r>
      <w:r w:rsidR="0048293C" w:rsidRPr="00B229F7">
        <w:rPr>
          <w:rFonts w:hint="eastAsia"/>
          <w:b/>
          <w:bCs/>
          <w:kern w:val="0"/>
          <w:sz w:val="24"/>
        </w:rPr>
        <w:t>一</w:t>
      </w:r>
      <w:r w:rsidR="000C4FC2" w:rsidRPr="00B229F7">
        <w:rPr>
          <w:rFonts w:hint="eastAsia"/>
          <w:b/>
          <w:bCs/>
          <w:kern w:val="0"/>
          <w:sz w:val="24"/>
        </w:rPr>
        <w:t>日</w:t>
      </w:r>
      <w:r w:rsidR="002402F6" w:rsidRPr="00B229F7">
        <w:rPr>
          <w:rFonts w:hint="eastAsia"/>
          <w:b/>
          <w:bCs/>
          <w:kern w:val="0"/>
          <w:sz w:val="24"/>
        </w:rPr>
        <w:t>，</w:t>
      </w:r>
      <w:r w:rsidR="0048293C" w:rsidRPr="00B229F7">
        <w:rPr>
          <w:rFonts w:hint="eastAsia"/>
          <w:b/>
          <w:bCs/>
          <w:kern w:val="0"/>
          <w:sz w:val="24"/>
        </w:rPr>
        <w:t>本基金</w:t>
      </w:r>
      <w:r w:rsidR="002402F6" w:rsidRPr="00B229F7">
        <w:rPr>
          <w:rFonts w:hint="eastAsia"/>
          <w:b/>
          <w:bCs/>
          <w:kern w:val="0"/>
          <w:sz w:val="24"/>
        </w:rPr>
        <w:t>自</w:t>
      </w:r>
      <w:r w:rsidR="0072318B" w:rsidRPr="00B229F7">
        <w:rPr>
          <w:rFonts w:hint="eastAsia"/>
          <w:b/>
          <w:bCs/>
          <w:kern w:val="0"/>
          <w:sz w:val="24"/>
        </w:rPr>
        <w:t>20</w:t>
      </w:r>
      <w:r w:rsidR="0072318B" w:rsidRPr="00B229F7">
        <w:rPr>
          <w:b/>
          <w:bCs/>
          <w:kern w:val="0"/>
          <w:sz w:val="24"/>
        </w:rPr>
        <w:t>2</w:t>
      </w:r>
      <w:r w:rsidR="00E059E9">
        <w:rPr>
          <w:b/>
          <w:bCs/>
          <w:kern w:val="0"/>
          <w:sz w:val="24"/>
        </w:rPr>
        <w:t>6</w:t>
      </w:r>
      <w:r w:rsidR="0072318B" w:rsidRPr="00B229F7">
        <w:rPr>
          <w:rFonts w:hint="eastAsia"/>
          <w:b/>
          <w:bCs/>
          <w:kern w:val="0"/>
          <w:sz w:val="24"/>
        </w:rPr>
        <w:t>年</w:t>
      </w:r>
      <w:r w:rsidR="00E059E9">
        <w:rPr>
          <w:b/>
          <w:bCs/>
          <w:kern w:val="0"/>
          <w:sz w:val="24"/>
        </w:rPr>
        <w:t>2</w:t>
      </w:r>
      <w:r w:rsidR="0072318B" w:rsidRPr="00B229F7">
        <w:rPr>
          <w:rFonts w:hint="eastAsia"/>
          <w:b/>
          <w:bCs/>
          <w:kern w:val="0"/>
          <w:sz w:val="24"/>
        </w:rPr>
        <w:t>月</w:t>
      </w:r>
      <w:r w:rsidR="00E059E9">
        <w:rPr>
          <w:b/>
          <w:bCs/>
          <w:kern w:val="0"/>
          <w:sz w:val="24"/>
        </w:rPr>
        <w:t>5</w:t>
      </w:r>
      <w:r w:rsidR="0072318B" w:rsidRPr="00B229F7">
        <w:rPr>
          <w:rFonts w:hint="eastAsia"/>
          <w:b/>
          <w:bCs/>
          <w:kern w:val="0"/>
          <w:sz w:val="24"/>
        </w:rPr>
        <w:t>日</w:t>
      </w:r>
      <w:r w:rsidR="002402F6" w:rsidRPr="00B229F7">
        <w:rPr>
          <w:rFonts w:hint="eastAsia"/>
          <w:b/>
          <w:bCs/>
          <w:kern w:val="0"/>
          <w:sz w:val="24"/>
        </w:rPr>
        <w:t>起进入下一个封闭期</w:t>
      </w:r>
      <w:r w:rsidR="00DE150E" w:rsidRPr="00035ED1">
        <w:rPr>
          <w:rFonts w:hint="eastAsia"/>
          <w:kern w:val="0"/>
          <w:sz w:val="24"/>
        </w:rPr>
        <w:t>。</w:t>
      </w:r>
      <w:r w:rsidR="00EA1341" w:rsidRPr="00035ED1">
        <w:rPr>
          <w:rFonts w:hint="eastAsia"/>
          <w:kern w:val="0"/>
          <w:sz w:val="24"/>
        </w:rPr>
        <w:t>本基金在封闭期内不办理申购</w:t>
      </w:r>
      <w:r w:rsidR="00CE315C" w:rsidRPr="00035ED1">
        <w:rPr>
          <w:rFonts w:hint="eastAsia"/>
          <w:kern w:val="0"/>
          <w:sz w:val="24"/>
        </w:rPr>
        <w:t>、</w:t>
      </w:r>
      <w:r w:rsidR="00EA1341" w:rsidRPr="00035ED1">
        <w:rPr>
          <w:rFonts w:hint="eastAsia"/>
          <w:kern w:val="0"/>
          <w:sz w:val="24"/>
        </w:rPr>
        <w:t>赎回</w:t>
      </w:r>
      <w:r w:rsidR="00BD4083">
        <w:rPr>
          <w:rFonts w:hint="eastAsia"/>
          <w:kern w:val="0"/>
          <w:sz w:val="24"/>
        </w:rPr>
        <w:t>、转换</w:t>
      </w:r>
      <w:r w:rsidR="00503F93">
        <w:rPr>
          <w:rFonts w:hint="eastAsia"/>
          <w:kern w:val="0"/>
          <w:sz w:val="24"/>
        </w:rPr>
        <w:t>等</w:t>
      </w:r>
      <w:r w:rsidR="00EA1341" w:rsidRPr="00035ED1">
        <w:rPr>
          <w:rFonts w:hint="eastAsia"/>
          <w:kern w:val="0"/>
          <w:sz w:val="24"/>
        </w:rPr>
        <w:t>业务（红利再投资除外）</w:t>
      </w:r>
      <w:r w:rsidR="00E62F7D" w:rsidRPr="00035ED1">
        <w:rPr>
          <w:rFonts w:hint="eastAsia"/>
          <w:kern w:val="0"/>
          <w:sz w:val="24"/>
        </w:rPr>
        <w:t>。</w:t>
      </w:r>
    </w:p>
    <w:p w:rsidR="00880D12" w:rsidRDefault="0048293C" w:rsidP="005F6B35">
      <w:pPr>
        <w:spacing w:line="360" w:lineRule="auto"/>
        <w:ind w:firstLineChars="200" w:firstLine="480"/>
        <w:rPr>
          <w:kern w:val="0"/>
          <w:sz w:val="24"/>
        </w:rPr>
      </w:pPr>
      <w:r w:rsidRPr="00035ED1">
        <w:rPr>
          <w:rFonts w:hint="eastAsia"/>
          <w:kern w:val="0"/>
          <w:sz w:val="24"/>
        </w:rPr>
        <w:t>除本次开放期时间变化外，本基金其余申购</w:t>
      </w:r>
      <w:r w:rsidR="001F0919" w:rsidRPr="00035ED1">
        <w:rPr>
          <w:rFonts w:hint="eastAsia"/>
          <w:kern w:val="0"/>
          <w:sz w:val="24"/>
        </w:rPr>
        <w:t>、</w:t>
      </w:r>
      <w:r w:rsidRPr="00035ED1">
        <w:rPr>
          <w:rFonts w:hint="eastAsia"/>
          <w:kern w:val="0"/>
          <w:sz w:val="24"/>
        </w:rPr>
        <w:t>赎回</w:t>
      </w:r>
      <w:r w:rsidR="00BD4083">
        <w:rPr>
          <w:rFonts w:hint="eastAsia"/>
          <w:kern w:val="0"/>
          <w:sz w:val="24"/>
        </w:rPr>
        <w:t>、转换</w:t>
      </w:r>
      <w:r w:rsidRPr="00035ED1">
        <w:rPr>
          <w:rFonts w:hint="eastAsia"/>
          <w:kern w:val="0"/>
          <w:sz w:val="24"/>
        </w:rPr>
        <w:t>业务办理事项未发生变化</w:t>
      </w:r>
      <w:r w:rsidR="00A61CDE" w:rsidRPr="00035ED1">
        <w:rPr>
          <w:rFonts w:hint="eastAsia"/>
          <w:kern w:val="0"/>
          <w:sz w:val="24"/>
        </w:rPr>
        <w:t>，具体请遵循本公司于</w:t>
      </w:r>
      <w:r w:rsidR="0072318B" w:rsidRPr="0072318B">
        <w:rPr>
          <w:rFonts w:hint="eastAsia"/>
          <w:kern w:val="0"/>
          <w:sz w:val="24"/>
        </w:rPr>
        <w:t>202</w:t>
      </w:r>
      <w:r w:rsidR="00E059E9">
        <w:rPr>
          <w:kern w:val="0"/>
          <w:sz w:val="24"/>
        </w:rPr>
        <w:t>6</w:t>
      </w:r>
      <w:r w:rsidR="0072318B" w:rsidRPr="0072318B">
        <w:rPr>
          <w:rFonts w:hint="eastAsia"/>
          <w:kern w:val="0"/>
          <w:sz w:val="24"/>
        </w:rPr>
        <w:t>年</w:t>
      </w:r>
      <w:r w:rsidR="00E059E9">
        <w:rPr>
          <w:kern w:val="0"/>
          <w:sz w:val="24"/>
        </w:rPr>
        <w:t>1</w:t>
      </w:r>
      <w:r w:rsidR="0072318B" w:rsidRPr="0072318B">
        <w:rPr>
          <w:rFonts w:hint="eastAsia"/>
          <w:kern w:val="0"/>
          <w:sz w:val="24"/>
        </w:rPr>
        <w:t>月</w:t>
      </w:r>
      <w:r w:rsidR="002F48F1">
        <w:rPr>
          <w:kern w:val="0"/>
          <w:sz w:val="24"/>
        </w:rPr>
        <w:t>27</w:t>
      </w:r>
      <w:r w:rsidR="0072318B" w:rsidRPr="0072318B">
        <w:rPr>
          <w:rFonts w:hint="eastAsia"/>
          <w:kern w:val="0"/>
          <w:sz w:val="24"/>
        </w:rPr>
        <w:t>日</w:t>
      </w:r>
      <w:r w:rsidR="00A61CDE" w:rsidRPr="00035ED1">
        <w:rPr>
          <w:rFonts w:hint="eastAsia"/>
          <w:kern w:val="0"/>
          <w:sz w:val="24"/>
        </w:rPr>
        <w:t>发布</w:t>
      </w:r>
      <w:r w:rsidR="00A61CDE" w:rsidRPr="0048293C">
        <w:rPr>
          <w:rFonts w:hint="eastAsia"/>
          <w:kern w:val="0"/>
          <w:sz w:val="24"/>
        </w:rPr>
        <w:t>的</w:t>
      </w:r>
      <w:r w:rsidR="009C6994">
        <w:rPr>
          <w:rFonts w:hint="eastAsia"/>
          <w:kern w:val="0"/>
          <w:sz w:val="24"/>
        </w:rPr>
        <w:t>《华夏鼎瑞三个月定期开放债券型发起式证券投资基金</w:t>
      </w:r>
      <w:r w:rsidR="009C6994" w:rsidRPr="00F1503E">
        <w:rPr>
          <w:rFonts w:hint="eastAsia"/>
          <w:kern w:val="0"/>
          <w:sz w:val="24"/>
        </w:rPr>
        <w:t>开放日常申购、赎回</w:t>
      </w:r>
      <w:r w:rsidR="009C6994">
        <w:rPr>
          <w:rFonts w:hint="eastAsia"/>
          <w:kern w:val="0"/>
          <w:sz w:val="24"/>
        </w:rPr>
        <w:t>、转换</w:t>
      </w:r>
      <w:r w:rsidR="009C6994" w:rsidRPr="00F1503E">
        <w:rPr>
          <w:rFonts w:hint="eastAsia"/>
          <w:kern w:val="0"/>
          <w:sz w:val="24"/>
        </w:rPr>
        <w:t>业务的公告</w:t>
      </w:r>
      <w:r w:rsidR="009C6994">
        <w:rPr>
          <w:rFonts w:hint="eastAsia"/>
          <w:kern w:val="0"/>
          <w:sz w:val="24"/>
        </w:rPr>
        <w:t>》及《</w:t>
      </w:r>
      <w:r w:rsidR="009C6994" w:rsidRPr="009C6994">
        <w:rPr>
          <w:rFonts w:hint="eastAsia"/>
          <w:kern w:val="0"/>
          <w:sz w:val="24"/>
        </w:rPr>
        <w:t>华夏基金管理有限公司关于限制华夏鼎瑞三个月定期开放债券型发起式证券投资基金申购及转换转入业务的公告</w:t>
      </w:r>
      <w:r w:rsidR="009C6994">
        <w:rPr>
          <w:rFonts w:hint="eastAsia"/>
          <w:kern w:val="0"/>
          <w:sz w:val="24"/>
        </w:rPr>
        <w:t>》</w:t>
      </w:r>
      <w:r w:rsidR="00756427">
        <w:rPr>
          <w:rFonts w:hint="eastAsia"/>
          <w:kern w:val="0"/>
          <w:sz w:val="24"/>
        </w:rPr>
        <w:t>。</w:t>
      </w:r>
      <w:r w:rsidR="00880D12" w:rsidRPr="00F62293">
        <w:rPr>
          <w:kern w:val="0"/>
          <w:sz w:val="24"/>
        </w:rPr>
        <w:t>投资者欲了解本基金的详细情况，请登录本公司网站</w:t>
      </w:r>
      <w:r w:rsidRPr="0048293C">
        <w:rPr>
          <w:rFonts w:hint="eastAsia"/>
          <w:kern w:val="0"/>
          <w:sz w:val="24"/>
        </w:rPr>
        <w:t>（</w:t>
      </w:r>
      <w:r w:rsidRPr="0048293C">
        <w:rPr>
          <w:kern w:val="0"/>
          <w:sz w:val="24"/>
        </w:rPr>
        <w:t>www.ChinaAMC.com</w:t>
      </w:r>
      <w:r w:rsidRPr="0048293C">
        <w:rPr>
          <w:rFonts w:hint="eastAsia"/>
          <w:kern w:val="0"/>
          <w:sz w:val="24"/>
        </w:rPr>
        <w:t>）</w:t>
      </w:r>
      <w:r w:rsidR="00CF040F">
        <w:rPr>
          <w:rFonts w:hint="eastAsia"/>
          <w:kern w:val="0"/>
          <w:sz w:val="24"/>
        </w:rPr>
        <w:t>查阅</w:t>
      </w:r>
      <w:r w:rsidR="009C6994">
        <w:rPr>
          <w:rFonts w:hint="eastAsia"/>
          <w:kern w:val="0"/>
          <w:sz w:val="24"/>
        </w:rPr>
        <w:t>本基金的基金合同及招募说明书（更新）</w:t>
      </w:r>
      <w:r w:rsidR="00503F93">
        <w:rPr>
          <w:rFonts w:hint="eastAsia"/>
          <w:kern w:val="0"/>
          <w:sz w:val="24"/>
        </w:rPr>
        <w:t>，</w:t>
      </w:r>
      <w:r w:rsidRPr="0048293C">
        <w:rPr>
          <w:rFonts w:hint="eastAsia"/>
          <w:kern w:val="0"/>
          <w:sz w:val="24"/>
        </w:rPr>
        <w:t>或拨打本公司客户服务电话（</w:t>
      </w:r>
      <w:r w:rsidRPr="0048293C">
        <w:rPr>
          <w:kern w:val="0"/>
          <w:sz w:val="24"/>
        </w:rPr>
        <w:t>400-818-6666</w:t>
      </w:r>
      <w:r w:rsidRPr="0048293C">
        <w:rPr>
          <w:rFonts w:hint="eastAsia"/>
          <w:kern w:val="0"/>
          <w:sz w:val="24"/>
        </w:rPr>
        <w:t>）进行咨询</w:t>
      </w:r>
      <w:r w:rsidR="00880D12" w:rsidRPr="0048293C">
        <w:rPr>
          <w:kern w:val="0"/>
          <w:sz w:val="24"/>
        </w:rPr>
        <w:t>。</w:t>
      </w:r>
    </w:p>
    <w:p w:rsidR="00346A52" w:rsidRPr="004F5BFB" w:rsidRDefault="003648E2" w:rsidP="00346A52">
      <w:pPr>
        <w:spacing w:line="360" w:lineRule="auto"/>
        <w:ind w:firstLineChars="200" w:firstLine="482"/>
        <w:rPr>
          <w:b/>
          <w:kern w:val="0"/>
          <w:sz w:val="24"/>
        </w:rPr>
      </w:pPr>
      <w:r w:rsidRPr="004D56E0">
        <w:rPr>
          <w:rFonts w:hAnsi="宋体"/>
          <w:b/>
          <w:sz w:val="24"/>
        </w:rPr>
        <w:t>风险提示：</w:t>
      </w:r>
      <w:r w:rsidR="00346A52" w:rsidRPr="004F5BFB">
        <w:rPr>
          <w:rFonts w:hint="eastAsia"/>
          <w:b/>
          <w:kern w:val="0"/>
          <w:sz w:val="24"/>
        </w:rPr>
        <w:t>本基金单一投资者持有的基金份额或者构成一致行动人的多个投资者持有的基金份额可达到或者超过</w:t>
      </w:r>
      <w:r w:rsidR="00346A52" w:rsidRPr="004F5BFB">
        <w:rPr>
          <w:rFonts w:hint="eastAsia"/>
          <w:b/>
          <w:kern w:val="0"/>
          <w:sz w:val="24"/>
        </w:rPr>
        <w:t>50%</w:t>
      </w:r>
      <w:r w:rsidR="00346A52" w:rsidRPr="004F5BFB">
        <w:rPr>
          <w:rFonts w:hint="eastAsia"/>
          <w:b/>
          <w:kern w:val="0"/>
          <w:sz w:val="24"/>
        </w:rPr>
        <w:t>，本基金不向个人投资者销售。</w:t>
      </w:r>
    </w:p>
    <w:p w:rsidR="00346A52" w:rsidRPr="004F5BFB" w:rsidRDefault="003B28C2" w:rsidP="00346A52">
      <w:pPr>
        <w:spacing w:line="360" w:lineRule="auto"/>
        <w:ind w:firstLineChars="200" w:firstLine="482"/>
        <w:rPr>
          <w:b/>
          <w:kern w:val="0"/>
          <w:sz w:val="24"/>
        </w:rPr>
      </w:pPr>
      <w:r w:rsidRPr="00391FFD">
        <w:rPr>
          <w:rFonts w:hAnsi="宋体" w:hint="eastAsia"/>
          <w:b/>
          <w:sz w:val="24"/>
        </w:rPr>
        <w:lastRenderedPageBreak/>
        <w:t>在每个封闭期内，基金份额持有人面临不能赎回基金份额的风险。若基金份额持有人错过某一开放期而未能赎回，其份额将转入下一封闭期，至下一开放期方可赎回</w:t>
      </w:r>
      <w:r w:rsidR="00346A52" w:rsidRPr="004F5BFB">
        <w:rPr>
          <w:rFonts w:hint="eastAsia"/>
          <w:b/>
          <w:kern w:val="0"/>
          <w:sz w:val="24"/>
        </w:rPr>
        <w:t>。</w:t>
      </w:r>
    </w:p>
    <w:p w:rsidR="00195321" w:rsidRPr="0048293C" w:rsidRDefault="00346A52" w:rsidP="00346A52">
      <w:pPr>
        <w:spacing w:line="360" w:lineRule="auto"/>
        <w:ind w:firstLineChars="200" w:firstLine="482"/>
        <w:rPr>
          <w:kern w:val="0"/>
          <w:sz w:val="24"/>
        </w:rPr>
      </w:pPr>
      <w:r w:rsidRPr="004F5BFB">
        <w:rPr>
          <w:rFonts w:hint="eastAsia"/>
          <w:b/>
          <w:kern w:val="0"/>
          <w:sz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买者自负”原则，在做出投资决策后，基金运营状况与基金净值变化引致的投资风险，由投资人自行负担。投资有风险，投资者在投资本基金之前，请仔细阅读本基金的基金合同、招募说明书、基金产品资料概要等法律文件，全面认识本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880D12" w:rsidRDefault="00880D12" w:rsidP="00880D12">
      <w:pPr>
        <w:spacing w:line="360" w:lineRule="auto"/>
        <w:ind w:firstLineChars="200" w:firstLine="480"/>
        <w:rPr>
          <w:rFonts w:hAnsi="宋体"/>
          <w:sz w:val="24"/>
        </w:rPr>
      </w:pPr>
      <w:r w:rsidRPr="001F09D4">
        <w:rPr>
          <w:rFonts w:hAnsi="宋体"/>
          <w:sz w:val="24"/>
        </w:rPr>
        <w:t>特此公告</w:t>
      </w:r>
    </w:p>
    <w:p w:rsidR="00880D12" w:rsidRDefault="00880D12" w:rsidP="00880D12">
      <w:pPr>
        <w:spacing w:line="360" w:lineRule="auto"/>
        <w:ind w:firstLineChars="200" w:firstLine="480"/>
        <w:rPr>
          <w:rFonts w:hAnsi="宋体"/>
          <w:sz w:val="24"/>
        </w:rPr>
      </w:pPr>
    </w:p>
    <w:p w:rsidR="00880D12" w:rsidRPr="001F09D4" w:rsidRDefault="00880D12" w:rsidP="00880D12">
      <w:pPr>
        <w:spacing w:line="360" w:lineRule="auto"/>
        <w:ind w:firstLineChars="200" w:firstLine="480"/>
        <w:rPr>
          <w:rFonts w:hAnsi="宋体"/>
          <w:sz w:val="24"/>
        </w:rPr>
      </w:pPr>
    </w:p>
    <w:p w:rsidR="00CD3942" w:rsidRPr="001F09D4" w:rsidRDefault="00CD3942" w:rsidP="00A24626">
      <w:pPr>
        <w:tabs>
          <w:tab w:val="left" w:pos="10440"/>
        </w:tabs>
        <w:snapToGrid w:val="0"/>
        <w:spacing w:line="360" w:lineRule="auto"/>
        <w:jc w:val="right"/>
        <w:rPr>
          <w:color w:val="000000"/>
          <w:sz w:val="24"/>
        </w:rPr>
      </w:pPr>
      <w:r w:rsidRPr="001F09D4">
        <w:rPr>
          <w:rFonts w:hAnsi="宋体"/>
          <w:color w:val="000000"/>
          <w:sz w:val="24"/>
        </w:rPr>
        <w:t>华夏基金管理有限公司</w:t>
      </w:r>
    </w:p>
    <w:p w:rsidR="00EC716C" w:rsidRDefault="00CD3942" w:rsidP="00CD3942">
      <w:pPr>
        <w:wordWrap w:val="0"/>
        <w:jc w:val="right"/>
      </w:pPr>
      <w:r w:rsidRPr="001F09D4">
        <w:rPr>
          <w:rFonts w:ascii="宋体" w:hAnsi="宋体"/>
          <w:color w:val="000000"/>
          <w:sz w:val="24"/>
        </w:rPr>
        <w:t>二○</w:t>
      </w:r>
      <w:r w:rsidR="001C1A19" w:rsidRPr="001F09D4">
        <w:rPr>
          <w:rFonts w:ascii="宋体" w:hAnsi="宋体"/>
          <w:color w:val="000000"/>
          <w:sz w:val="24"/>
        </w:rPr>
        <w:t>二</w:t>
      </w:r>
      <w:r w:rsidR="00E059E9">
        <w:rPr>
          <w:rFonts w:ascii="宋体" w:hAnsi="宋体" w:hint="eastAsia"/>
          <w:color w:val="000000"/>
          <w:sz w:val="24"/>
        </w:rPr>
        <w:t>六</w:t>
      </w:r>
      <w:r w:rsidR="002402F6" w:rsidRPr="001F09D4">
        <w:rPr>
          <w:rFonts w:hAnsi="宋体"/>
          <w:color w:val="000000"/>
          <w:sz w:val="24"/>
        </w:rPr>
        <w:t>年</w:t>
      </w:r>
      <w:r w:rsidR="00E059E9">
        <w:rPr>
          <w:rFonts w:hAnsi="宋体" w:hint="eastAsia"/>
          <w:color w:val="000000"/>
          <w:sz w:val="24"/>
        </w:rPr>
        <w:t>二</w:t>
      </w:r>
      <w:r w:rsidR="008637D4" w:rsidRPr="001F09D4">
        <w:rPr>
          <w:rFonts w:hAnsi="宋体"/>
          <w:color w:val="000000"/>
          <w:sz w:val="24"/>
        </w:rPr>
        <w:t>月</w:t>
      </w:r>
      <w:r w:rsidR="00E059E9">
        <w:rPr>
          <w:rFonts w:hAnsi="宋体" w:hint="eastAsia"/>
          <w:color w:val="000000"/>
          <w:sz w:val="24"/>
        </w:rPr>
        <w:t>四</w:t>
      </w:r>
      <w:r w:rsidR="008637D4" w:rsidRPr="001F09D4">
        <w:rPr>
          <w:rFonts w:hAnsi="宋体"/>
          <w:color w:val="000000"/>
          <w:sz w:val="24"/>
        </w:rPr>
        <w:t>日</w:t>
      </w:r>
    </w:p>
    <w:sectPr w:rsidR="00EC716C" w:rsidSect="00B23656">
      <w:headerReference w:type="default" r:id="rId6"/>
      <w:footerReference w:type="even" r:id="rId7"/>
      <w:footerReference w:type="default" r:id="rId8"/>
      <w:pgSz w:w="11907" w:h="16839" w:code="9"/>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0F4" w:rsidRDefault="000C50F4" w:rsidP="008C5939">
      <w:r>
        <w:separator/>
      </w:r>
    </w:p>
  </w:endnote>
  <w:endnote w:type="continuationSeparator" w:id="0">
    <w:p w:rsidR="000C50F4" w:rsidRDefault="000C50F4" w:rsidP="008C59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AC" w:rsidRDefault="00A55E9D" w:rsidP="007B685A">
    <w:pPr>
      <w:pStyle w:val="a3"/>
      <w:framePr w:wrap="around" w:vAnchor="text" w:hAnchor="margin" w:xAlign="center" w:y="1"/>
      <w:rPr>
        <w:rStyle w:val="a4"/>
      </w:rPr>
    </w:pPr>
    <w:r>
      <w:rPr>
        <w:rStyle w:val="a4"/>
      </w:rPr>
      <w:fldChar w:fldCharType="begin"/>
    </w:r>
    <w:r w:rsidR="00F70AAC">
      <w:rPr>
        <w:rStyle w:val="a4"/>
      </w:rPr>
      <w:instrText xml:space="preserve">PAGE  </w:instrText>
    </w:r>
    <w:r>
      <w:rPr>
        <w:rStyle w:val="a4"/>
      </w:rPr>
      <w:fldChar w:fldCharType="separate"/>
    </w:r>
    <w:r w:rsidR="00F70AAC">
      <w:rPr>
        <w:rStyle w:val="a4"/>
        <w:noProof/>
      </w:rPr>
      <w:t>12</w:t>
    </w:r>
    <w:r>
      <w:rPr>
        <w:rStyle w:val="a4"/>
      </w:rPr>
      <w:fldChar w:fldCharType="end"/>
    </w:r>
  </w:p>
  <w:p w:rsidR="00F70AAC" w:rsidRDefault="00F70AA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AC" w:rsidRDefault="00A55E9D" w:rsidP="007B685A">
    <w:pPr>
      <w:pStyle w:val="a3"/>
      <w:framePr w:wrap="around" w:vAnchor="text" w:hAnchor="margin" w:xAlign="center" w:y="1"/>
      <w:rPr>
        <w:rStyle w:val="a4"/>
      </w:rPr>
    </w:pPr>
    <w:r>
      <w:rPr>
        <w:rStyle w:val="a4"/>
      </w:rPr>
      <w:fldChar w:fldCharType="begin"/>
    </w:r>
    <w:r w:rsidR="00F70AAC">
      <w:rPr>
        <w:rStyle w:val="a4"/>
      </w:rPr>
      <w:instrText xml:space="preserve">PAGE  </w:instrText>
    </w:r>
    <w:r>
      <w:rPr>
        <w:rStyle w:val="a4"/>
      </w:rPr>
      <w:fldChar w:fldCharType="separate"/>
    </w:r>
    <w:r w:rsidR="00BF19F2">
      <w:rPr>
        <w:rStyle w:val="a4"/>
        <w:noProof/>
      </w:rPr>
      <w:t>1</w:t>
    </w:r>
    <w:r>
      <w:rPr>
        <w:rStyle w:val="a4"/>
      </w:rPr>
      <w:fldChar w:fldCharType="end"/>
    </w:r>
  </w:p>
  <w:p w:rsidR="00F70AAC" w:rsidRDefault="00F70AAC" w:rsidP="007B685A">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0F4" w:rsidRDefault="000C50F4" w:rsidP="008C5939">
      <w:r>
        <w:separator/>
      </w:r>
    </w:p>
  </w:footnote>
  <w:footnote w:type="continuationSeparator" w:id="0">
    <w:p w:rsidR="000C50F4" w:rsidRDefault="000C50F4" w:rsidP="008C5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AC" w:rsidRDefault="00F70AAC" w:rsidP="007214E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8CA"/>
    <w:rsid w:val="000102D9"/>
    <w:rsid w:val="000104D2"/>
    <w:rsid w:val="000111B7"/>
    <w:rsid w:val="0001302D"/>
    <w:rsid w:val="00015328"/>
    <w:rsid w:val="00015955"/>
    <w:rsid w:val="00017764"/>
    <w:rsid w:val="0002348C"/>
    <w:rsid w:val="00027D94"/>
    <w:rsid w:val="00030C5B"/>
    <w:rsid w:val="00032206"/>
    <w:rsid w:val="00032F40"/>
    <w:rsid w:val="00034526"/>
    <w:rsid w:val="00034A16"/>
    <w:rsid w:val="00035ED1"/>
    <w:rsid w:val="000409DE"/>
    <w:rsid w:val="0004105E"/>
    <w:rsid w:val="00041793"/>
    <w:rsid w:val="00042DC9"/>
    <w:rsid w:val="00042E97"/>
    <w:rsid w:val="00043749"/>
    <w:rsid w:val="000459AC"/>
    <w:rsid w:val="00045CF3"/>
    <w:rsid w:val="00046D75"/>
    <w:rsid w:val="00047A59"/>
    <w:rsid w:val="000511CF"/>
    <w:rsid w:val="000523A9"/>
    <w:rsid w:val="000530C7"/>
    <w:rsid w:val="00056CFE"/>
    <w:rsid w:val="0005763E"/>
    <w:rsid w:val="00057F98"/>
    <w:rsid w:val="00061734"/>
    <w:rsid w:val="0006199D"/>
    <w:rsid w:val="000636BE"/>
    <w:rsid w:val="00066363"/>
    <w:rsid w:val="00070695"/>
    <w:rsid w:val="00070BCC"/>
    <w:rsid w:val="000720C2"/>
    <w:rsid w:val="00072F7C"/>
    <w:rsid w:val="00074258"/>
    <w:rsid w:val="0007450D"/>
    <w:rsid w:val="00075562"/>
    <w:rsid w:val="00077F4B"/>
    <w:rsid w:val="00080077"/>
    <w:rsid w:val="00080333"/>
    <w:rsid w:val="00080359"/>
    <w:rsid w:val="00080F02"/>
    <w:rsid w:val="000813F3"/>
    <w:rsid w:val="0008233C"/>
    <w:rsid w:val="000831C6"/>
    <w:rsid w:val="00085358"/>
    <w:rsid w:val="00087324"/>
    <w:rsid w:val="00087A23"/>
    <w:rsid w:val="000916CC"/>
    <w:rsid w:val="0009235B"/>
    <w:rsid w:val="000964DF"/>
    <w:rsid w:val="00097262"/>
    <w:rsid w:val="00097B79"/>
    <w:rsid w:val="000A153D"/>
    <w:rsid w:val="000A1AF3"/>
    <w:rsid w:val="000A258A"/>
    <w:rsid w:val="000A6946"/>
    <w:rsid w:val="000A704C"/>
    <w:rsid w:val="000B0DBB"/>
    <w:rsid w:val="000B0F3A"/>
    <w:rsid w:val="000B1032"/>
    <w:rsid w:val="000B3006"/>
    <w:rsid w:val="000B5F02"/>
    <w:rsid w:val="000B6165"/>
    <w:rsid w:val="000B6CE8"/>
    <w:rsid w:val="000C1794"/>
    <w:rsid w:val="000C17CA"/>
    <w:rsid w:val="000C1CC9"/>
    <w:rsid w:val="000C44A3"/>
    <w:rsid w:val="000C4FC2"/>
    <w:rsid w:val="000C50F4"/>
    <w:rsid w:val="000C5599"/>
    <w:rsid w:val="000C6644"/>
    <w:rsid w:val="000C6B85"/>
    <w:rsid w:val="000D0709"/>
    <w:rsid w:val="000D1AE0"/>
    <w:rsid w:val="000D1D24"/>
    <w:rsid w:val="000D426B"/>
    <w:rsid w:val="000D6C97"/>
    <w:rsid w:val="000D72D0"/>
    <w:rsid w:val="000D7BBB"/>
    <w:rsid w:val="000E09F8"/>
    <w:rsid w:val="000E0E4E"/>
    <w:rsid w:val="000E1442"/>
    <w:rsid w:val="000E2878"/>
    <w:rsid w:val="000E3390"/>
    <w:rsid w:val="000E444D"/>
    <w:rsid w:val="000E45BC"/>
    <w:rsid w:val="000E4E55"/>
    <w:rsid w:val="000E55A5"/>
    <w:rsid w:val="000E629D"/>
    <w:rsid w:val="000E64A6"/>
    <w:rsid w:val="000E70D1"/>
    <w:rsid w:val="000E79F1"/>
    <w:rsid w:val="000F3663"/>
    <w:rsid w:val="00101930"/>
    <w:rsid w:val="0010319F"/>
    <w:rsid w:val="0010410F"/>
    <w:rsid w:val="00105157"/>
    <w:rsid w:val="00107B58"/>
    <w:rsid w:val="00107B6A"/>
    <w:rsid w:val="00107C81"/>
    <w:rsid w:val="00107EDD"/>
    <w:rsid w:val="001105B3"/>
    <w:rsid w:val="001110F0"/>
    <w:rsid w:val="00111796"/>
    <w:rsid w:val="00112C28"/>
    <w:rsid w:val="00114B0B"/>
    <w:rsid w:val="00120053"/>
    <w:rsid w:val="00121C1B"/>
    <w:rsid w:val="001238A6"/>
    <w:rsid w:val="001238CA"/>
    <w:rsid w:val="00123B7A"/>
    <w:rsid w:val="00124045"/>
    <w:rsid w:val="00125238"/>
    <w:rsid w:val="001252B9"/>
    <w:rsid w:val="0012596E"/>
    <w:rsid w:val="001259FF"/>
    <w:rsid w:val="00125F94"/>
    <w:rsid w:val="0012661C"/>
    <w:rsid w:val="001266EE"/>
    <w:rsid w:val="00127BD8"/>
    <w:rsid w:val="001316FB"/>
    <w:rsid w:val="001323AE"/>
    <w:rsid w:val="001328BA"/>
    <w:rsid w:val="0013362C"/>
    <w:rsid w:val="001343F4"/>
    <w:rsid w:val="00135B0B"/>
    <w:rsid w:val="00141205"/>
    <w:rsid w:val="00141C80"/>
    <w:rsid w:val="00143454"/>
    <w:rsid w:val="001438B9"/>
    <w:rsid w:val="0014599E"/>
    <w:rsid w:val="00147720"/>
    <w:rsid w:val="00147DCA"/>
    <w:rsid w:val="00147FDC"/>
    <w:rsid w:val="00153549"/>
    <w:rsid w:val="001547DE"/>
    <w:rsid w:val="001552B4"/>
    <w:rsid w:val="00157267"/>
    <w:rsid w:val="00157CED"/>
    <w:rsid w:val="00160FD4"/>
    <w:rsid w:val="001614B1"/>
    <w:rsid w:val="00165D9E"/>
    <w:rsid w:val="00166BC7"/>
    <w:rsid w:val="00166BF4"/>
    <w:rsid w:val="00166CB5"/>
    <w:rsid w:val="00166D4A"/>
    <w:rsid w:val="00166E36"/>
    <w:rsid w:val="00167175"/>
    <w:rsid w:val="00173B25"/>
    <w:rsid w:val="0017492C"/>
    <w:rsid w:val="00175786"/>
    <w:rsid w:val="0017588E"/>
    <w:rsid w:val="001759F9"/>
    <w:rsid w:val="00175E4A"/>
    <w:rsid w:val="00176963"/>
    <w:rsid w:val="00177CE1"/>
    <w:rsid w:val="00181A06"/>
    <w:rsid w:val="00183691"/>
    <w:rsid w:val="0018461B"/>
    <w:rsid w:val="001855E4"/>
    <w:rsid w:val="00186B6D"/>
    <w:rsid w:val="001916EA"/>
    <w:rsid w:val="00191B12"/>
    <w:rsid w:val="00194873"/>
    <w:rsid w:val="00195321"/>
    <w:rsid w:val="00195863"/>
    <w:rsid w:val="0019684A"/>
    <w:rsid w:val="001972CB"/>
    <w:rsid w:val="00197E60"/>
    <w:rsid w:val="001A4347"/>
    <w:rsid w:val="001A4FC2"/>
    <w:rsid w:val="001A697D"/>
    <w:rsid w:val="001A6A53"/>
    <w:rsid w:val="001B226E"/>
    <w:rsid w:val="001B2E6B"/>
    <w:rsid w:val="001B3DA2"/>
    <w:rsid w:val="001B65AF"/>
    <w:rsid w:val="001B7CA1"/>
    <w:rsid w:val="001C02E4"/>
    <w:rsid w:val="001C179A"/>
    <w:rsid w:val="001C1A19"/>
    <w:rsid w:val="001C2B4F"/>
    <w:rsid w:val="001C3100"/>
    <w:rsid w:val="001C67DB"/>
    <w:rsid w:val="001C692A"/>
    <w:rsid w:val="001C7B65"/>
    <w:rsid w:val="001D2A24"/>
    <w:rsid w:val="001E1506"/>
    <w:rsid w:val="001E1626"/>
    <w:rsid w:val="001E1890"/>
    <w:rsid w:val="001E257D"/>
    <w:rsid w:val="001E2AC7"/>
    <w:rsid w:val="001E2D9B"/>
    <w:rsid w:val="001E41A4"/>
    <w:rsid w:val="001E4E7F"/>
    <w:rsid w:val="001E6026"/>
    <w:rsid w:val="001E65F7"/>
    <w:rsid w:val="001E67BC"/>
    <w:rsid w:val="001F0919"/>
    <w:rsid w:val="001F09D4"/>
    <w:rsid w:val="001F112F"/>
    <w:rsid w:val="001F12B2"/>
    <w:rsid w:val="001F31EE"/>
    <w:rsid w:val="001F3501"/>
    <w:rsid w:val="001F478F"/>
    <w:rsid w:val="001F47C8"/>
    <w:rsid w:val="001F53DF"/>
    <w:rsid w:val="001F737C"/>
    <w:rsid w:val="001F7DB0"/>
    <w:rsid w:val="00200DC3"/>
    <w:rsid w:val="00201746"/>
    <w:rsid w:val="00203186"/>
    <w:rsid w:val="00203E4B"/>
    <w:rsid w:val="0020444E"/>
    <w:rsid w:val="00205AF0"/>
    <w:rsid w:val="00207058"/>
    <w:rsid w:val="00207964"/>
    <w:rsid w:val="00210D1F"/>
    <w:rsid w:val="0021304A"/>
    <w:rsid w:val="0021348C"/>
    <w:rsid w:val="002135AA"/>
    <w:rsid w:val="00214757"/>
    <w:rsid w:val="00216BD3"/>
    <w:rsid w:val="002206DF"/>
    <w:rsid w:val="002212C0"/>
    <w:rsid w:val="00222526"/>
    <w:rsid w:val="0022270C"/>
    <w:rsid w:val="00226A14"/>
    <w:rsid w:val="002300BF"/>
    <w:rsid w:val="00232ED8"/>
    <w:rsid w:val="0023341F"/>
    <w:rsid w:val="002341F5"/>
    <w:rsid w:val="00236909"/>
    <w:rsid w:val="00236BED"/>
    <w:rsid w:val="0024027A"/>
    <w:rsid w:val="002402F6"/>
    <w:rsid w:val="00242892"/>
    <w:rsid w:val="002429D9"/>
    <w:rsid w:val="00243EBD"/>
    <w:rsid w:val="00244F26"/>
    <w:rsid w:val="00245441"/>
    <w:rsid w:val="00250220"/>
    <w:rsid w:val="0025098A"/>
    <w:rsid w:val="002520A7"/>
    <w:rsid w:val="00252D11"/>
    <w:rsid w:val="00256DE6"/>
    <w:rsid w:val="00257465"/>
    <w:rsid w:val="0026194C"/>
    <w:rsid w:val="002632CC"/>
    <w:rsid w:val="00271F3C"/>
    <w:rsid w:val="00272011"/>
    <w:rsid w:val="00272596"/>
    <w:rsid w:val="0027572A"/>
    <w:rsid w:val="00276C56"/>
    <w:rsid w:val="00281892"/>
    <w:rsid w:val="00282D70"/>
    <w:rsid w:val="0028414E"/>
    <w:rsid w:val="002930D5"/>
    <w:rsid w:val="00295107"/>
    <w:rsid w:val="002951F5"/>
    <w:rsid w:val="002952AB"/>
    <w:rsid w:val="002A0B3B"/>
    <w:rsid w:val="002A1F33"/>
    <w:rsid w:val="002A2A24"/>
    <w:rsid w:val="002A3545"/>
    <w:rsid w:val="002A3F51"/>
    <w:rsid w:val="002B5396"/>
    <w:rsid w:val="002B5E9F"/>
    <w:rsid w:val="002C05A9"/>
    <w:rsid w:val="002C1109"/>
    <w:rsid w:val="002C146F"/>
    <w:rsid w:val="002C157C"/>
    <w:rsid w:val="002C2799"/>
    <w:rsid w:val="002C4131"/>
    <w:rsid w:val="002C6381"/>
    <w:rsid w:val="002C71C7"/>
    <w:rsid w:val="002D1392"/>
    <w:rsid w:val="002D57F9"/>
    <w:rsid w:val="002D75C6"/>
    <w:rsid w:val="002D7C7E"/>
    <w:rsid w:val="002E3D41"/>
    <w:rsid w:val="002E65EB"/>
    <w:rsid w:val="002F0F2A"/>
    <w:rsid w:val="002F2AA3"/>
    <w:rsid w:val="002F48F1"/>
    <w:rsid w:val="002F5151"/>
    <w:rsid w:val="002F52E6"/>
    <w:rsid w:val="002F6781"/>
    <w:rsid w:val="0030025E"/>
    <w:rsid w:val="00301105"/>
    <w:rsid w:val="00301343"/>
    <w:rsid w:val="00301B04"/>
    <w:rsid w:val="00302D65"/>
    <w:rsid w:val="00303432"/>
    <w:rsid w:val="003059FC"/>
    <w:rsid w:val="00310697"/>
    <w:rsid w:val="00310D13"/>
    <w:rsid w:val="00317CA3"/>
    <w:rsid w:val="00320133"/>
    <w:rsid w:val="00321AAF"/>
    <w:rsid w:val="003221B8"/>
    <w:rsid w:val="00322587"/>
    <w:rsid w:val="00322646"/>
    <w:rsid w:val="003231B7"/>
    <w:rsid w:val="003231DB"/>
    <w:rsid w:val="00323543"/>
    <w:rsid w:val="003236F6"/>
    <w:rsid w:val="00324F34"/>
    <w:rsid w:val="00326669"/>
    <w:rsid w:val="003268A4"/>
    <w:rsid w:val="003279C4"/>
    <w:rsid w:val="00332654"/>
    <w:rsid w:val="00333C54"/>
    <w:rsid w:val="003370D9"/>
    <w:rsid w:val="003370F4"/>
    <w:rsid w:val="003375FF"/>
    <w:rsid w:val="003406C6"/>
    <w:rsid w:val="00341DF9"/>
    <w:rsid w:val="00342329"/>
    <w:rsid w:val="00342E85"/>
    <w:rsid w:val="00343B53"/>
    <w:rsid w:val="00345A77"/>
    <w:rsid w:val="00346382"/>
    <w:rsid w:val="003469E0"/>
    <w:rsid w:val="00346A52"/>
    <w:rsid w:val="00347C1A"/>
    <w:rsid w:val="00351C59"/>
    <w:rsid w:val="003520E2"/>
    <w:rsid w:val="0035227C"/>
    <w:rsid w:val="00352D6D"/>
    <w:rsid w:val="00354A6F"/>
    <w:rsid w:val="00355C9D"/>
    <w:rsid w:val="00355D13"/>
    <w:rsid w:val="00356BD2"/>
    <w:rsid w:val="003575B2"/>
    <w:rsid w:val="00363155"/>
    <w:rsid w:val="003648E2"/>
    <w:rsid w:val="00365A5B"/>
    <w:rsid w:val="003666DC"/>
    <w:rsid w:val="00366F1F"/>
    <w:rsid w:val="003673D3"/>
    <w:rsid w:val="00367FD8"/>
    <w:rsid w:val="0037082B"/>
    <w:rsid w:val="003726BE"/>
    <w:rsid w:val="00373540"/>
    <w:rsid w:val="00373668"/>
    <w:rsid w:val="00374E05"/>
    <w:rsid w:val="00376181"/>
    <w:rsid w:val="00376522"/>
    <w:rsid w:val="00376B7C"/>
    <w:rsid w:val="00380529"/>
    <w:rsid w:val="003814BB"/>
    <w:rsid w:val="00382288"/>
    <w:rsid w:val="003838F0"/>
    <w:rsid w:val="0038448F"/>
    <w:rsid w:val="00385122"/>
    <w:rsid w:val="00390406"/>
    <w:rsid w:val="003916C5"/>
    <w:rsid w:val="00391C07"/>
    <w:rsid w:val="0039286D"/>
    <w:rsid w:val="00394F37"/>
    <w:rsid w:val="0039567A"/>
    <w:rsid w:val="00395D5E"/>
    <w:rsid w:val="00397003"/>
    <w:rsid w:val="003A069D"/>
    <w:rsid w:val="003A233B"/>
    <w:rsid w:val="003A4E77"/>
    <w:rsid w:val="003A6107"/>
    <w:rsid w:val="003B0B0F"/>
    <w:rsid w:val="003B28C2"/>
    <w:rsid w:val="003B2FC6"/>
    <w:rsid w:val="003B4A9F"/>
    <w:rsid w:val="003B61BD"/>
    <w:rsid w:val="003C1613"/>
    <w:rsid w:val="003C5051"/>
    <w:rsid w:val="003C6073"/>
    <w:rsid w:val="003D0B06"/>
    <w:rsid w:val="003D2087"/>
    <w:rsid w:val="003D48F2"/>
    <w:rsid w:val="003D5EAA"/>
    <w:rsid w:val="003D7052"/>
    <w:rsid w:val="003D728B"/>
    <w:rsid w:val="003E113D"/>
    <w:rsid w:val="003E2346"/>
    <w:rsid w:val="003F2AEA"/>
    <w:rsid w:val="003F2D35"/>
    <w:rsid w:val="003F53B6"/>
    <w:rsid w:val="003F5B51"/>
    <w:rsid w:val="003F6B64"/>
    <w:rsid w:val="003F7E8A"/>
    <w:rsid w:val="00400693"/>
    <w:rsid w:val="00403BB9"/>
    <w:rsid w:val="00412301"/>
    <w:rsid w:val="0041302E"/>
    <w:rsid w:val="00415134"/>
    <w:rsid w:val="00415B8E"/>
    <w:rsid w:val="00416AD4"/>
    <w:rsid w:val="004176AD"/>
    <w:rsid w:val="00417E49"/>
    <w:rsid w:val="00420294"/>
    <w:rsid w:val="0042085A"/>
    <w:rsid w:val="00421BE9"/>
    <w:rsid w:val="00424FDA"/>
    <w:rsid w:val="00425338"/>
    <w:rsid w:val="00425B6E"/>
    <w:rsid w:val="004275C8"/>
    <w:rsid w:val="004301D7"/>
    <w:rsid w:val="00430BD5"/>
    <w:rsid w:val="00430C17"/>
    <w:rsid w:val="00431198"/>
    <w:rsid w:val="00431784"/>
    <w:rsid w:val="00432503"/>
    <w:rsid w:val="004329EA"/>
    <w:rsid w:val="00432AA0"/>
    <w:rsid w:val="00433C3C"/>
    <w:rsid w:val="00435F07"/>
    <w:rsid w:val="004361C6"/>
    <w:rsid w:val="00440766"/>
    <w:rsid w:val="004407AB"/>
    <w:rsid w:val="00441036"/>
    <w:rsid w:val="00441C99"/>
    <w:rsid w:val="0044328C"/>
    <w:rsid w:val="00444BCB"/>
    <w:rsid w:val="0044587C"/>
    <w:rsid w:val="00445B37"/>
    <w:rsid w:val="0044657B"/>
    <w:rsid w:val="00447F30"/>
    <w:rsid w:val="00454DE2"/>
    <w:rsid w:val="004621CE"/>
    <w:rsid w:val="00462FC3"/>
    <w:rsid w:val="00463D4D"/>
    <w:rsid w:val="00467AAF"/>
    <w:rsid w:val="0047227D"/>
    <w:rsid w:val="00474B3B"/>
    <w:rsid w:val="004753AC"/>
    <w:rsid w:val="00475A3C"/>
    <w:rsid w:val="0047662A"/>
    <w:rsid w:val="004774D2"/>
    <w:rsid w:val="00480B84"/>
    <w:rsid w:val="00481EE6"/>
    <w:rsid w:val="00481FE0"/>
    <w:rsid w:val="0048293C"/>
    <w:rsid w:val="00482EA9"/>
    <w:rsid w:val="00485A56"/>
    <w:rsid w:val="004868AB"/>
    <w:rsid w:val="00490FF2"/>
    <w:rsid w:val="0049192F"/>
    <w:rsid w:val="00492EFD"/>
    <w:rsid w:val="0049391E"/>
    <w:rsid w:val="00493E4C"/>
    <w:rsid w:val="00495CE4"/>
    <w:rsid w:val="00496DC9"/>
    <w:rsid w:val="00497073"/>
    <w:rsid w:val="004A0F5E"/>
    <w:rsid w:val="004A1CBB"/>
    <w:rsid w:val="004A205F"/>
    <w:rsid w:val="004A2EDF"/>
    <w:rsid w:val="004A3F96"/>
    <w:rsid w:val="004A407E"/>
    <w:rsid w:val="004A439E"/>
    <w:rsid w:val="004A47B2"/>
    <w:rsid w:val="004A5BF2"/>
    <w:rsid w:val="004B0660"/>
    <w:rsid w:val="004B0B35"/>
    <w:rsid w:val="004B209B"/>
    <w:rsid w:val="004B3417"/>
    <w:rsid w:val="004B383F"/>
    <w:rsid w:val="004B3ED8"/>
    <w:rsid w:val="004B4CBC"/>
    <w:rsid w:val="004B4CFF"/>
    <w:rsid w:val="004B65DA"/>
    <w:rsid w:val="004C0F04"/>
    <w:rsid w:val="004C1475"/>
    <w:rsid w:val="004C21AF"/>
    <w:rsid w:val="004C4D28"/>
    <w:rsid w:val="004C655C"/>
    <w:rsid w:val="004C6C80"/>
    <w:rsid w:val="004C78B0"/>
    <w:rsid w:val="004D2BEE"/>
    <w:rsid w:val="004D3DA0"/>
    <w:rsid w:val="004D5B45"/>
    <w:rsid w:val="004D6543"/>
    <w:rsid w:val="004D76E2"/>
    <w:rsid w:val="004E0542"/>
    <w:rsid w:val="004E1E2D"/>
    <w:rsid w:val="004E222F"/>
    <w:rsid w:val="004E28DD"/>
    <w:rsid w:val="004E2C80"/>
    <w:rsid w:val="004E4EB4"/>
    <w:rsid w:val="004E5C5A"/>
    <w:rsid w:val="004E6BDE"/>
    <w:rsid w:val="004F2076"/>
    <w:rsid w:val="004F2605"/>
    <w:rsid w:val="004F3B3A"/>
    <w:rsid w:val="004F47F1"/>
    <w:rsid w:val="004F4AE4"/>
    <w:rsid w:val="004F6616"/>
    <w:rsid w:val="004F6B9C"/>
    <w:rsid w:val="004F6FB1"/>
    <w:rsid w:val="004F7158"/>
    <w:rsid w:val="0050017E"/>
    <w:rsid w:val="00501339"/>
    <w:rsid w:val="0050251D"/>
    <w:rsid w:val="005032B5"/>
    <w:rsid w:val="00503F93"/>
    <w:rsid w:val="00504838"/>
    <w:rsid w:val="00504B97"/>
    <w:rsid w:val="00504F7E"/>
    <w:rsid w:val="0050517F"/>
    <w:rsid w:val="0050533A"/>
    <w:rsid w:val="00506AAE"/>
    <w:rsid w:val="00506D78"/>
    <w:rsid w:val="00511E8E"/>
    <w:rsid w:val="005121F9"/>
    <w:rsid w:val="005126C0"/>
    <w:rsid w:val="00512D57"/>
    <w:rsid w:val="00515A66"/>
    <w:rsid w:val="0051773C"/>
    <w:rsid w:val="00521CB9"/>
    <w:rsid w:val="00523099"/>
    <w:rsid w:val="00523624"/>
    <w:rsid w:val="00524BDC"/>
    <w:rsid w:val="00524DFB"/>
    <w:rsid w:val="00525A1D"/>
    <w:rsid w:val="00530C56"/>
    <w:rsid w:val="00531136"/>
    <w:rsid w:val="0053154B"/>
    <w:rsid w:val="00532320"/>
    <w:rsid w:val="00533874"/>
    <w:rsid w:val="00536B93"/>
    <w:rsid w:val="00540073"/>
    <w:rsid w:val="00541277"/>
    <w:rsid w:val="00542534"/>
    <w:rsid w:val="00542A96"/>
    <w:rsid w:val="00542B2E"/>
    <w:rsid w:val="0054476F"/>
    <w:rsid w:val="00545BA8"/>
    <w:rsid w:val="00550932"/>
    <w:rsid w:val="00555ACF"/>
    <w:rsid w:val="00555F33"/>
    <w:rsid w:val="00556EC1"/>
    <w:rsid w:val="0056187E"/>
    <w:rsid w:val="00562234"/>
    <w:rsid w:val="00566DC9"/>
    <w:rsid w:val="005706D0"/>
    <w:rsid w:val="00571927"/>
    <w:rsid w:val="00571DFE"/>
    <w:rsid w:val="00573692"/>
    <w:rsid w:val="00576DE1"/>
    <w:rsid w:val="00580168"/>
    <w:rsid w:val="00580B26"/>
    <w:rsid w:val="0058128B"/>
    <w:rsid w:val="00582102"/>
    <w:rsid w:val="0058251B"/>
    <w:rsid w:val="00586EA5"/>
    <w:rsid w:val="0058796D"/>
    <w:rsid w:val="00592572"/>
    <w:rsid w:val="00594782"/>
    <w:rsid w:val="005A0F63"/>
    <w:rsid w:val="005A16B2"/>
    <w:rsid w:val="005A1DE9"/>
    <w:rsid w:val="005A5A5E"/>
    <w:rsid w:val="005A628D"/>
    <w:rsid w:val="005B1932"/>
    <w:rsid w:val="005B5070"/>
    <w:rsid w:val="005B6A01"/>
    <w:rsid w:val="005B7256"/>
    <w:rsid w:val="005C396D"/>
    <w:rsid w:val="005C5E23"/>
    <w:rsid w:val="005C68B3"/>
    <w:rsid w:val="005D28D2"/>
    <w:rsid w:val="005D4605"/>
    <w:rsid w:val="005D64D1"/>
    <w:rsid w:val="005E57ED"/>
    <w:rsid w:val="005F0A7E"/>
    <w:rsid w:val="005F1A4E"/>
    <w:rsid w:val="005F297E"/>
    <w:rsid w:val="005F6705"/>
    <w:rsid w:val="005F6B35"/>
    <w:rsid w:val="006013FA"/>
    <w:rsid w:val="00601FC2"/>
    <w:rsid w:val="006028DE"/>
    <w:rsid w:val="006032E3"/>
    <w:rsid w:val="006040AA"/>
    <w:rsid w:val="00604187"/>
    <w:rsid w:val="00604485"/>
    <w:rsid w:val="0060569F"/>
    <w:rsid w:val="006069D4"/>
    <w:rsid w:val="00606E8C"/>
    <w:rsid w:val="00607370"/>
    <w:rsid w:val="0061206C"/>
    <w:rsid w:val="00612B5A"/>
    <w:rsid w:val="00617B8E"/>
    <w:rsid w:val="0062157D"/>
    <w:rsid w:val="006218BF"/>
    <w:rsid w:val="00623244"/>
    <w:rsid w:val="00623B6A"/>
    <w:rsid w:val="00624392"/>
    <w:rsid w:val="00627662"/>
    <w:rsid w:val="00627C70"/>
    <w:rsid w:val="0063009F"/>
    <w:rsid w:val="0063137D"/>
    <w:rsid w:val="00632A59"/>
    <w:rsid w:val="00634483"/>
    <w:rsid w:val="00634B30"/>
    <w:rsid w:val="00635A2A"/>
    <w:rsid w:val="00641006"/>
    <w:rsid w:val="00641B9E"/>
    <w:rsid w:val="00641FF8"/>
    <w:rsid w:val="0064511B"/>
    <w:rsid w:val="00645463"/>
    <w:rsid w:val="00645E0C"/>
    <w:rsid w:val="00650FED"/>
    <w:rsid w:val="00653A00"/>
    <w:rsid w:val="00655B94"/>
    <w:rsid w:val="00660EA1"/>
    <w:rsid w:val="00662430"/>
    <w:rsid w:val="006624C2"/>
    <w:rsid w:val="00662874"/>
    <w:rsid w:val="00663BB2"/>
    <w:rsid w:val="00664590"/>
    <w:rsid w:val="00664A87"/>
    <w:rsid w:val="0066642B"/>
    <w:rsid w:val="00666D95"/>
    <w:rsid w:val="0067039C"/>
    <w:rsid w:val="00671329"/>
    <w:rsid w:val="006756F7"/>
    <w:rsid w:val="0067695C"/>
    <w:rsid w:val="0067747F"/>
    <w:rsid w:val="00681F64"/>
    <w:rsid w:val="00683714"/>
    <w:rsid w:val="00685455"/>
    <w:rsid w:val="00687A65"/>
    <w:rsid w:val="006929B1"/>
    <w:rsid w:val="006930A0"/>
    <w:rsid w:val="00694504"/>
    <w:rsid w:val="0069736D"/>
    <w:rsid w:val="006A0709"/>
    <w:rsid w:val="006A116A"/>
    <w:rsid w:val="006A2573"/>
    <w:rsid w:val="006A3342"/>
    <w:rsid w:val="006A449A"/>
    <w:rsid w:val="006A5777"/>
    <w:rsid w:val="006A5AFD"/>
    <w:rsid w:val="006A6E93"/>
    <w:rsid w:val="006B0C73"/>
    <w:rsid w:val="006B26C5"/>
    <w:rsid w:val="006B3EE9"/>
    <w:rsid w:val="006B6A3C"/>
    <w:rsid w:val="006C039C"/>
    <w:rsid w:val="006C1B79"/>
    <w:rsid w:val="006C317F"/>
    <w:rsid w:val="006C43C3"/>
    <w:rsid w:val="006C45E0"/>
    <w:rsid w:val="006C6679"/>
    <w:rsid w:val="006D1C11"/>
    <w:rsid w:val="006D36C1"/>
    <w:rsid w:val="006D3EBE"/>
    <w:rsid w:val="006D4423"/>
    <w:rsid w:val="006D487B"/>
    <w:rsid w:val="006D517E"/>
    <w:rsid w:val="006D5358"/>
    <w:rsid w:val="006D544B"/>
    <w:rsid w:val="006D68F2"/>
    <w:rsid w:val="006D7DE7"/>
    <w:rsid w:val="006E07E7"/>
    <w:rsid w:val="006E1F67"/>
    <w:rsid w:val="006E2B7E"/>
    <w:rsid w:val="006E2D30"/>
    <w:rsid w:val="006E6B79"/>
    <w:rsid w:val="006F0904"/>
    <w:rsid w:val="006F2513"/>
    <w:rsid w:val="006F3B92"/>
    <w:rsid w:val="006F580D"/>
    <w:rsid w:val="006F6841"/>
    <w:rsid w:val="006F7610"/>
    <w:rsid w:val="006F77A8"/>
    <w:rsid w:val="007029A7"/>
    <w:rsid w:val="00704C60"/>
    <w:rsid w:val="007055FA"/>
    <w:rsid w:val="00705F9A"/>
    <w:rsid w:val="007061D0"/>
    <w:rsid w:val="00706A17"/>
    <w:rsid w:val="00711304"/>
    <w:rsid w:val="0071228B"/>
    <w:rsid w:val="00712523"/>
    <w:rsid w:val="00712697"/>
    <w:rsid w:val="00712FB1"/>
    <w:rsid w:val="0071369A"/>
    <w:rsid w:val="00713B1D"/>
    <w:rsid w:val="00713DC0"/>
    <w:rsid w:val="00714568"/>
    <w:rsid w:val="00717A56"/>
    <w:rsid w:val="007214E2"/>
    <w:rsid w:val="00721CF2"/>
    <w:rsid w:val="00721D0B"/>
    <w:rsid w:val="0072318B"/>
    <w:rsid w:val="007239C7"/>
    <w:rsid w:val="00724BA0"/>
    <w:rsid w:val="00725B5C"/>
    <w:rsid w:val="00725F58"/>
    <w:rsid w:val="00730CE2"/>
    <w:rsid w:val="007316FD"/>
    <w:rsid w:val="0073231C"/>
    <w:rsid w:val="007350A7"/>
    <w:rsid w:val="00735611"/>
    <w:rsid w:val="007409A1"/>
    <w:rsid w:val="00741C31"/>
    <w:rsid w:val="007423C8"/>
    <w:rsid w:val="0074304B"/>
    <w:rsid w:val="007439E2"/>
    <w:rsid w:val="0074490C"/>
    <w:rsid w:val="00745A3A"/>
    <w:rsid w:val="00746A2E"/>
    <w:rsid w:val="00747282"/>
    <w:rsid w:val="00747BF8"/>
    <w:rsid w:val="00747C80"/>
    <w:rsid w:val="0075036F"/>
    <w:rsid w:val="00751EE3"/>
    <w:rsid w:val="00752560"/>
    <w:rsid w:val="00754718"/>
    <w:rsid w:val="00756427"/>
    <w:rsid w:val="007570E2"/>
    <w:rsid w:val="00760C06"/>
    <w:rsid w:val="00761071"/>
    <w:rsid w:val="00762F2A"/>
    <w:rsid w:val="007631F1"/>
    <w:rsid w:val="00764831"/>
    <w:rsid w:val="00764916"/>
    <w:rsid w:val="007673BB"/>
    <w:rsid w:val="0077018C"/>
    <w:rsid w:val="007715B3"/>
    <w:rsid w:val="00771EFA"/>
    <w:rsid w:val="00772DC9"/>
    <w:rsid w:val="00773BAA"/>
    <w:rsid w:val="0077426C"/>
    <w:rsid w:val="00774D56"/>
    <w:rsid w:val="00775941"/>
    <w:rsid w:val="00776B8A"/>
    <w:rsid w:val="00781391"/>
    <w:rsid w:val="00781B60"/>
    <w:rsid w:val="00782FA8"/>
    <w:rsid w:val="00783BA0"/>
    <w:rsid w:val="00783BA1"/>
    <w:rsid w:val="00786F24"/>
    <w:rsid w:val="00790884"/>
    <w:rsid w:val="0079093D"/>
    <w:rsid w:val="00790F29"/>
    <w:rsid w:val="0079277C"/>
    <w:rsid w:val="007929F3"/>
    <w:rsid w:val="00793A35"/>
    <w:rsid w:val="00793BF1"/>
    <w:rsid w:val="007942EB"/>
    <w:rsid w:val="00795694"/>
    <w:rsid w:val="00796356"/>
    <w:rsid w:val="007A3286"/>
    <w:rsid w:val="007A3E56"/>
    <w:rsid w:val="007A430D"/>
    <w:rsid w:val="007A6B29"/>
    <w:rsid w:val="007B026D"/>
    <w:rsid w:val="007B0A9B"/>
    <w:rsid w:val="007B1209"/>
    <w:rsid w:val="007B12BE"/>
    <w:rsid w:val="007B2C57"/>
    <w:rsid w:val="007B2E1C"/>
    <w:rsid w:val="007B5FDE"/>
    <w:rsid w:val="007B685A"/>
    <w:rsid w:val="007C14C1"/>
    <w:rsid w:val="007C40B9"/>
    <w:rsid w:val="007C71E2"/>
    <w:rsid w:val="007D0A89"/>
    <w:rsid w:val="007D1E86"/>
    <w:rsid w:val="007D2EF6"/>
    <w:rsid w:val="007D35CF"/>
    <w:rsid w:val="007D42BB"/>
    <w:rsid w:val="007D5521"/>
    <w:rsid w:val="007D5AA4"/>
    <w:rsid w:val="007D6914"/>
    <w:rsid w:val="007E04A9"/>
    <w:rsid w:val="007E60A0"/>
    <w:rsid w:val="007E6CD5"/>
    <w:rsid w:val="007E700E"/>
    <w:rsid w:val="007E72BA"/>
    <w:rsid w:val="007F08AA"/>
    <w:rsid w:val="007F26F0"/>
    <w:rsid w:val="007F7938"/>
    <w:rsid w:val="00801B47"/>
    <w:rsid w:val="008031B4"/>
    <w:rsid w:val="00803398"/>
    <w:rsid w:val="00803A49"/>
    <w:rsid w:val="00805D42"/>
    <w:rsid w:val="00806120"/>
    <w:rsid w:val="008066DC"/>
    <w:rsid w:val="00811061"/>
    <w:rsid w:val="00813540"/>
    <w:rsid w:val="00813EA9"/>
    <w:rsid w:val="008144FA"/>
    <w:rsid w:val="00815ED6"/>
    <w:rsid w:val="00816AEA"/>
    <w:rsid w:val="00816FD8"/>
    <w:rsid w:val="00820224"/>
    <w:rsid w:val="00820C05"/>
    <w:rsid w:val="00821B1C"/>
    <w:rsid w:val="00825A3F"/>
    <w:rsid w:val="0082642A"/>
    <w:rsid w:val="00832512"/>
    <w:rsid w:val="00841AE1"/>
    <w:rsid w:val="00844DE2"/>
    <w:rsid w:val="0084653A"/>
    <w:rsid w:val="00847024"/>
    <w:rsid w:val="0084799D"/>
    <w:rsid w:val="00847BE9"/>
    <w:rsid w:val="00847EBB"/>
    <w:rsid w:val="00850CD3"/>
    <w:rsid w:val="00852D8D"/>
    <w:rsid w:val="00853071"/>
    <w:rsid w:val="008530B7"/>
    <w:rsid w:val="00853654"/>
    <w:rsid w:val="00854073"/>
    <w:rsid w:val="008555E2"/>
    <w:rsid w:val="00855D2D"/>
    <w:rsid w:val="00856C93"/>
    <w:rsid w:val="0085783D"/>
    <w:rsid w:val="00857EFF"/>
    <w:rsid w:val="00860CC3"/>
    <w:rsid w:val="0086151A"/>
    <w:rsid w:val="008634E0"/>
    <w:rsid w:val="00863509"/>
    <w:rsid w:val="008637D4"/>
    <w:rsid w:val="00863BD1"/>
    <w:rsid w:val="008643CB"/>
    <w:rsid w:val="00864EE4"/>
    <w:rsid w:val="00865F93"/>
    <w:rsid w:val="008716B6"/>
    <w:rsid w:val="00874F6D"/>
    <w:rsid w:val="00875583"/>
    <w:rsid w:val="008767A1"/>
    <w:rsid w:val="0088048D"/>
    <w:rsid w:val="00880D12"/>
    <w:rsid w:val="00880FE1"/>
    <w:rsid w:val="00882D25"/>
    <w:rsid w:val="0088303C"/>
    <w:rsid w:val="0088447E"/>
    <w:rsid w:val="00885000"/>
    <w:rsid w:val="008863CB"/>
    <w:rsid w:val="00891842"/>
    <w:rsid w:val="00891B09"/>
    <w:rsid w:val="00892EF3"/>
    <w:rsid w:val="0089365A"/>
    <w:rsid w:val="00893938"/>
    <w:rsid w:val="00894B47"/>
    <w:rsid w:val="00896013"/>
    <w:rsid w:val="008965BE"/>
    <w:rsid w:val="0089765E"/>
    <w:rsid w:val="00897B4A"/>
    <w:rsid w:val="008A0369"/>
    <w:rsid w:val="008A1595"/>
    <w:rsid w:val="008A219C"/>
    <w:rsid w:val="008A305C"/>
    <w:rsid w:val="008A3CED"/>
    <w:rsid w:val="008A3E5C"/>
    <w:rsid w:val="008A4F03"/>
    <w:rsid w:val="008A4F9E"/>
    <w:rsid w:val="008A66C5"/>
    <w:rsid w:val="008A6735"/>
    <w:rsid w:val="008A6E08"/>
    <w:rsid w:val="008A7EFF"/>
    <w:rsid w:val="008B15EE"/>
    <w:rsid w:val="008B1E71"/>
    <w:rsid w:val="008B20E7"/>
    <w:rsid w:val="008B3B90"/>
    <w:rsid w:val="008B4FB2"/>
    <w:rsid w:val="008B60E7"/>
    <w:rsid w:val="008B6D0B"/>
    <w:rsid w:val="008B73C2"/>
    <w:rsid w:val="008C541C"/>
    <w:rsid w:val="008C56DD"/>
    <w:rsid w:val="008C5939"/>
    <w:rsid w:val="008C5AD5"/>
    <w:rsid w:val="008C748A"/>
    <w:rsid w:val="008C7962"/>
    <w:rsid w:val="008D12EE"/>
    <w:rsid w:val="008D32BF"/>
    <w:rsid w:val="008D4515"/>
    <w:rsid w:val="008D673E"/>
    <w:rsid w:val="008D7CEA"/>
    <w:rsid w:val="008E0339"/>
    <w:rsid w:val="008E2CB1"/>
    <w:rsid w:val="008E3FAB"/>
    <w:rsid w:val="008E50FF"/>
    <w:rsid w:val="008E7E04"/>
    <w:rsid w:val="008F05A9"/>
    <w:rsid w:val="008F06A3"/>
    <w:rsid w:val="008F27E3"/>
    <w:rsid w:val="008F5D68"/>
    <w:rsid w:val="008F67B3"/>
    <w:rsid w:val="008F724A"/>
    <w:rsid w:val="00901CDF"/>
    <w:rsid w:val="009038B3"/>
    <w:rsid w:val="0090506E"/>
    <w:rsid w:val="00905C89"/>
    <w:rsid w:val="009075C5"/>
    <w:rsid w:val="00911C0C"/>
    <w:rsid w:val="00912073"/>
    <w:rsid w:val="00914D9C"/>
    <w:rsid w:val="009155AC"/>
    <w:rsid w:val="00915A2A"/>
    <w:rsid w:val="009215F0"/>
    <w:rsid w:val="00921D87"/>
    <w:rsid w:val="0092771C"/>
    <w:rsid w:val="009316AD"/>
    <w:rsid w:val="00932245"/>
    <w:rsid w:val="00933C55"/>
    <w:rsid w:val="0093570C"/>
    <w:rsid w:val="00936691"/>
    <w:rsid w:val="00940837"/>
    <w:rsid w:val="00940897"/>
    <w:rsid w:val="0094114C"/>
    <w:rsid w:val="00941599"/>
    <w:rsid w:val="0094237B"/>
    <w:rsid w:val="00943541"/>
    <w:rsid w:val="00943AEA"/>
    <w:rsid w:val="00943C6A"/>
    <w:rsid w:val="00943EC6"/>
    <w:rsid w:val="00945120"/>
    <w:rsid w:val="00945523"/>
    <w:rsid w:val="00945A90"/>
    <w:rsid w:val="00946544"/>
    <w:rsid w:val="00946CB4"/>
    <w:rsid w:val="009470E9"/>
    <w:rsid w:val="00947524"/>
    <w:rsid w:val="00950169"/>
    <w:rsid w:val="0095084C"/>
    <w:rsid w:val="00952B17"/>
    <w:rsid w:val="00960C67"/>
    <w:rsid w:val="00962EBD"/>
    <w:rsid w:val="00964761"/>
    <w:rsid w:val="00965BD6"/>
    <w:rsid w:val="00965D8A"/>
    <w:rsid w:val="009675CC"/>
    <w:rsid w:val="009729EC"/>
    <w:rsid w:val="00974366"/>
    <w:rsid w:val="00976564"/>
    <w:rsid w:val="0098108D"/>
    <w:rsid w:val="009829D8"/>
    <w:rsid w:val="009838B8"/>
    <w:rsid w:val="00985B6C"/>
    <w:rsid w:val="0098678E"/>
    <w:rsid w:val="00986909"/>
    <w:rsid w:val="009874D7"/>
    <w:rsid w:val="00991B45"/>
    <w:rsid w:val="00991F01"/>
    <w:rsid w:val="009954B5"/>
    <w:rsid w:val="00995EA5"/>
    <w:rsid w:val="00997045"/>
    <w:rsid w:val="009A2249"/>
    <w:rsid w:val="009A3A5B"/>
    <w:rsid w:val="009A4251"/>
    <w:rsid w:val="009A4B5B"/>
    <w:rsid w:val="009A5E85"/>
    <w:rsid w:val="009B07CE"/>
    <w:rsid w:val="009B28AC"/>
    <w:rsid w:val="009B59F1"/>
    <w:rsid w:val="009C20DF"/>
    <w:rsid w:val="009C2B7F"/>
    <w:rsid w:val="009C2FCA"/>
    <w:rsid w:val="009C36A3"/>
    <w:rsid w:val="009C37D2"/>
    <w:rsid w:val="009C4EEA"/>
    <w:rsid w:val="009C518D"/>
    <w:rsid w:val="009C5D30"/>
    <w:rsid w:val="009C6994"/>
    <w:rsid w:val="009D0716"/>
    <w:rsid w:val="009D3CCA"/>
    <w:rsid w:val="009D41D2"/>
    <w:rsid w:val="009D6B0A"/>
    <w:rsid w:val="009E17D4"/>
    <w:rsid w:val="009E3C13"/>
    <w:rsid w:val="009E47D6"/>
    <w:rsid w:val="009E4C08"/>
    <w:rsid w:val="009E6194"/>
    <w:rsid w:val="009E7523"/>
    <w:rsid w:val="009F398B"/>
    <w:rsid w:val="009F5E71"/>
    <w:rsid w:val="009F7BA5"/>
    <w:rsid w:val="00A00503"/>
    <w:rsid w:val="00A0157A"/>
    <w:rsid w:val="00A02892"/>
    <w:rsid w:val="00A055B6"/>
    <w:rsid w:val="00A05D85"/>
    <w:rsid w:val="00A06365"/>
    <w:rsid w:val="00A10726"/>
    <w:rsid w:val="00A10C5E"/>
    <w:rsid w:val="00A1279C"/>
    <w:rsid w:val="00A14171"/>
    <w:rsid w:val="00A1626B"/>
    <w:rsid w:val="00A23A0C"/>
    <w:rsid w:val="00A24626"/>
    <w:rsid w:val="00A2617B"/>
    <w:rsid w:val="00A277A8"/>
    <w:rsid w:val="00A27813"/>
    <w:rsid w:val="00A303C1"/>
    <w:rsid w:val="00A30B01"/>
    <w:rsid w:val="00A30D17"/>
    <w:rsid w:val="00A33039"/>
    <w:rsid w:val="00A346B4"/>
    <w:rsid w:val="00A3655E"/>
    <w:rsid w:val="00A37978"/>
    <w:rsid w:val="00A403C2"/>
    <w:rsid w:val="00A40432"/>
    <w:rsid w:val="00A4118C"/>
    <w:rsid w:val="00A4305F"/>
    <w:rsid w:val="00A44C5A"/>
    <w:rsid w:val="00A451AE"/>
    <w:rsid w:val="00A458BC"/>
    <w:rsid w:val="00A504EB"/>
    <w:rsid w:val="00A50601"/>
    <w:rsid w:val="00A52280"/>
    <w:rsid w:val="00A52812"/>
    <w:rsid w:val="00A543FE"/>
    <w:rsid w:val="00A54794"/>
    <w:rsid w:val="00A55E9D"/>
    <w:rsid w:val="00A607DF"/>
    <w:rsid w:val="00A60E01"/>
    <w:rsid w:val="00A61CDE"/>
    <w:rsid w:val="00A61E67"/>
    <w:rsid w:val="00A666A1"/>
    <w:rsid w:val="00A70969"/>
    <w:rsid w:val="00A70FAD"/>
    <w:rsid w:val="00A717BF"/>
    <w:rsid w:val="00A72192"/>
    <w:rsid w:val="00A725EA"/>
    <w:rsid w:val="00A72B14"/>
    <w:rsid w:val="00A72B5E"/>
    <w:rsid w:val="00A74492"/>
    <w:rsid w:val="00A7497C"/>
    <w:rsid w:val="00A75D75"/>
    <w:rsid w:val="00A76A48"/>
    <w:rsid w:val="00A77C07"/>
    <w:rsid w:val="00A85C92"/>
    <w:rsid w:val="00A866CC"/>
    <w:rsid w:val="00A87CD9"/>
    <w:rsid w:val="00A905A0"/>
    <w:rsid w:val="00A91F8E"/>
    <w:rsid w:val="00A91F97"/>
    <w:rsid w:val="00A924C6"/>
    <w:rsid w:val="00A94672"/>
    <w:rsid w:val="00A94A79"/>
    <w:rsid w:val="00A94B67"/>
    <w:rsid w:val="00A96157"/>
    <w:rsid w:val="00A96EEF"/>
    <w:rsid w:val="00AA075E"/>
    <w:rsid w:val="00AA0896"/>
    <w:rsid w:val="00AA0D53"/>
    <w:rsid w:val="00AA3248"/>
    <w:rsid w:val="00AA3DB9"/>
    <w:rsid w:val="00AA450C"/>
    <w:rsid w:val="00AA4980"/>
    <w:rsid w:val="00AA49F3"/>
    <w:rsid w:val="00AA5356"/>
    <w:rsid w:val="00AA5836"/>
    <w:rsid w:val="00AA6A43"/>
    <w:rsid w:val="00AA714D"/>
    <w:rsid w:val="00AB2421"/>
    <w:rsid w:val="00AB34C2"/>
    <w:rsid w:val="00AB380E"/>
    <w:rsid w:val="00AB664A"/>
    <w:rsid w:val="00AC0406"/>
    <w:rsid w:val="00AC0F34"/>
    <w:rsid w:val="00AC4953"/>
    <w:rsid w:val="00AC6E6E"/>
    <w:rsid w:val="00AC766F"/>
    <w:rsid w:val="00AC7849"/>
    <w:rsid w:val="00AC7B31"/>
    <w:rsid w:val="00AC7BE5"/>
    <w:rsid w:val="00AD0B84"/>
    <w:rsid w:val="00AD18A4"/>
    <w:rsid w:val="00AD2ECC"/>
    <w:rsid w:val="00AD5EE1"/>
    <w:rsid w:val="00AD7227"/>
    <w:rsid w:val="00AE0C21"/>
    <w:rsid w:val="00AE24B7"/>
    <w:rsid w:val="00AE24E1"/>
    <w:rsid w:val="00AE5357"/>
    <w:rsid w:val="00AE5B9A"/>
    <w:rsid w:val="00AE5E4F"/>
    <w:rsid w:val="00AE64DC"/>
    <w:rsid w:val="00AE68D1"/>
    <w:rsid w:val="00AE6A8F"/>
    <w:rsid w:val="00AE7117"/>
    <w:rsid w:val="00AF3925"/>
    <w:rsid w:val="00AF44DD"/>
    <w:rsid w:val="00AF5C99"/>
    <w:rsid w:val="00AF5F67"/>
    <w:rsid w:val="00AF706C"/>
    <w:rsid w:val="00AF7195"/>
    <w:rsid w:val="00AF7AAB"/>
    <w:rsid w:val="00B001F6"/>
    <w:rsid w:val="00B039D2"/>
    <w:rsid w:val="00B049C6"/>
    <w:rsid w:val="00B070B3"/>
    <w:rsid w:val="00B131E4"/>
    <w:rsid w:val="00B17206"/>
    <w:rsid w:val="00B229F7"/>
    <w:rsid w:val="00B23656"/>
    <w:rsid w:val="00B2375C"/>
    <w:rsid w:val="00B23AB8"/>
    <w:rsid w:val="00B23D6B"/>
    <w:rsid w:val="00B25B85"/>
    <w:rsid w:val="00B272CD"/>
    <w:rsid w:val="00B27A41"/>
    <w:rsid w:val="00B300C0"/>
    <w:rsid w:val="00B30935"/>
    <w:rsid w:val="00B3176E"/>
    <w:rsid w:val="00B357E3"/>
    <w:rsid w:val="00B35921"/>
    <w:rsid w:val="00B3716C"/>
    <w:rsid w:val="00B37377"/>
    <w:rsid w:val="00B408C2"/>
    <w:rsid w:val="00B40A15"/>
    <w:rsid w:val="00B40D21"/>
    <w:rsid w:val="00B432B4"/>
    <w:rsid w:val="00B44E80"/>
    <w:rsid w:val="00B45723"/>
    <w:rsid w:val="00B507D5"/>
    <w:rsid w:val="00B50D54"/>
    <w:rsid w:val="00B51AAC"/>
    <w:rsid w:val="00B53D15"/>
    <w:rsid w:val="00B54665"/>
    <w:rsid w:val="00B5651A"/>
    <w:rsid w:val="00B57960"/>
    <w:rsid w:val="00B600C8"/>
    <w:rsid w:val="00B6130D"/>
    <w:rsid w:val="00B614BC"/>
    <w:rsid w:val="00B6397A"/>
    <w:rsid w:val="00B649F7"/>
    <w:rsid w:val="00B64B07"/>
    <w:rsid w:val="00B66FEE"/>
    <w:rsid w:val="00B677F7"/>
    <w:rsid w:val="00B70B4A"/>
    <w:rsid w:val="00B731F7"/>
    <w:rsid w:val="00B7326E"/>
    <w:rsid w:val="00B751FB"/>
    <w:rsid w:val="00B77057"/>
    <w:rsid w:val="00B772A6"/>
    <w:rsid w:val="00B80491"/>
    <w:rsid w:val="00B8248F"/>
    <w:rsid w:val="00B82D73"/>
    <w:rsid w:val="00B838AA"/>
    <w:rsid w:val="00B87F75"/>
    <w:rsid w:val="00B928E7"/>
    <w:rsid w:val="00B95308"/>
    <w:rsid w:val="00B9619B"/>
    <w:rsid w:val="00B96C5D"/>
    <w:rsid w:val="00B96E34"/>
    <w:rsid w:val="00BA16F0"/>
    <w:rsid w:val="00BA1C56"/>
    <w:rsid w:val="00BA1C5A"/>
    <w:rsid w:val="00BA20D2"/>
    <w:rsid w:val="00BA24F1"/>
    <w:rsid w:val="00BA2A14"/>
    <w:rsid w:val="00BA32CC"/>
    <w:rsid w:val="00BA3500"/>
    <w:rsid w:val="00BA38C5"/>
    <w:rsid w:val="00BA6D7F"/>
    <w:rsid w:val="00BA7632"/>
    <w:rsid w:val="00BA7F94"/>
    <w:rsid w:val="00BB0287"/>
    <w:rsid w:val="00BB2219"/>
    <w:rsid w:val="00BB2B1E"/>
    <w:rsid w:val="00BB3DC9"/>
    <w:rsid w:val="00BB3E8C"/>
    <w:rsid w:val="00BB5C9E"/>
    <w:rsid w:val="00BB6EAD"/>
    <w:rsid w:val="00BB7449"/>
    <w:rsid w:val="00BC1799"/>
    <w:rsid w:val="00BC38DA"/>
    <w:rsid w:val="00BD1EA9"/>
    <w:rsid w:val="00BD203A"/>
    <w:rsid w:val="00BD336F"/>
    <w:rsid w:val="00BD4083"/>
    <w:rsid w:val="00BD429C"/>
    <w:rsid w:val="00BD4D96"/>
    <w:rsid w:val="00BD7D10"/>
    <w:rsid w:val="00BE1918"/>
    <w:rsid w:val="00BE2D8A"/>
    <w:rsid w:val="00BE43AA"/>
    <w:rsid w:val="00BE4A34"/>
    <w:rsid w:val="00BE4A9C"/>
    <w:rsid w:val="00BE5A50"/>
    <w:rsid w:val="00BE6D44"/>
    <w:rsid w:val="00BE7F09"/>
    <w:rsid w:val="00BF060A"/>
    <w:rsid w:val="00BF0B41"/>
    <w:rsid w:val="00BF19F2"/>
    <w:rsid w:val="00BF4738"/>
    <w:rsid w:val="00BF685E"/>
    <w:rsid w:val="00BF7F90"/>
    <w:rsid w:val="00C00959"/>
    <w:rsid w:val="00C00B36"/>
    <w:rsid w:val="00C02793"/>
    <w:rsid w:val="00C04060"/>
    <w:rsid w:val="00C05253"/>
    <w:rsid w:val="00C05887"/>
    <w:rsid w:val="00C06931"/>
    <w:rsid w:val="00C07679"/>
    <w:rsid w:val="00C10AA7"/>
    <w:rsid w:val="00C110A5"/>
    <w:rsid w:val="00C12832"/>
    <w:rsid w:val="00C15F9B"/>
    <w:rsid w:val="00C221ED"/>
    <w:rsid w:val="00C22490"/>
    <w:rsid w:val="00C23114"/>
    <w:rsid w:val="00C23D42"/>
    <w:rsid w:val="00C27DBA"/>
    <w:rsid w:val="00C27EB0"/>
    <w:rsid w:val="00C30C4F"/>
    <w:rsid w:val="00C31E87"/>
    <w:rsid w:val="00C33016"/>
    <w:rsid w:val="00C37928"/>
    <w:rsid w:val="00C42D4A"/>
    <w:rsid w:val="00C42EA0"/>
    <w:rsid w:val="00C43AB8"/>
    <w:rsid w:val="00C451C9"/>
    <w:rsid w:val="00C47D77"/>
    <w:rsid w:val="00C503EA"/>
    <w:rsid w:val="00C51155"/>
    <w:rsid w:val="00C51ECD"/>
    <w:rsid w:val="00C52F74"/>
    <w:rsid w:val="00C53061"/>
    <w:rsid w:val="00C532D9"/>
    <w:rsid w:val="00C55546"/>
    <w:rsid w:val="00C61278"/>
    <w:rsid w:val="00C616CB"/>
    <w:rsid w:val="00C61F61"/>
    <w:rsid w:val="00C64F7A"/>
    <w:rsid w:val="00C66326"/>
    <w:rsid w:val="00C70379"/>
    <w:rsid w:val="00C7091E"/>
    <w:rsid w:val="00C71A26"/>
    <w:rsid w:val="00C74E10"/>
    <w:rsid w:val="00C75684"/>
    <w:rsid w:val="00C806F3"/>
    <w:rsid w:val="00C83B62"/>
    <w:rsid w:val="00C84535"/>
    <w:rsid w:val="00C86306"/>
    <w:rsid w:val="00C87412"/>
    <w:rsid w:val="00C87DA3"/>
    <w:rsid w:val="00C911F0"/>
    <w:rsid w:val="00C9271B"/>
    <w:rsid w:val="00C95E7C"/>
    <w:rsid w:val="00C9629A"/>
    <w:rsid w:val="00C97602"/>
    <w:rsid w:val="00CA364E"/>
    <w:rsid w:val="00CA5462"/>
    <w:rsid w:val="00CB15F6"/>
    <w:rsid w:val="00CB36DA"/>
    <w:rsid w:val="00CB41EE"/>
    <w:rsid w:val="00CB709E"/>
    <w:rsid w:val="00CB76B4"/>
    <w:rsid w:val="00CC20C2"/>
    <w:rsid w:val="00CC256B"/>
    <w:rsid w:val="00CC2BE2"/>
    <w:rsid w:val="00CC3993"/>
    <w:rsid w:val="00CC75B2"/>
    <w:rsid w:val="00CC768B"/>
    <w:rsid w:val="00CC7B5A"/>
    <w:rsid w:val="00CD2DEB"/>
    <w:rsid w:val="00CD3942"/>
    <w:rsid w:val="00CD404C"/>
    <w:rsid w:val="00CD476B"/>
    <w:rsid w:val="00CD4F87"/>
    <w:rsid w:val="00CD5CC5"/>
    <w:rsid w:val="00CD5D54"/>
    <w:rsid w:val="00CD6355"/>
    <w:rsid w:val="00CD7EA2"/>
    <w:rsid w:val="00CE0728"/>
    <w:rsid w:val="00CE1873"/>
    <w:rsid w:val="00CE289B"/>
    <w:rsid w:val="00CE306B"/>
    <w:rsid w:val="00CE3116"/>
    <w:rsid w:val="00CE315C"/>
    <w:rsid w:val="00CE3916"/>
    <w:rsid w:val="00CE52FB"/>
    <w:rsid w:val="00CE5C39"/>
    <w:rsid w:val="00CF040F"/>
    <w:rsid w:val="00CF1AE2"/>
    <w:rsid w:val="00CF29ED"/>
    <w:rsid w:val="00CF56B3"/>
    <w:rsid w:val="00D00E27"/>
    <w:rsid w:val="00D01140"/>
    <w:rsid w:val="00D01927"/>
    <w:rsid w:val="00D036CC"/>
    <w:rsid w:val="00D06216"/>
    <w:rsid w:val="00D0657F"/>
    <w:rsid w:val="00D066E7"/>
    <w:rsid w:val="00D07F6A"/>
    <w:rsid w:val="00D104C2"/>
    <w:rsid w:val="00D11B84"/>
    <w:rsid w:val="00D11CAF"/>
    <w:rsid w:val="00D11CDD"/>
    <w:rsid w:val="00D13595"/>
    <w:rsid w:val="00D139CB"/>
    <w:rsid w:val="00D13E51"/>
    <w:rsid w:val="00D14034"/>
    <w:rsid w:val="00D14E25"/>
    <w:rsid w:val="00D15FAA"/>
    <w:rsid w:val="00D16C79"/>
    <w:rsid w:val="00D21F56"/>
    <w:rsid w:val="00D2223D"/>
    <w:rsid w:val="00D25722"/>
    <w:rsid w:val="00D2724E"/>
    <w:rsid w:val="00D273C0"/>
    <w:rsid w:val="00D3399D"/>
    <w:rsid w:val="00D35859"/>
    <w:rsid w:val="00D361CB"/>
    <w:rsid w:val="00D361D3"/>
    <w:rsid w:val="00D37084"/>
    <w:rsid w:val="00D372F3"/>
    <w:rsid w:val="00D374EC"/>
    <w:rsid w:val="00D419C3"/>
    <w:rsid w:val="00D41A1E"/>
    <w:rsid w:val="00D41AED"/>
    <w:rsid w:val="00D42F3C"/>
    <w:rsid w:val="00D45182"/>
    <w:rsid w:val="00D45F7A"/>
    <w:rsid w:val="00D46FC9"/>
    <w:rsid w:val="00D519B6"/>
    <w:rsid w:val="00D544CB"/>
    <w:rsid w:val="00D550EC"/>
    <w:rsid w:val="00D56DFB"/>
    <w:rsid w:val="00D60C8F"/>
    <w:rsid w:val="00D612DD"/>
    <w:rsid w:val="00D61AD7"/>
    <w:rsid w:val="00D61D6D"/>
    <w:rsid w:val="00D62BAB"/>
    <w:rsid w:val="00D64821"/>
    <w:rsid w:val="00D651BB"/>
    <w:rsid w:val="00D715F9"/>
    <w:rsid w:val="00D7160F"/>
    <w:rsid w:val="00D71BD4"/>
    <w:rsid w:val="00D71C41"/>
    <w:rsid w:val="00D763D9"/>
    <w:rsid w:val="00D8062D"/>
    <w:rsid w:val="00D80E29"/>
    <w:rsid w:val="00D849D1"/>
    <w:rsid w:val="00D84ACC"/>
    <w:rsid w:val="00D86B31"/>
    <w:rsid w:val="00D92104"/>
    <w:rsid w:val="00D93B15"/>
    <w:rsid w:val="00D94778"/>
    <w:rsid w:val="00D94CBB"/>
    <w:rsid w:val="00D9534B"/>
    <w:rsid w:val="00D967F6"/>
    <w:rsid w:val="00DA0AC3"/>
    <w:rsid w:val="00DA2711"/>
    <w:rsid w:val="00DA295A"/>
    <w:rsid w:val="00DA2B5C"/>
    <w:rsid w:val="00DA4EDE"/>
    <w:rsid w:val="00DA53F6"/>
    <w:rsid w:val="00DA736C"/>
    <w:rsid w:val="00DB02AC"/>
    <w:rsid w:val="00DB18E9"/>
    <w:rsid w:val="00DB1A9F"/>
    <w:rsid w:val="00DB1F5B"/>
    <w:rsid w:val="00DB2FED"/>
    <w:rsid w:val="00DB3541"/>
    <w:rsid w:val="00DB43A3"/>
    <w:rsid w:val="00DB6725"/>
    <w:rsid w:val="00DB69F7"/>
    <w:rsid w:val="00DB7815"/>
    <w:rsid w:val="00DB7C70"/>
    <w:rsid w:val="00DC1107"/>
    <w:rsid w:val="00DC213C"/>
    <w:rsid w:val="00DC4254"/>
    <w:rsid w:val="00DC53F2"/>
    <w:rsid w:val="00DC5536"/>
    <w:rsid w:val="00DD7872"/>
    <w:rsid w:val="00DD793D"/>
    <w:rsid w:val="00DE0D50"/>
    <w:rsid w:val="00DE150E"/>
    <w:rsid w:val="00DE1647"/>
    <w:rsid w:val="00DE391F"/>
    <w:rsid w:val="00DE435D"/>
    <w:rsid w:val="00DE490E"/>
    <w:rsid w:val="00DE766C"/>
    <w:rsid w:val="00DE7E60"/>
    <w:rsid w:val="00DF0433"/>
    <w:rsid w:val="00DF0708"/>
    <w:rsid w:val="00DF433F"/>
    <w:rsid w:val="00DF5974"/>
    <w:rsid w:val="00E0121C"/>
    <w:rsid w:val="00E0290C"/>
    <w:rsid w:val="00E036E7"/>
    <w:rsid w:val="00E059E9"/>
    <w:rsid w:val="00E06ED9"/>
    <w:rsid w:val="00E07041"/>
    <w:rsid w:val="00E07FB2"/>
    <w:rsid w:val="00E17BCD"/>
    <w:rsid w:val="00E21C54"/>
    <w:rsid w:val="00E2232D"/>
    <w:rsid w:val="00E23171"/>
    <w:rsid w:val="00E25467"/>
    <w:rsid w:val="00E25909"/>
    <w:rsid w:val="00E273E9"/>
    <w:rsid w:val="00E275A1"/>
    <w:rsid w:val="00E27F7F"/>
    <w:rsid w:val="00E36D93"/>
    <w:rsid w:val="00E37551"/>
    <w:rsid w:val="00E37623"/>
    <w:rsid w:val="00E40FC6"/>
    <w:rsid w:val="00E41765"/>
    <w:rsid w:val="00E41AA1"/>
    <w:rsid w:val="00E41B40"/>
    <w:rsid w:val="00E42E87"/>
    <w:rsid w:val="00E42FFC"/>
    <w:rsid w:val="00E45DF9"/>
    <w:rsid w:val="00E503BA"/>
    <w:rsid w:val="00E50856"/>
    <w:rsid w:val="00E51616"/>
    <w:rsid w:val="00E51D6F"/>
    <w:rsid w:val="00E52ADB"/>
    <w:rsid w:val="00E54E23"/>
    <w:rsid w:val="00E56347"/>
    <w:rsid w:val="00E61A0A"/>
    <w:rsid w:val="00E62961"/>
    <w:rsid w:val="00E62A3A"/>
    <w:rsid w:val="00E62F7D"/>
    <w:rsid w:val="00E63047"/>
    <w:rsid w:val="00E636CD"/>
    <w:rsid w:val="00E64A16"/>
    <w:rsid w:val="00E67FF4"/>
    <w:rsid w:val="00E707ED"/>
    <w:rsid w:val="00E71F0B"/>
    <w:rsid w:val="00E73160"/>
    <w:rsid w:val="00E76278"/>
    <w:rsid w:val="00E77C6F"/>
    <w:rsid w:val="00E82825"/>
    <w:rsid w:val="00E828D6"/>
    <w:rsid w:val="00E842C7"/>
    <w:rsid w:val="00E84D21"/>
    <w:rsid w:val="00E84F94"/>
    <w:rsid w:val="00E86F44"/>
    <w:rsid w:val="00E87482"/>
    <w:rsid w:val="00E91F7D"/>
    <w:rsid w:val="00E92068"/>
    <w:rsid w:val="00E92701"/>
    <w:rsid w:val="00E92DD0"/>
    <w:rsid w:val="00E93F6A"/>
    <w:rsid w:val="00EA0362"/>
    <w:rsid w:val="00EA1341"/>
    <w:rsid w:val="00EA19F3"/>
    <w:rsid w:val="00EA203D"/>
    <w:rsid w:val="00EA488E"/>
    <w:rsid w:val="00EA4DF6"/>
    <w:rsid w:val="00EA5522"/>
    <w:rsid w:val="00EA5B05"/>
    <w:rsid w:val="00EA6273"/>
    <w:rsid w:val="00EA6B8F"/>
    <w:rsid w:val="00EB14C6"/>
    <w:rsid w:val="00EB2033"/>
    <w:rsid w:val="00EB2090"/>
    <w:rsid w:val="00EB5076"/>
    <w:rsid w:val="00EC0367"/>
    <w:rsid w:val="00EC0B12"/>
    <w:rsid w:val="00EC1374"/>
    <w:rsid w:val="00EC286A"/>
    <w:rsid w:val="00EC313C"/>
    <w:rsid w:val="00EC5220"/>
    <w:rsid w:val="00EC66C2"/>
    <w:rsid w:val="00EC716C"/>
    <w:rsid w:val="00ED0E30"/>
    <w:rsid w:val="00ED1624"/>
    <w:rsid w:val="00ED1759"/>
    <w:rsid w:val="00ED2098"/>
    <w:rsid w:val="00ED693D"/>
    <w:rsid w:val="00EE1ADA"/>
    <w:rsid w:val="00EE3451"/>
    <w:rsid w:val="00EE524A"/>
    <w:rsid w:val="00EE7A99"/>
    <w:rsid w:val="00EE7E6B"/>
    <w:rsid w:val="00EF0A21"/>
    <w:rsid w:val="00EF4373"/>
    <w:rsid w:val="00EF4C7D"/>
    <w:rsid w:val="00EF50C5"/>
    <w:rsid w:val="00EF6D52"/>
    <w:rsid w:val="00F038A4"/>
    <w:rsid w:val="00F073AE"/>
    <w:rsid w:val="00F07A61"/>
    <w:rsid w:val="00F112F1"/>
    <w:rsid w:val="00F14DEA"/>
    <w:rsid w:val="00F1503E"/>
    <w:rsid w:val="00F152FB"/>
    <w:rsid w:val="00F21528"/>
    <w:rsid w:val="00F21999"/>
    <w:rsid w:val="00F220C7"/>
    <w:rsid w:val="00F232FB"/>
    <w:rsid w:val="00F2475F"/>
    <w:rsid w:val="00F24DFF"/>
    <w:rsid w:val="00F26906"/>
    <w:rsid w:val="00F26D2E"/>
    <w:rsid w:val="00F26D8F"/>
    <w:rsid w:val="00F30F97"/>
    <w:rsid w:val="00F337A0"/>
    <w:rsid w:val="00F34558"/>
    <w:rsid w:val="00F37B5A"/>
    <w:rsid w:val="00F423F5"/>
    <w:rsid w:val="00F43117"/>
    <w:rsid w:val="00F437C0"/>
    <w:rsid w:val="00F442B6"/>
    <w:rsid w:val="00F447FA"/>
    <w:rsid w:val="00F45630"/>
    <w:rsid w:val="00F458DF"/>
    <w:rsid w:val="00F45D02"/>
    <w:rsid w:val="00F45FBE"/>
    <w:rsid w:val="00F470A9"/>
    <w:rsid w:val="00F47A3B"/>
    <w:rsid w:val="00F501B0"/>
    <w:rsid w:val="00F50AE4"/>
    <w:rsid w:val="00F52F73"/>
    <w:rsid w:val="00F53425"/>
    <w:rsid w:val="00F53515"/>
    <w:rsid w:val="00F53ED5"/>
    <w:rsid w:val="00F5401C"/>
    <w:rsid w:val="00F563ED"/>
    <w:rsid w:val="00F5675C"/>
    <w:rsid w:val="00F56CA8"/>
    <w:rsid w:val="00F61299"/>
    <w:rsid w:val="00F61B6A"/>
    <w:rsid w:val="00F62293"/>
    <w:rsid w:val="00F62591"/>
    <w:rsid w:val="00F662AF"/>
    <w:rsid w:val="00F70AAC"/>
    <w:rsid w:val="00F70BA2"/>
    <w:rsid w:val="00F70F0A"/>
    <w:rsid w:val="00F76694"/>
    <w:rsid w:val="00F77D4A"/>
    <w:rsid w:val="00F813FD"/>
    <w:rsid w:val="00F829AA"/>
    <w:rsid w:val="00F82A0E"/>
    <w:rsid w:val="00F83834"/>
    <w:rsid w:val="00F83E1C"/>
    <w:rsid w:val="00F83F12"/>
    <w:rsid w:val="00F85C8E"/>
    <w:rsid w:val="00F87B78"/>
    <w:rsid w:val="00F955B3"/>
    <w:rsid w:val="00F95992"/>
    <w:rsid w:val="00F95D5C"/>
    <w:rsid w:val="00F97FAA"/>
    <w:rsid w:val="00FA1604"/>
    <w:rsid w:val="00FA164C"/>
    <w:rsid w:val="00FA1BF0"/>
    <w:rsid w:val="00FA34BA"/>
    <w:rsid w:val="00FA5E95"/>
    <w:rsid w:val="00FA6749"/>
    <w:rsid w:val="00FA68A8"/>
    <w:rsid w:val="00FB00E8"/>
    <w:rsid w:val="00FB2FCB"/>
    <w:rsid w:val="00FB5EB7"/>
    <w:rsid w:val="00FB6B7F"/>
    <w:rsid w:val="00FB725B"/>
    <w:rsid w:val="00FB7E25"/>
    <w:rsid w:val="00FC1490"/>
    <w:rsid w:val="00FC2BB1"/>
    <w:rsid w:val="00FC2DD2"/>
    <w:rsid w:val="00FC2F90"/>
    <w:rsid w:val="00FC462A"/>
    <w:rsid w:val="00FC5584"/>
    <w:rsid w:val="00FC6110"/>
    <w:rsid w:val="00FC764A"/>
    <w:rsid w:val="00FD0415"/>
    <w:rsid w:val="00FD25C1"/>
    <w:rsid w:val="00FD3833"/>
    <w:rsid w:val="00FD4D9F"/>
    <w:rsid w:val="00FD65D1"/>
    <w:rsid w:val="00FD68CA"/>
    <w:rsid w:val="00FD7B11"/>
    <w:rsid w:val="00FE3579"/>
    <w:rsid w:val="00FE36DC"/>
    <w:rsid w:val="00FE73F3"/>
    <w:rsid w:val="00FE7EFE"/>
    <w:rsid w:val="00FF04A2"/>
    <w:rsid w:val="00FF1B87"/>
    <w:rsid w:val="00FF247D"/>
    <w:rsid w:val="00FF3080"/>
    <w:rsid w:val="00FF34E4"/>
    <w:rsid w:val="00FF4C40"/>
    <w:rsid w:val="00FF5934"/>
    <w:rsid w:val="00FF5A52"/>
    <w:rsid w:val="00FF67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CA"/>
    <w:pPr>
      <w:widowControl w:val="0"/>
      <w:jc w:val="both"/>
    </w:pPr>
    <w:rPr>
      <w:rFonts w:ascii="Times New Roman" w:hAnsi="Times New Roman"/>
      <w:kern w:val="2"/>
      <w:sz w:val="21"/>
      <w:szCs w:val="24"/>
    </w:rPr>
  </w:style>
  <w:style w:type="paragraph" w:styleId="3">
    <w:name w:val="heading 3"/>
    <w:basedOn w:val="a"/>
    <w:next w:val="a"/>
    <w:link w:val="3Char"/>
    <w:qFormat/>
    <w:rsid w:val="00FD68C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FD68CA"/>
    <w:rPr>
      <w:rFonts w:ascii="Times New Roman" w:eastAsia="宋体" w:hAnsi="Times New Roman" w:cs="Times New Roman"/>
      <w:b/>
      <w:bCs/>
      <w:sz w:val="32"/>
      <w:szCs w:val="32"/>
    </w:rPr>
  </w:style>
  <w:style w:type="character" w:customStyle="1" w:styleId="Char">
    <w:name w:val="页脚 Char"/>
    <w:link w:val="a3"/>
    <w:rsid w:val="00FD68CA"/>
    <w:rPr>
      <w:rFonts w:ascii="Times New Roman" w:eastAsia="宋体" w:hAnsi="Times New Roman" w:cs="Times New Roman"/>
      <w:sz w:val="18"/>
      <w:szCs w:val="18"/>
    </w:rPr>
  </w:style>
  <w:style w:type="paragraph" w:styleId="a3">
    <w:name w:val="footer"/>
    <w:basedOn w:val="a"/>
    <w:link w:val="Char"/>
    <w:rsid w:val="00FD68CA"/>
    <w:pPr>
      <w:tabs>
        <w:tab w:val="center" w:pos="4153"/>
        <w:tab w:val="right" w:pos="8306"/>
      </w:tabs>
      <w:snapToGrid w:val="0"/>
      <w:jc w:val="left"/>
    </w:pPr>
    <w:rPr>
      <w:kern w:val="0"/>
      <w:sz w:val="18"/>
      <w:szCs w:val="18"/>
    </w:rPr>
  </w:style>
  <w:style w:type="character" w:customStyle="1" w:styleId="Char1">
    <w:name w:val="页脚 Char1"/>
    <w:uiPriority w:val="99"/>
    <w:semiHidden/>
    <w:rsid w:val="00FD68CA"/>
    <w:rPr>
      <w:rFonts w:ascii="Times New Roman" w:eastAsia="宋体" w:hAnsi="Times New Roman" w:cs="Times New Roman"/>
      <w:sz w:val="18"/>
      <w:szCs w:val="18"/>
    </w:rPr>
  </w:style>
  <w:style w:type="character" w:styleId="a4">
    <w:name w:val="page number"/>
    <w:basedOn w:val="a0"/>
    <w:rsid w:val="00FD68CA"/>
  </w:style>
  <w:style w:type="paragraph" w:styleId="a5">
    <w:name w:val="header"/>
    <w:basedOn w:val="a"/>
    <w:link w:val="Char0"/>
    <w:uiPriority w:val="99"/>
    <w:unhideWhenUsed/>
    <w:rsid w:val="00E5161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uiPriority w:val="99"/>
    <w:rsid w:val="00E51616"/>
    <w:rPr>
      <w:rFonts w:ascii="Times New Roman" w:eastAsia="宋体" w:hAnsi="Times New Roman" w:cs="Times New Roman"/>
      <w:sz w:val="18"/>
      <w:szCs w:val="18"/>
    </w:rPr>
  </w:style>
  <w:style w:type="paragraph" w:styleId="a6">
    <w:name w:val="Balloon Text"/>
    <w:basedOn w:val="a"/>
    <w:link w:val="Char2"/>
    <w:uiPriority w:val="99"/>
    <w:semiHidden/>
    <w:unhideWhenUsed/>
    <w:rsid w:val="00E51616"/>
    <w:rPr>
      <w:kern w:val="0"/>
      <w:sz w:val="18"/>
      <w:szCs w:val="18"/>
    </w:rPr>
  </w:style>
  <w:style w:type="character" w:customStyle="1" w:styleId="Char2">
    <w:name w:val="批注框文本 Char"/>
    <w:link w:val="a6"/>
    <w:uiPriority w:val="99"/>
    <w:semiHidden/>
    <w:rsid w:val="00E51616"/>
    <w:rPr>
      <w:rFonts w:ascii="Times New Roman" w:eastAsia="宋体" w:hAnsi="Times New Roman" w:cs="Times New Roman"/>
      <w:sz w:val="18"/>
      <w:szCs w:val="18"/>
    </w:rPr>
  </w:style>
  <w:style w:type="character" w:styleId="a7">
    <w:name w:val="Hyperlink"/>
    <w:uiPriority w:val="99"/>
    <w:unhideWhenUsed/>
    <w:rsid w:val="00A2617B"/>
    <w:rPr>
      <w:color w:val="0000FF"/>
      <w:u w:val="single"/>
    </w:rPr>
  </w:style>
  <w:style w:type="character" w:styleId="a8">
    <w:name w:val="annotation reference"/>
    <w:uiPriority w:val="99"/>
    <w:semiHidden/>
    <w:unhideWhenUsed/>
    <w:rsid w:val="001C7B65"/>
    <w:rPr>
      <w:sz w:val="21"/>
      <w:szCs w:val="21"/>
    </w:rPr>
  </w:style>
  <w:style w:type="paragraph" w:styleId="a9">
    <w:name w:val="annotation text"/>
    <w:basedOn w:val="a"/>
    <w:link w:val="Char3"/>
    <w:uiPriority w:val="99"/>
    <w:semiHidden/>
    <w:unhideWhenUsed/>
    <w:rsid w:val="001C7B65"/>
    <w:pPr>
      <w:jc w:val="left"/>
    </w:pPr>
  </w:style>
  <w:style w:type="character" w:customStyle="1" w:styleId="Char3">
    <w:name w:val="批注文字 Char"/>
    <w:link w:val="a9"/>
    <w:uiPriority w:val="99"/>
    <w:semiHidden/>
    <w:rsid w:val="001C7B65"/>
    <w:rPr>
      <w:rFonts w:ascii="Times New Roman" w:hAnsi="Times New Roman"/>
      <w:kern w:val="2"/>
      <w:sz w:val="21"/>
      <w:szCs w:val="24"/>
      <w:lang w:bidi="ar-SA"/>
    </w:rPr>
  </w:style>
  <w:style w:type="paragraph" w:styleId="aa">
    <w:name w:val="annotation subject"/>
    <w:basedOn w:val="a9"/>
    <w:next w:val="a9"/>
    <w:link w:val="Char4"/>
    <w:uiPriority w:val="99"/>
    <w:semiHidden/>
    <w:unhideWhenUsed/>
    <w:rsid w:val="001C7B65"/>
    <w:rPr>
      <w:b/>
      <w:bCs/>
    </w:rPr>
  </w:style>
  <w:style w:type="character" w:customStyle="1" w:styleId="Char4">
    <w:name w:val="批注主题 Char"/>
    <w:link w:val="aa"/>
    <w:uiPriority w:val="99"/>
    <w:semiHidden/>
    <w:rsid w:val="001C7B65"/>
    <w:rPr>
      <w:rFonts w:ascii="Times New Roman" w:hAnsi="Times New Roman"/>
      <w:b/>
      <w:bCs/>
      <w:kern w:val="2"/>
      <w:sz w:val="21"/>
      <w:szCs w:val="24"/>
      <w:lang w:bidi="ar-SA"/>
    </w:rPr>
  </w:style>
  <w:style w:type="paragraph" w:styleId="ab">
    <w:name w:val="Date"/>
    <w:basedOn w:val="a"/>
    <w:next w:val="a"/>
    <w:link w:val="Char5"/>
    <w:uiPriority w:val="99"/>
    <w:semiHidden/>
    <w:unhideWhenUsed/>
    <w:rsid w:val="008A6735"/>
    <w:pPr>
      <w:ind w:leftChars="2500" w:left="100"/>
    </w:pPr>
  </w:style>
  <w:style w:type="character" w:customStyle="1" w:styleId="Char5">
    <w:name w:val="日期 Char"/>
    <w:link w:val="ab"/>
    <w:uiPriority w:val="99"/>
    <w:semiHidden/>
    <w:rsid w:val="008A6735"/>
    <w:rPr>
      <w:rFonts w:ascii="Times New Roman" w:hAnsi="Times New Roman"/>
      <w:kern w:val="2"/>
      <w:sz w:val="21"/>
      <w:szCs w:val="24"/>
      <w:lang w:bidi="ar-SA"/>
    </w:rPr>
  </w:style>
  <w:style w:type="paragraph" w:styleId="ac">
    <w:name w:val="Document Map"/>
    <w:basedOn w:val="a"/>
    <w:link w:val="Char6"/>
    <w:uiPriority w:val="99"/>
    <w:semiHidden/>
    <w:unhideWhenUsed/>
    <w:rsid w:val="00DC53F2"/>
    <w:rPr>
      <w:rFonts w:ascii="宋体"/>
      <w:sz w:val="18"/>
      <w:szCs w:val="18"/>
    </w:rPr>
  </w:style>
  <w:style w:type="character" w:customStyle="1" w:styleId="Char6">
    <w:name w:val="文档结构图 Char"/>
    <w:link w:val="ac"/>
    <w:uiPriority w:val="99"/>
    <w:semiHidden/>
    <w:rsid w:val="00DC53F2"/>
    <w:rPr>
      <w:rFonts w:ascii="宋体" w:hAnsi="Times New Roman"/>
      <w:kern w:val="2"/>
      <w:sz w:val="18"/>
      <w:szCs w:val="18"/>
    </w:rPr>
  </w:style>
  <w:style w:type="paragraph" w:customStyle="1" w:styleId="ad">
    <w:name w:val="正文所"/>
    <w:basedOn w:val="a"/>
    <w:rsid w:val="00775941"/>
    <w:pPr>
      <w:spacing w:line="360" w:lineRule="auto"/>
      <w:ind w:firstLineChars="200" w:firstLine="420"/>
    </w:pPr>
    <w:rPr>
      <w:rFonts w:ascii="宋体"/>
      <w:szCs w:val="20"/>
    </w:rPr>
  </w:style>
  <w:style w:type="paragraph" w:customStyle="1" w:styleId="0">
    <w:name w:val="正文_0"/>
    <w:qFormat/>
    <w:rsid w:val="00302D65"/>
    <w:pPr>
      <w:widowControl w:val="0"/>
      <w:jc w:val="both"/>
    </w:pPr>
    <w:rPr>
      <w:rFonts w:ascii="Times New Roman" w:hAnsi="Times New Roman"/>
      <w:kern w:val="2"/>
      <w:sz w:val="21"/>
      <w:szCs w:val="24"/>
    </w:rPr>
  </w:style>
  <w:style w:type="paragraph" w:styleId="ae">
    <w:name w:val="Revision"/>
    <w:hidden/>
    <w:uiPriority w:val="99"/>
    <w:semiHidden/>
    <w:rsid w:val="00D01140"/>
    <w:rPr>
      <w:rFonts w:ascii="Times New Roman" w:hAnsi="Times New Roman"/>
      <w:kern w:val="2"/>
      <w:sz w:val="21"/>
      <w:szCs w:val="24"/>
    </w:rPr>
  </w:style>
  <w:style w:type="character" w:customStyle="1" w:styleId="fontstyle01">
    <w:name w:val="fontstyle01"/>
    <w:rsid w:val="00243EBD"/>
    <w:rPr>
      <w:rFonts w:ascii="宋体" w:eastAsia="宋体" w:hAnsi="宋体" w:hint="eastAsia"/>
      <w:b w:val="0"/>
      <w:bCs w:val="0"/>
      <w:i w:val="0"/>
      <w:iCs w:val="0"/>
      <w:color w:val="000000"/>
      <w:sz w:val="24"/>
      <w:szCs w:val="24"/>
    </w:rPr>
  </w:style>
  <w:style w:type="character" w:customStyle="1" w:styleId="fontstyle21">
    <w:name w:val="fontstyle21"/>
    <w:rsid w:val="00243EBD"/>
    <w:rPr>
      <w:rFonts w:ascii="Times New Roman" w:hAnsi="Times New Roman" w:cs="Times New Roman"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83318851">
      <w:bodyDiv w:val="1"/>
      <w:marLeft w:val="0"/>
      <w:marRight w:val="0"/>
      <w:marTop w:val="0"/>
      <w:marBottom w:val="0"/>
      <w:divBdr>
        <w:top w:val="none" w:sz="0" w:space="0" w:color="auto"/>
        <w:left w:val="none" w:sz="0" w:space="0" w:color="auto"/>
        <w:bottom w:val="none" w:sz="0" w:space="0" w:color="auto"/>
        <w:right w:val="none" w:sz="0" w:space="0" w:color="auto"/>
      </w:divBdr>
      <w:divsChild>
        <w:div w:id="572007647">
          <w:marLeft w:val="0"/>
          <w:marRight w:val="0"/>
          <w:marTop w:val="0"/>
          <w:marBottom w:val="0"/>
          <w:divBdr>
            <w:top w:val="none" w:sz="0" w:space="0" w:color="auto"/>
            <w:left w:val="none" w:sz="0" w:space="0" w:color="auto"/>
            <w:bottom w:val="none" w:sz="0" w:space="0" w:color="auto"/>
            <w:right w:val="none" w:sz="0" w:space="0" w:color="auto"/>
          </w:divBdr>
          <w:divsChild>
            <w:div w:id="1052264133">
              <w:marLeft w:val="0"/>
              <w:marRight w:val="0"/>
              <w:marTop w:val="0"/>
              <w:marBottom w:val="0"/>
              <w:divBdr>
                <w:top w:val="none" w:sz="0" w:space="0" w:color="auto"/>
                <w:left w:val="none" w:sz="0" w:space="0" w:color="auto"/>
                <w:bottom w:val="none" w:sz="0" w:space="0" w:color="auto"/>
                <w:right w:val="none" w:sz="0" w:space="0" w:color="auto"/>
              </w:divBdr>
              <w:divsChild>
                <w:div w:id="1677415898">
                  <w:marLeft w:val="0"/>
                  <w:marRight w:val="0"/>
                  <w:marTop w:val="0"/>
                  <w:marBottom w:val="0"/>
                  <w:divBdr>
                    <w:top w:val="none" w:sz="0" w:space="0" w:color="auto"/>
                    <w:left w:val="none" w:sz="0" w:space="0" w:color="auto"/>
                    <w:bottom w:val="none" w:sz="0" w:space="0" w:color="auto"/>
                    <w:right w:val="none" w:sz="0" w:space="0" w:color="auto"/>
                  </w:divBdr>
                  <w:divsChild>
                    <w:div w:id="14908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54490">
      <w:bodyDiv w:val="1"/>
      <w:marLeft w:val="0"/>
      <w:marRight w:val="0"/>
      <w:marTop w:val="0"/>
      <w:marBottom w:val="0"/>
      <w:divBdr>
        <w:top w:val="none" w:sz="0" w:space="0" w:color="auto"/>
        <w:left w:val="none" w:sz="0" w:space="0" w:color="auto"/>
        <w:bottom w:val="none" w:sz="0" w:space="0" w:color="auto"/>
        <w:right w:val="none" w:sz="0" w:space="0" w:color="auto"/>
      </w:divBdr>
      <w:divsChild>
        <w:div w:id="509830118">
          <w:marLeft w:val="0"/>
          <w:marRight w:val="0"/>
          <w:marTop w:val="0"/>
          <w:marBottom w:val="0"/>
          <w:divBdr>
            <w:top w:val="none" w:sz="0" w:space="0" w:color="auto"/>
            <w:left w:val="none" w:sz="0" w:space="0" w:color="auto"/>
            <w:bottom w:val="none" w:sz="0" w:space="0" w:color="auto"/>
            <w:right w:val="none" w:sz="0" w:space="0" w:color="auto"/>
          </w:divBdr>
          <w:divsChild>
            <w:div w:id="285504287">
              <w:marLeft w:val="0"/>
              <w:marRight w:val="0"/>
              <w:marTop w:val="0"/>
              <w:marBottom w:val="0"/>
              <w:divBdr>
                <w:top w:val="none" w:sz="0" w:space="0" w:color="auto"/>
                <w:left w:val="none" w:sz="0" w:space="0" w:color="auto"/>
                <w:bottom w:val="none" w:sz="0" w:space="0" w:color="auto"/>
                <w:right w:val="none" w:sz="0" w:space="0" w:color="auto"/>
              </w:divBdr>
              <w:divsChild>
                <w:div w:id="284239461">
                  <w:marLeft w:val="0"/>
                  <w:marRight w:val="0"/>
                  <w:marTop w:val="0"/>
                  <w:marBottom w:val="0"/>
                  <w:divBdr>
                    <w:top w:val="none" w:sz="0" w:space="0" w:color="auto"/>
                    <w:left w:val="none" w:sz="0" w:space="0" w:color="auto"/>
                    <w:bottom w:val="none" w:sz="0" w:space="0" w:color="auto"/>
                    <w:right w:val="none" w:sz="0" w:space="0" w:color="auto"/>
                  </w:divBdr>
                  <w:divsChild>
                    <w:div w:id="1217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52416">
      <w:bodyDiv w:val="1"/>
      <w:marLeft w:val="0"/>
      <w:marRight w:val="0"/>
      <w:marTop w:val="0"/>
      <w:marBottom w:val="0"/>
      <w:divBdr>
        <w:top w:val="none" w:sz="0" w:space="0" w:color="auto"/>
        <w:left w:val="none" w:sz="0" w:space="0" w:color="auto"/>
        <w:bottom w:val="none" w:sz="0" w:space="0" w:color="auto"/>
        <w:right w:val="none" w:sz="0" w:space="0" w:color="auto"/>
      </w:divBdr>
    </w:div>
    <w:div w:id="491682398">
      <w:bodyDiv w:val="1"/>
      <w:marLeft w:val="0"/>
      <w:marRight w:val="0"/>
      <w:marTop w:val="0"/>
      <w:marBottom w:val="0"/>
      <w:divBdr>
        <w:top w:val="none" w:sz="0" w:space="0" w:color="auto"/>
        <w:left w:val="none" w:sz="0" w:space="0" w:color="auto"/>
        <w:bottom w:val="none" w:sz="0" w:space="0" w:color="auto"/>
        <w:right w:val="none" w:sz="0" w:space="0" w:color="auto"/>
      </w:divBdr>
    </w:div>
    <w:div w:id="569122231">
      <w:bodyDiv w:val="1"/>
      <w:marLeft w:val="0"/>
      <w:marRight w:val="0"/>
      <w:marTop w:val="0"/>
      <w:marBottom w:val="0"/>
      <w:divBdr>
        <w:top w:val="none" w:sz="0" w:space="0" w:color="auto"/>
        <w:left w:val="none" w:sz="0" w:space="0" w:color="auto"/>
        <w:bottom w:val="none" w:sz="0" w:space="0" w:color="auto"/>
        <w:right w:val="none" w:sz="0" w:space="0" w:color="auto"/>
      </w:divBdr>
      <w:divsChild>
        <w:div w:id="1082944117">
          <w:marLeft w:val="0"/>
          <w:marRight w:val="0"/>
          <w:marTop w:val="0"/>
          <w:marBottom w:val="0"/>
          <w:divBdr>
            <w:top w:val="none" w:sz="0" w:space="0" w:color="auto"/>
            <w:left w:val="none" w:sz="0" w:space="0" w:color="auto"/>
            <w:bottom w:val="none" w:sz="0" w:space="0" w:color="auto"/>
            <w:right w:val="none" w:sz="0" w:space="0" w:color="auto"/>
          </w:divBdr>
          <w:divsChild>
            <w:div w:id="169099984">
              <w:marLeft w:val="0"/>
              <w:marRight w:val="0"/>
              <w:marTop w:val="0"/>
              <w:marBottom w:val="0"/>
              <w:divBdr>
                <w:top w:val="none" w:sz="0" w:space="0" w:color="auto"/>
                <w:left w:val="none" w:sz="0" w:space="0" w:color="auto"/>
                <w:bottom w:val="none" w:sz="0" w:space="0" w:color="auto"/>
                <w:right w:val="none" w:sz="0" w:space="0" w:color="auto"/>
              </w:divBdr>
              <w:divsChild>
                <w:div w:id="915238439">
                  <w:marLeft w:val="0"/>
                  <w:marRight w:val="0"/>
                  <w:marTop w:val="0"/>
                  <w:marBottom w:val="0"/>
                  <w:divBdr>
                    <w:top w:val="none" w:sz="0" w:space="0" w:color="auto"/>
                    <w:left w:val="none" w:sz="0" w:space="0" w:color="auto"/>
                    <w:bottom w:val="none" w:sz="0" w:space="0" w:color="auto"/>
                    <w:right w:val="none" w:sz="0" w:space="0" w:color="auto"/>
                  </w:divBdr>
                  <w:divsChild>
                    <w:div w:id="19985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468191">
      <w:bodyDiv w:val="1"/>
      <w:marLeft w:val="0"/>
      <w:marRight w:val="0"/>
      <w:marTop w:val="0"/>
      <w:marBottom w:val="0"/>
      <w:divBdr>
        <w:top w:val="none" w:sz="0" w:space="0" w:color="auto"/>
        <w:left w:val="none" w:sz="0" w:space="0" w:color="auto"/>
        <w:bottom w:val="none" w:sz="0" w:space="0" w:color="auto"/>
        <w:right w:val="none" w:sz="0" w:space="0" w:color="auto"/>
      </w:divBdr>
      <w:divsChild>
        <w:div w:id="1865359367">
          <w:marLeft w:val="0"/>
          <w:marRight w:val="0"/>
          <w:marTop w:val="0"/>
          <w:marBottom w:val="0"/>
          <w:divBdr>
            <w:top w:val="none" w:sz="0" w:space="0" w:color="auto"/>
            <w:left w:val="none" w:sz="0" w:space="0" w:color="auto"/>
            <w:bottom w:val="none" w:sz="0" w:space="0" w:color="auto"/>
            <w:right w:val="none" w:sz="0" w:space="0" w:color="auto"/>
          </w:divBdr>
          <w:divsChild>
            <w:div w:id="564032039">
              <w:marLeft w:val="0"/>
              <w:marRight w:val="0"/>
              <w:marTop w:val="0"/>
              <w:marBottom w:val="0"/>
              <w:divBdr>
                <w:top w:val="none" w:sz="0" w:space="0" w:color="auto"/>
                <w:left w:val="none" w:sz="0" w:space="0" w:color="auto"/>
                <w:bottom w:val="none" w:sz="0" w:space="0" w:color="auto"/>
                <w:right w:val="none" w:sz="0" w:space="0" w:color="auto"/>
              </w:divBdr>
              <w:divsChild>
                <w:div w:id="165637405">
                  <w:marLeft w:val="0"/>
                  <w:marRight w:val="0"/>
                  <w:marTop w:val="0"/>
                  <w:marBottom w:val="0"/>
                  <w:divBdr>
                    <w:top w:val="none" w:sz="0" w:space="0" w:color="auto"/>
                    <w:left w:val="none" w:sz="0" w:space="0" w:color="auto"/>
                    <w:bottom w:val="none" w:sz="0" w:space="0" w:color="auto"/>
                    <w:right w:val="none" w:sz="0" w:space="0" w:color="auto"/>
                  </w:divBdr>
                  <w:divsChild>
                    <w:div w:id="4534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1117</Characters>
  <Application>Microsoft Office Word</Application>
  <DocSecurity>4</DocSecurity>
  <Lines>9</Lines>
  <Paragraphs>2</Paragraphs>
  <ScaleCrop>false</ScaleCrop>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合规部-邱曦</dc:creator>
  <cp:lastModifiedBy>ZHONGM</cp:lastModifiedBy>
  <cp:revision>2</cp:revision>
  <cp:lastPrinted>2026-01-29T05:50:00Z</cp:lastPrinted>
  <dcterms:created xsi:type="dcterms:W3CDTF">2026-02-03T16:02:00Z</dcterms:created>
  <dcterms:modified xsi:type="dcterms:W3CDTF">2026-02-03T16:02:00Z</dcterms:modified>
</cp:coreProperties>
</file>