
<file path=[Content_Types].xml><?xml version="1.0" encoding="utf-8"?>
<Types xmlns="http://schemas.openxmlformats.org/package/2006/content-types">
  <Override PartName="/customXml/itemProps2.xml" ContentType="application/vnd.openxmlformats-officedocument.customXmlProperti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5E69" w:rsidRDefault="00635E69" w:rsidP="00635E69">
      <w:pPr>
        <w:pStyle w:val="div"/>
        <w:wordWrap w:val="0"/>
        <w:spacing w:line="360" w:lineRule="auto"/>
        <w:jc w:val="center"/>
        <w:rPr>
          <w:rFonts w:ascii="黑体" w:eastAsia="黑体" w:hAnsi="黑体" w:cs="黑体"/>
          <w:kern w:val="0"/>
          <w:sz w:val="36"/>
          <w:szCs w:val="36"/>
        </w:rPr>
      </w:pPr>
      <w:r w:rsidRPr="00635E69">
        <w:rPr>
          <w:rFonts w:ascii="黑体" w:eastAsia="黑体" w:hAnsi="黑体" w:cs="黑体"/>
          <w:kern w:val="0"/>
          <w:sz w:val="36"/>
          <w:szCs w:val="36"/>
        </w:rPr>
        <w:t>国联聚优一年定期开放债券型发起式证券投资基金</w:t>
      </w:r>
    </w:p>
    <w:p w:rsidR="00792875" w:rsidRPr="00635E69" w:rsidRDefault="00635E69" w:rsidP="00635E69">
      <w:pPr>
        <w:pStyle w:val="div"/>
        <w:wordWrap w:val="0"/>
        <w:spacing w:line="360" w:lineRule="auto"/>
        <w:jc w:val="center"/>
        <w:rPr>
          <w:rFonts w:ascii="黑体" w:eastAsia="黑体" w:hAnsi="黑体" w:cs="黑体"/>
          <w:kern w:val="0"/>
          <w:sz w:val="24"/>
          <w:szCs w:val="24"/>
        </w:rPr>
      </w:pPr>
      <w:r w:rsidRPr="00635E69">
        <w:rPr>
          <w:rFonts w:ascii="黑体" w:eastAsia="黑体" w:hAnsi="黑体" w:cs="黑体"/>
          <w:kern w:val="0"/>
          <w:sz w:val="36"/>
          <w:szCs w:val="36"/>
        </w:rPr>
        <w:t>第四个开放期开放申购、赎回、转换业务的公告</w:t>
      </w:r>
    </w:p>
    <w:p w:rsidR="00792875" w:rsidRPr="00635E69" w:rsidRDefault="00635E69">
      <w:pPr>
        <w:pStyle w:val="div"/>
        <w:wordWrap w:val="0"/>
        <w:spacing w:line="360" w:lineRule="auto"/>
        <w:jc w:val="center"/>
        <w:rPr>
          <w:rFonts w:ascii="仿宋" w:eastAsia="仿宋" w:hAnsi="仿宋" w:cs="仿宋"/>
          <w:kern w:val="0"/>
          <w:sz w:val="28"/>
          <w:szCs w:val="32"/>
        </w:rPr>
      </w:pPr>
      <w:r w:rsidRPr="00635E69">
        <w:rPr>
          <w:rFonts w:ascii="仿宋" w:eastAsia="仿宋" w:hAnsi="仿宋" w:cs="仿宋"/>
          <w:kern w:val="0"/>
          <w:sz w:val="28"/>
          <w:szCs w:val="32"/>
        </w:rPr>
        <w:t>公告送出日期：</w:t>
      </w:r>
      <w:r w:rsidRPr="00635E69">
        <w:rPr>
          <w:rStyle w:val="custom"/>
          <w:rFonts w:ascii="仿宋" w:eastAsia="仿宋" w:hAnsi="仿宋" w:cs="仿宋"/>
          <w:kern w:val="0"/>
          <w:sz w:val="28"/>
          <w:szCs w:val="32"/>
        </w:rPr>
        <w:t>2026年02月04日</w:t>
      </w:r>
    </w:p>
    <w:p w:rsidR="00792875" w:rsidRPr="00635E69" w:rsidRDefault="00635E69">
      <w:pPr>
        <w:pStyle w:val="div"/>
        <w:wordWrap w:val="0"/>
        <w:spacing w:line="360" w:lineRule="auto"/>
        <w:jc w:val="center"/>
        <w:rPr>
          <w:rFonts w:ascii="仿宋" w:eastAsia="仿宋" w:hAnsi="仿宋" w:cs="仿宋"/>
          <w:b/>
          <w:kern w:val="0"/>
          <w:sz w:val="32"/>
          <w:szCs w:val="32"/>
        </w:rPr>
      </w:pPr>
      <w:r w:rsidRPr="00635E69">
        <w:rPr>
          <w:rFonts w:ascii="仿宋" w:eastAsia="仿宋" w:hAnsi="仿宋" w:cs="仿宋"/>
          <w:b/>
          <w:kern w:val="0"/>
          <w:sz w:val="32"/>
          <w:szCs w:val="32"/>
        </w:rPr>
        <w:t>（本基金不向个人投资者公开销售）</w:t>
      </w:r>
    </w:p>
    <w:p w:rsidR="00792875" w:rsidRPr="00635E69" w:rsidRDefault="00792875">
      <w:pPr>
        <w:wordWrap w:val="0"/>
        <w:autoSpaceDE w:val="0"/>
        <w:autoSpaceDN w:val="0"/>
        <w:adjustRightInd w:val="0"/>
        <w:spacing w:line="360" w:lineRule="auto"/>
        <w:ind w:firstLineChars="200" w:firstLine="480"/>
        <w:jc w:val="center"/>
        <w:rPr>
          <w:rFonts w:ascii="仿宋" w:eastAsia="仿宋" w:hAnsi="仿宋"/>
          <w:sz w:val="24"/>
          <w:szCs w:val="24"/>
        </w:rPr>
      </w:pP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serial-tag"/>
          <w:rFonts w:ascii="仿宋" w:eastAsia="仿宋" w:hAnsi="仿宋" w:cs="仿宋"/>
          <w:kern w:val="0"/>
          <w:sz w:val="32"/>
          <w:szCs w:val="32"/>
        </w:rPr>
        <w:t>1</w:t>
      </w:r>
      <w:r w:rsidRPr="00635E69">
        <w:rPr>
          <w:rFonts w:ascii="仿宋" w:eastAsia="仿宋" w:hAnsi="仿宋" w:cs="仿宋"/>
          <w:kern w:val="0"/>
          <w:sz w:val="32"/>
          <w:szCs w:val="32"/>
        </w:rPr>
        <w:t>.公告基本信息</w:t>
      </w:r>
    </w:p>
    <w:tbl>
      <w:tblPr>
        <w:tblStyle w:val="table"/>
        <w:tblW w:w="6153"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563"/>
        <w:gridCol w:w="6949"/>
      </w:tblGrid>
      <w:tr w:rsidR="00792875" w:rsidRPr="00635E69" w:rsidTr="00635E69">
        <w:trPr>
          <w:jc w:val="center"/>
        </w:trPr>
        <w:tc>
          <w:tcPr>
            <w:tcW w:w="3456"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基金名称</w:t>
            </w:r>
          </w:p>
        </w:tc>
        <w:tc>
          <w:tcPr>
            <w:tcW w:w="6740"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国联聚优一年定期开放债券型发起式证券投资基金</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基金简称</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国联聚优一年定开债券</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131" w:type="dxa"/>
              <w:left w:w="136" w:type="dxa"/>
              <w:bottom w:w="136" w:type="dxa"/>
              <w:right w:w="136"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基金主代码</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012803</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基金运作方式</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契约型、定期开放式</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基金合同生效日</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2021年11月30日</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基金管理人名称</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国联基金管理有限公司</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基金托管人名称</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中国邮政储蓄银行股份有限公司</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基金注册登记机构名称</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国联基金管理有限公司</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公告依据</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left"/>
              <w:rPr>
                <w:rFonts w:ascii="仿宋" w:eastAsia="仿宋" w:hAnsi="仿宋" w:cs="仿宋"/>
                <w:color w:val="000000"/>
                <w:kern w:val="0"/>
                <w:sz w:val="32"/>
                <w:szCs w:val="32"/>
              </w:rPr>
            </w:pPr>
            <w:r w:rsidRPr="00635E69">
              <w:rPr>
                <w:rFonts w:ascii="仿宋" w:eastAsia="仿宋" w:hAnsi="仿宋" w:cs="仿宋"/>
                <w:color w:val="000000"/>
                <w:kern w:val="0"/>
                <w:sz w:val="32"/>
                <w:szCs w:val="32"/>
              </w:rPr>
              <w:t>《中华人民共和国证券投资基金法》、《公开募集证券投资基金运作管理办法》等法律法规以及《国联聚优一年定期开放债券型发起式证券投资基金基金合同》、《国联聚优一年定期开放债券型发起式证券投资基金招募说明书》</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申购起始日</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2026年02月06日</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lastRenderedPageBreak/>
              <w:t>赎回起始日</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2026年02月06日</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转换转入起始日</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2026年02月06日</w:t>
            </w:r>
          </w:p>
        </w:tc>
      </w:tr>
      <w:tr w:rsidR="00792875" w:rsidRPr="00635E69" w:rsidTr="00635E69">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转换转出起始日</w:t>
            </w:r>
          </w:p>
        </w:tc>
        <w:tc>
          <w:tcPr>
            <w:tcW w:w="6740" w:type="dxa"/>
            <w:tcBorders>
              <w:bottom w:val="single" w:sz="8" w:space="0" w:color="000000"/>
              <w:right w:val="single" w:sz="8" w:space="0" w:color="000000"/>
            </w:tcBorders>
            <w:tcMar>
              <w:top w:w="0" w:type="dxa"/>
              <w:left w:w="113" w:type="dxa"/>
              <w:bottom w:w="0" w:type="dxa"/>
              <w:right w:w="118" w:type="dxa"/>
            </w:tcMar>
            <w:vAlign w:val="center"/>
            <w:hideMark/>
          </w:tcPr>
          <w:p w:rsidR="00792875" w:rsidRPr="00635E69" w:rsidRDefault="00635E69">
            <w:pPr>
              <w:widowControl/>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2026年02月06日</w:t>
            </w:r>
          </w:p>
        </w:tc>
      </w:tr>
    </w:tbl>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serial-tag"/>
          <w:rFonts w:ascii="仿宋" w:eastAsia="仿宋" w:hAnsi="仿宋" w:cs="仿宋"/>
          <w:b/>
          <w:bCs/>
          <w:kern w:val="0"/>
          <w:sz w:val="32"/>
          <w:szCs w:val="32"/>
        </w:rPr>
        <w:t>2</w:t>
      </w:r>
      <w:r w:rsidRPr="00635E69">
        <w:rPr>
          <w:rFonts w:ascii="仿宋" w:eastAsia="仿宋" w:hAnsi="仿宋" w:cs="仿宋"/>
          <w:b/>
          <w:bCs/>
          <w:kern w:val="0"/>
          <w:sz w:val="32"/>
          <w:szCs w:val="32"/>
        </w:rPr>
        <w:t>.日常</w:t>
      </w:r>
      <w:r w:rsidRPr="00635E69">
        <w:rPr>
          <w:rStyle w:val="custom"/>
          <w:rFonts w:ascii="仿宋" w:eastAsia="仿宋" w:hAnsi="仿宋" w:cs="仿宋"/>
          <w:b/>
          <w:bCs/>
          <w:kern w:val="0"/>
          <w:sz w:val="32"/>
          <w:szCs w:val="32"/>
        </w:rPr>
        <w:t>申购、赎回、转换</w:t>
      </w:r>
      <w:r w:rsidRPr="00635E69">
        <w:rPr>
          <w:rFonts w:ascii="仿宋" w:eastAsia="仿宋" w:hAnsi="仿宋" w:cs="仿宋"/>
          <w:b/>
          <w:bCs/>
          <w:kern w:val="0"/>
          <w:sz w:val="32"/>
          <w:szCs w:val="32"/>
        </w:rPr>
        <w:t>业务的办理时间</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2</w:t>
      </w:r>
      <w:r w:rsidRPr="00635E69">
        <w:rPr>
          <w:rFonts w:ascii="仿宋" w:eastAsia="仿宋" w:hAnsi="仿宋" w:cs="仿宋"/>
          <w:b/>
          <w:bCs/>
          <w:kern w:val="0"/>
          <w:sz w:val="32"/>
          <w:szCs w:val="32"/>
        </w:rPr>
        <w:t>.1 开放日及开放时间</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本基金在开放期内接受投资者的</w:t>
      </w:r>
      <w:r w:rsidRPr="00635E69">
        <w:rPr>
          <w:rStyle w:val="custom"/>
          <w:rFonts w:ascii="仿宋" w:eastAsia="仿宋" w:hAnsi="仿宋" w:cs="仿宋"/>
          <w:kern w:val="0"/>
          <w:sz w:val="32"/>
          <w:szCs w:val="32"/>
        </w:rPr>
        <w:t>申购、赎回、转换</w:t>
      </w:r>
      <w:r w:rsidRPr="00635E69">
        <w:rPr>
          <w:rFonts w:ascii="仿宋" w:eastAsia="仿宋" w:hAnsi="仿宋" w:cs="仿宋"/>
          <w:kern w:val="0"/>
          <w:sz w:val="32"/>
          <w:szCs w:val="32"/>
        </w:rPr>
        <w:t>申请。</w:t>
      </w:r>
      <w:r w:rsidRPr="00635E69">
        <w:rPr>
          <w:rStyle w:val="custom"/>
          <w:rFonts w:ascii="仿宋" w:eastAsia="仿宋" w:hAnsi="仿宋" w:cs="仿宋"/>
          <w:kern w:val="0"/>
          <w:sz w:val="32"/>
          <w:szCs w:val="32"/>
        </w:rPr>
        <w:t>2026年02月06日</w:t>
      </w:r>
      <w:r w:rsidRPr="00635E69">
        <w:rPr>
          <w:rFonts w:ascii="仿宋" w:eastAsia="仿宋" w:hAnsi="仿宋" w:cs="仿宋"/>
          <w:kern w:val="0"/>
          <w:sz w:val="32"/>
          <w:szCs w:val="32"/>
        </w:rPr>
        <w:t>为本基金的第</w:t>
      </w:r>
      <w:r w:rsidRPr="00635E69">
        <w:rPr>
          <w:rStyle w:val="custom"/>
          <w:rFonts w:ascii="仿宋" w:eastAsia="仿宋" w:hAnsi="仿宋" w:cs="仿宋"/>
          <w:kern w:val="0"/>
          <w:sz w:val="32"/>
          <w:szCs w:val="32"/>
        </w:rPr>
        <w:t>四</w:t>
      </w:r>
      <w:r w:rsidRPr="00635E69">
        <w:rPr>
          <w:rFonts w:ascii="仿宋" w:eastAsia="仿宋" w:hAnsi="仿宋" w:cs="仿宋"/>
          <w:kern w:val="0"/>
          <w:sz w:val="32"/>
          <w:szCs w:val="32"/>
        </w:rPr>
        <w:t>个开放期起始日期。</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2</w:t>
      </w:r>
      <w:r w:rsidRPr="00635E69">
        <w:rPr>
          <w:rFonts w:ascii="仿宋" w:eastAsia="仿宋" w:hAnsi="仿宋" w:cs="仿宋"/>
          <w:b/>
          <w:bCs/>
          <w:kern w:val="0"/>
          <w:sz w:val="32"/>
          <w:szCs w:val="32"/>
        </w:rPr>
        <w:t>.2</w:t>
      </w:r>
      <w:r w:rsidRPr="00635E69">
        <w:rPr>
          <w:rStyle w:val="custom"/>
          <w:rFonts w:ascii="仿宋" w:eastAsia="仿宋" w:hAnsi="仿宋" w:cs="仿宋"/>
          <w:b/>
          <w:bCs/>
          <w:kern w:val="0"/>
          <w:sz w:val="32"/>
          <w:szCs w:val="32"/>
        </w:rPr>
        <w:t>申购、赎回、转换</w:t>
      </w:r>
      <w:r w:rsidRPr="00635E69">
        <w:rPr>
          <w:rFonts w:ascii="仿宋" w:eastAsia="仿宋" w:hAnsi="仿宋" w:cs="仿宋"/>
          <w:b/>
          <w:bCs/>
          <w:kern w:val="0"/>
          <w:sz w:val="32"/>
          <w:szCs w:val="32"/>
        </w:rPr>
        <w:t>的开始日及业务办理时间</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根据《</w:t>
      </w:r>
      <w:r w:rsidRPr="00635E69">
        <w:rPr>
          <w:rStyle w:val="custom"/>
          <w:rFonts w:ascii="仿宋" w:eastAsia="仿宋" w:hAnsi="仿宋" w:cs="仿宋"/>
          <w:kern w:val="0"/>
          <w:sz w:val="32"/>
          <w:szCs w:val="32"/>
        </w:rPr>
        <w:t>国联聚优一年定期开放债券型发起式证券投资基金</w:t>
      </w:r>
      <w:r w:rsidRPr="00635E69">
        <w:rPr>
          <w:rFonts w:ascii="仿宋" w:eastAsia="仿宋" w:hAnsi="仿宋" w:cs="仿宋"/>
          <w:kern w:val="0"/>
          <w:sz w:val="32"/>
          <w:szCs w:val="32"/>
        </w:rPr>
        <w:t>基金合同》、《</w:t>
      </w:r>
      <w:r w:rsidRPr="00635E69">
        <w:rPr>
          <w:rStyle w:val="custom"/>
          <w:rFonts w:ascii="仿宋" w:eastAsia="仿宋" w:hAnsi="仿宋" w:cs="仿宋"/>
          <w:kern w:val="0"/>
          <w:sz w:val="32"/>
          <w:szCs w:val="32"/>
        </w:rPr>
        <w:t>国联聚优一年定期开放债券型发起式证券投资基金</w:t>
      </w:r>
      <w:r w:rsidRPr="00635E69">
        <w:rPr>
          <w:rFonts w:ascii="仿宋" w:eastAsia="仿宋" w:hAnsi="仿宋" w:cs="仿宋"/>
          <w:kern w:val="0"/>
          <w:sz w:val="32"/>
          <w:szCs w:val="32"/>
        </w:rPr>
        <w:t>招募说明书》，本基金办理</w:t>
      </w:r>
      <w:r w:rsidRPr="00635E69">
        <w:rPr>
          <w:rStyle w:val="custom"/>
          <w:rFonts w:ascii="仿宋" w:eastAsia="仿宋" w:hAnsi="仿宋" w:cs="仿宋"/>
          <w:kern w:val="0"/>
          <w:sz w:val="32"/>
          <w:szCs w:val="32"/>
        </w:rPr>
        <w:t>申购、赎回、转换</w:t>
      </w:r>
      <w:r w:rsidRPr="00635E69">
        <w:rPr>
          <w:rFonts w:ascii="仿宋" w:eastAsia="仿宋" w:hAnsi="仿宋" w:cs="仿宋"/>
          <w:kern w:val="0"/>
          <w:sz w:val="32"/>
          <w:szCs w:val="32"/>
        </w:rPr>
        <w:t>业务的开放期为每个封闭期结束之后第一个工作日起（包括该日）原则上不少于2个工作日且不超过20个工作日的期间。</w:t>
      </w:r>
      <w:r w:rsidRPr="00635E69">
        <w:rPr>
          <w:rStyle w:val="custom"/>
          <w:rFonts w:ascii="仿宋" w:eastAsia="仿宋" w:hAnsi="仿宋" w:cs="仿宋"/>
          <w:kern w:val="0"/>
          <w:sz w:val="32"/>
          <w:szCs w:val="32"/>
        </w:rPr>
        <w:t>国联聚优一年定期开放债券型发起式证券投资基金</w:t>
      </w:r>
      <w:r w:rsidRPr="00635E69">
        <w:rPr>
          <w:rFonts w:ascii="仿宋" w:eastAsia="仿宋" w:hAnsi="仿宋" w:cs="仿宋"/>
          <w:kern w:val="0"/>
          <w:sz w:val="32"/>
          <w:szCs w:val="32"/>
        </w:rPr>
        <w:t>本次办理</w:t>
      </w:r>
      <w:r w:rsidRPr="00635E69">
        <w:rPr>
          <w:rStyle w:val="custom"/>
          <w:rFonts w:ascii="仿宋" w:eastAsia="仿宋" w:hAnsi="仿宋" w:cs="仿宋"/>
          <w:kern w:val="0"/>
          <w:sz w:val="32"/>
          <w:szCs w:val="32"/>
        </w:rPr>
        <w:t>申购、赎回、转换</w:t>
      </w:r>
      <w:r w:rsidRPr="00635E69">
        <w:rPr>
          <w:rFonts w:ascii="仿宋" w:eastAsia="仿宋" w:hAnsi="仿宋" w:cs="仿宋"/>
          <w:kern w:val="0"/>
          <w:sz w:val="32"/>
          <w:szCs w:val="32"/>
        </w:rPr>
        <w:t>业务的开放期为</w:t>
      </w:r>
      <w:r w:rsidRPr="00635E69">
        <w:rPr>
          <w:rStyle w:val="custom"/>
          <w:rFonts w:ascii="仿宋" w:eastAsia="仿宋" w:hAnsi="仿宋" w:cs="仿宋"/>
          <w:kern w:val="0"/>
          <w:sz w:val="32"/>
          <w:szCs w:val="32"/>
        </w:rPr>
        <w:t>2026年02月06日</w:t>
      </w:r>
      <w:r w:rsidRPr="00635E69">
        <w:rPr>
          <w:rFonts w:ascii="仿宋" w:eastAsia="仿宋" w:hAnsi="仿宋" w:cs="仿宋"/>
          <w:kern w:val="0"/>
          <w:sz w:val="32"/>
          <w:szCs w:val="32"/>
        </w:rPr>
        <w:t>至</w:t>
      </w:r>
      <w:r w:rsidRPr="00635E69">
        <w:rPr>
          <w:rStyle w:val="custom"/>
          <w:rFonts w:ascii="仿宋" w:eastAsia="仿宋" w:hAnsi="仿宋" w:cs="仿宋"/>
          <w:kern w:val="0"/>
          <w:sz w:val="32"/>
          <w:szCs w:val="32"/>
        </w:rPr>
        <w:t>2026年03月13日</w:t>
      </w:r>
      <w:r w:rsidRPr="00635E69">
        <w:rPr>
          <w:rFonts w:ascii="仿宋" w:eastAsia="仿宋" w:hAnsi="仿宋" w:cs="仿宋"/>
          <w:kern w:val="0"/>
          <w:sz w:val="32"/>
          <w:szCs w:val="32"/>
        </w:rPr>
        <w:t>共</w:t>
      </w:r>
      <w:r w:rsidRPr="00635E69">
        <w:rPr>
          <w:rStyle w:val="custom"/>
          <w:rFonts w:ascii="仿宋" w:eastAsia="仿宋" w:hAnsi="仿宋" w:cs="仿宋"/>
          <w:kern w:val="0"/>
          <w:sz w:val="32"/>
          <w:szCs w:val="32"/>
        </w:rPr>
        <w:t>20</w:t>
      </w:r>
      <w:r w:rsidRPr="00635E69">
        <w:rPr>
          <w:rFonts w:ascii="仿宋" w:eastAsia="仿宋" w:hAnsi="仿宋" w:cs="仿宋"/>
          <w:kern w:val="0"/>
          <w:sz w:val="32"/>
          <w:szCs w:val="32"/>
        </w:rPr>
        <w:t>个工作日。期间本基金采取开放运作模式，投资人可办理基金份额的</w:t>
      </w:r>
      <w:r w:rsidRPr="00635E69">
        <w:rPr>
          <w:rStyle w:val="custom"/>
          <w:rFonts w:ascii="仿宋" w:eastAsia="仿宋" w:hAnsi="仿宋" w:cs="仿宋"/>
          <w:kern w:val="0"/>
          <w:sz w:val="32"/>
          <w:szCs w:val="32"/>
        </w:rPr>
        <w:t>申购、赎回、转换</w:t>
      </w:r>
      <w:r w:rsidRPr="00635E69">
        <w:rPr>
          <w:rFonts w:ascii="仿宋" w:eastAsia="仿宋" w:hAnsi="仿宋" w:cs="仿宋"/>
          <w:kern w:val="0"/>
          <w:sz w:val="32"/>
          <w:szCs w:val="32"/>
        </w:rPr>
        <w:t>。管理人有权根据本基金的</w:t>
      </w:r>
      <w:r w:rsidRPr="00635E69">
        <w:rPr>
          <w:rStyle w:val="custom"/>
          <w:rFonts w:ascii="仿宋" w:eastAsia="仿宋" w:hAnsi="仿宋" w:cs="仿宋"/>
          <w:kern w:val="0"/>
          <w:sz w:val="32"/>
          <w:szCs w:val="32"/>
        </w:rPr>
        <w:t>申购、赎回、转换</w:t>
      </w:r>
      <w:r w:rsidRPr="00635E69">
        <w:rPr>
          <w:rFonts w:ascii="仿宋" w:eastAsia="仿宋" w:hAnsi="仿宋" w:cs="仿宋"/>
          <w:kern w:val="0"/>
          <w:sz w:val="32"/>
          <w:szCs w:val="32"/>
        </w:rPr>
        <w:t>情况调整本次开放期。</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具体办理时间为上海证券交易所、深圳证券交易所的正常交易日的交易时间，但基金管理人根据法律法规、中国证监会的要求或基金合同的规定公告暂停</w:t>
      </w:r>
      <w:r w:rsidRPr="00635E69">
        <w:rPr>
          <w:rStyle w:val="custom"/>
          <w:rFonts w:ascii="仿宋" w:eastAsia="仿宋" w:hAnsi="仿宋" w:cs="仿宋"/>
          <w:kern w:val="0"/>
          <w:sz w:val="32"/>
          <w:szCs w:val="32"/>
        </w:rPr>
        <w:t>申购、赎回、转换</w:t>
      </w:r>
      <w:r w:rsidRPr="00635E69">
        <w:rPr>
          <w:rFonts w:ascii="仿宋" w:eastAsia="仿宋" w:hAnsi="仿宋" w:cs="仿宋"/>
          <w:kern w:val="0"/>
          <w:sz w:val="32"/>
          <w:szCs w:val="32"/>
        </w:rPr>
        <w:t>时除外。开放期内因不可抗力或其他情形致使基金无法按时开</w:t>
      </w:r>
      <w:r w:rsidRPr="00635E69">
        <w:rPr>
          <w:rFonts w:ascii="仿宋" w:eastAsia="仿宋" w:hAnsi="仿宋" w:cs="仿宋"/>
          <w:kern w:val="0"/>
          <w:sz w:val="32"/>
          <w:szCs w:val="32"/>
        </w:rPr>
        <w:lastRenderedPageBreak/>
        <w:t>放</w:t>
      </w:r>
      <w:r w:rsidRPr="00635E69">
        <w:rPr>
          <w:rStyle w:val="custom"/>
          <w:rFonts w:ascii="仿宋" w:eastAsia="仿宋" w:hAnsi="仿宋" w:cs="仿宋"/>
          <w:kern w:val="0"/>
          <w:sz w:val="32"/>
          <w:szCs w:val="32"/>
        </w:rPr>
        <w:t>申购、赎回、转换</w:t>
      </w:r>
      <w:r w:rsidRPr="00635E69">
        <w:rPr>
          <w:rFonts w:ascii="仿宋" w:eastAsia="仿宋" w:hAnsi="仿宋" w:cs="仿宋"/>
          <w:kern w:val="0"/>
          <w:sz w:val="32"/>
          <w:szCs w:val="32"/>
        </w:rPr>
        <w:t>业务，或依据基金合同需暂停</w:t>
      </w:r>
      <w:r w:rsidRPr="00635E69">
        <w:rPr>
          <w:rStyle w:val="custom"/>
          <w:rFonts w:ascii="仿宋" w:eastAsia="仿宋" w:hAnsi="仿宋" w:cs="仿宋"/>
          <w:kern w:val="0"/>
          <w:sz w:val="32"/>
          <w:szCs w:val="32"/>
        </w:rPr>
        <w:t>申购、赎回、转换</w:t>
      </w:r>
      <w:r w:rsidRPr="00635E69">
        <w:rPr>
          <w:rFonts w:ascii="仿宋" w:eastAsia="仿宋" w:hAnsi="仿宋" w:cs="仿宋"/>
          <w:kern w:val="0"/>
          <w:sz w:val="32"/>
          <w:szCs w:val="32"/>
        </w:rPr>
        <w:t>业务的，开放期时间中止计算，在不可抗力或其他情形影响因素消除之日起的下一个工作日继续计算该开放期时间，直至满足开放期的时间要求，具体时间以基金管理人届时的公告为准。</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serial-tag"/>
          <w:rFonts w:ascii="仿宋" w:eastAsia="仿宋" w:hAnsi="仿宋" w:cs="仿宋"/>
          <w:b/>
          <w:bCs/>
          <w:kern w:val="0"/>
          <w:sz w:val="32"/>
          <w:szCs w:val="32"/>
        </w:rPr>
        <w:t>3</w:t>
      </w:r>
      <w:r w:rsidRPr="00635E69">
        <w:rPr>
          <w:rFonts w:ascii="仿宋" w:eastAsia="仿宋" w:hAnsi="仿宋" w:cs="仿宋"/>
          <w:b/>
          <w:bCs/>
          <w:kern w:val="0"/>
          <w:sz w:val="32"/>
          <w:szCs w:val="32"/>
        </w:rPr>
        <w:t>.日常申购业务</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3</w:t>
      </w:r>
      <w:r w:rsidRPr="00635E69">
        <w:rPr>
          <w:rFonts w:ascii="仿宋" w:eastAsia="仿宋" w:hAnsi="仿宋" w:cs="仿宋"/>
          <w:b/>
          <w:bCs/>
          <w:kern w:val="0"/>
          <w:sz w:val="32"/>
          <w:szCs w:val="32"/>
        </w:rPr>
        <w:t>.1 申购金额限制</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基金管理人直销机构每个基金账户首次最低申购金额为1元人民币，单笔追加申购最低金额为1元人民币；通过基金管理人</w:t>
      </w:r>
      <w:r w:rsidR="00DD3C6B" w:rsidRPr="00635E69">
        <w:rPr>
          <w:rFonts w:ascii="仿宋" w:eastAsia="仿宋" w:hAnsi="仿宋" w:cs="仿宋"/>
          <w:kern w:val="0"/>
          <w:sz w:val="32"/>
          <w:szCs w:val="32"/>
        </w:rPr>
        <w:t>直销电子交易平台</w:t>
      </w:r>
      <w:bookmarkStart w:id="0" w:name="_GoBack"/>
      <w:bookmarkEnd w:id="0"/>
      <w:r w:rsidRPr="00635E69">
        <w:rPr>
          <w:rFonts w:ascii="仿宋" w:eastAsia="仿宋" w:hAnsi="仿宋" w:cs="仿宋"/>
          <w:kern w:val="0"/>
          <w:sz w:val="32"/>
          <w:szCs w:val="32"/>
        </w:rPr>
        <w:t>申购本基金时，每次最低申购金额为1元人民币。其他销售机构每个基金账户单笔申购最低金额为1元人民币，其他销售机构另有规定的，从其规定。</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3</w:t>
      </w:r>
      <w:r w:rsidRPr="00635E69">
        <w:rPr>
          <w:rFonts w:ascii="仿宋" w:eastAsia="仿宋" w:hAnsi="仿宋" w:cs="仿宋"/>
          <w:b/>
          <w:bCs/>
          <w:kern w:val="0"/>
          <w:sz w:val="32"/>
          <w:szCs w:val="32"/>
        </w:rPr>
        <w:t>.2 申购费用</w:t>
      </w:r>
    </w:p>
    <w:p w:rsidR="00792875" w:rsidRPr="00635E69" w:rsidRDefault="00635E69" w:rsidP="00635E69">
      <w:pPr>
        <w:pStyle w:val="div"/>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投资人在申购本基金基金份额时，收取申购费用，申购费率随申购金额增加而递减；投资人可以多次申购本基金，申购费率按每日累计申购金额确定，每笔申购费用以每笔申购申请单独计算。</w:t>
      </w:r>
    </w:p>
    <w:p w:rsidR="00792875" w:rsidRPr="00635E69" w:rsidRDefault="00635E69" w:rsidP="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本基金的申购费率如下表所示：</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5311"/>
        <w:gridCol w:w="3217"/>
      </w:tblGrid>
      <w:tr w:rsidR="00792875" w:rsidRPr="00635E69">
        <w:trPr>
          <w:trHeight w:val="550"/>
          <w:jc w:val="center"/>
        </w:trPr>
        <w:tc>
          <w:tcPr>
            <w:tcW w:w="4896" w:type="dxa"/>
            <w:tcBorders>
              <w:top w:val="single" w:sz="8" w:space="0" w:color="000000"/>
              <w:left w:val="single" w:sz="8" w:space="0" w:color="000000"/>
              <w:bottom w:val="single" w:sz="6" w:space="0" w:color="000000"/>
              <w:right w:val="single" w:sz="6" w:space="0" w:color="000000"/>
            </w:tcBorders>
            <w:tcMar>
              <w:top w:w="136" w:type="dxa"/>
              <w:left w:w="111" w:type="dxa"/>
              <w:bottom w:w="134" w:type="dxa"/>
              <w:right w:w="108" w:type="dxa"/>
            </w:tcMar>
            <w:hideMark/>
          </w:tcPr>
          <w:p w:rsidR="00792875" w:rsidRPr="00635E69" w:rsidRDefault="00635E69" w:rsidP="00635E69">
            <w:pPr>
              <w:pStyle w:val="div"/>
              <w:spacing w:line="360" w:lineRule="auto"/>
              <w:jc w:val="center"/>
              <w:rPr>
                <w:rFonts w:ascii="仿宋" w:eastAsia="仿宋" w:hAnsi="仿宋" w:cs="仿宋"/>
                <w:b/>
                <w:color w:val="000000"/>
                <w:kern w:val="0"/>
                <w:sz w:val="32"/>
                <w:szCs w:val="32"/>
              </w:rPr>
            </w:pPr>
            <w:r w:rsidRPr="00635E69">
              <w:rPr>
                <w:rFonts w:ascii="仿宋" w:eastAsia="仿宋" w:hAnsi="仿宋" w:cs="仿宋"/>
                <w:b/>
                <w:color w:val="000000"/>
                <w:kern w:val="0"/>
                <w:sz w:val="32"/>
                <w:szCs w:val="32"/>
              </w:rPr>
              <w:t>申购金额（M）</w:t>
            </w:r>
          </w:p>
        </w:tc>
        <w:tc>
          <w:tcPr>
            <w:tcW w:w="2965" w:type="dxa"/>
            <w:tcBorders>
              <w:top w:val="single" w:sz="8" w:space="0" w:color="000000"/>
              <w:left w:val="single" w:sz="6" w:space="0" w:color="000000"/>
              <w:bottom w:val="single" w:sz="6" w:space="0" w:color="000000"/>
              <w:right w:val="single" w:sz="8" w:space="0" w:color="000000"/>
            </w:tcBorders>
            <w:tcMar>
              <w:top w:w="136" w:type="dxa"/>
              <w:left w:w="108" w:type="dxa"/>
              <w:bottom w:w="134" w:type="dxa"/>
              <w:right w:w="111" w:type="dxa"/>
            </w:tcMar>
            <w:hideMark/>
          </w:tcPr>
          <w:p w:rsidR="00792875" w:rsidRPr="00635E69" w:rsidRDefault="00635E69" w:rsidP="00635E69">
            <w:pPr>
              <w:pStyle w:val="div"/>
              <w:spacing w:line="360" w:lineRule="auto"/>
              <w:jc w:val="center"/>
              <w:rPr>
                <w:rFonts w:ascii="仿宋" w:eastAsia="仿宋" w:hAnsi="仿宋" w:cs="仿宋"/>
                <w:b/>
                <w:color w:val="000000"/>
                <w:kern w:val="0"/>
                <w:sz w:val="32"/>
                <w:szCs w:val="32"/>
              </w:rPr>
            </w:pPr>
            <w:r w:rsidRPr="00635E69">
              <w:rPr>
                <w:rFonts w:ascii="仿宋" w:eastAsia="仿宋" w:hAnsi="仿宋" w:cs="仿宋"/>
                <w:b/>
                <w:color w:val="000000"/>
                <w:kern w:val="0"/>
                <w:sz w:val="32"/>
                <w:szCs w:val="32"/>
              </w:rPr>
              <w:t>申购费率</w:t>
            </w:r>
          </w:p>
        </w:tc>
      </w:tr>
      <w:tr w:rsidR="00792875" w:rsidRPr="00635E69">
        <w:trPr>
          <w:trHeight w:val="20"/>
          <w:jc w:val="center"/>
        </w:trPr>
        <w:tc>
          <w:tcPr>
            <w:tcW w:w="4896"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Pr>
                <w:rFonts w:ascii="仿宋" w:eastAsia="仿宋" w:hAnsi="仿宋" w:cs="仿宋"/>
                <w:color w:val="000000"/>
                <w:kern w:val="0"/>
                <w:sz w:val="32"/>
                <w:szCs w:val="32"/>
              </w:rPr>
              <w:t>M</w:t>
            </w:r>
            <w:r>
              <w:rPr>
                <w:rFonts w:ascii="仿宋" w:eastAsia="仿宋" w:hAnsi="仿宋" w:cs="仿宋" w:hint="eastAsia"/>
                <w:color w:val="000000"/>
                <w:kern w:val="0"/>
                <w:sz w:val="32"/>
                <w:szCs w:val="32"/>
              </w:rPr>
              <w:t>＜</w:t>
            </w:r>
            <w:r w:rsidRPr="00635E69">
              <w:rPr>
                <w:rFonts w:ascii="仿宋" w:eastAsia="仿宋" w:hAnsi="仿宋" w:cs="仿宋"/>
                <w:color w:val="000000"/>
                <w:kern w:val="0"/>
                <w:sz w:val="32"/>
                <w:szCs w:val="32"/>
              </w:rPr>
              <w:t>100万元</w:t>
            </w:r>
          </w:p>
        </w:tc>
        <w:tc>
          <w:tcPr>
            <w:tcW w:w="296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0.60%</w:t>
            </w:r>
          </w:p>
        </w:tc>
      </w:tr>
      <w:tr w:rsidR="00792875" w:rsidRPr="00635E69">
        <w:trPr>
          <w:trHeight w:val="20"/>
          <w:jc w:val="center"/>
        </w:trPr>
        <w:tc>
          <w:tcPr>
            <w:tcW w:w="4896"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100万元≤M</w:t>
            </w:r>
            <w:r>
              <w:rPr>
                <w:rFonts w:ascii="仿宋" w:eastAsia="仿宋" w:hAnsi="仿宋" w:cs="仿宋" w:hint="eastAsia"/>
                <w:color w:val="000000"/>
                <w:kern w:val="0"/>
                <w:sz w:val="32"/>
                <w:szCs w:val="32"/>
              </w:rPr>
              <w:t>＜</w:t>
            </w:r>
            <w:r w:rsidRPr="00635E69">
              <w:rPr>
                <w:rFonts w:ascii="仿宋" w:eastAsia="仿宋" w:hAnsi="仿宋" w:cs="仿宋"/>
                <w:color w:val="000000"/>
                <w:kern w:val="0"/>
                <w:sz w:val="32"/>
                <w:szCs w:val="32"/>
              </w:rPr>
              <w:t>300万元</w:t>
            </w:r>
          </w:p>
        </w:tc>
        <w:tc>
          <w:tcPr>
            <w:tcW w:w="296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0.30%</w:t>
            </w:r>
          </w:p>
        </w:tc>
      </w:tr>
      <w:tr w:rsidR="00792875" w:rsidRPr="00635E69">
        <w:trPr>
          <w:trHeight w:val="20"/>
          <w:jc w:val="center"/>
        </w:trPr>
        <w:tc>
          <w:tcPr>
            <w:tcW w:w="4896"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300万元≤M</w:t>
            </w:r>
            <w:r>
              <w:rPr>
                <w:rFonts w:ascii="仿宋" w:eastAsia="仿宋" w:hAnsi="仿宋" w:cs="仿宋" w:hint="eastAsia"/>
                <w:color w:val="000000"/>
                <w:kern w:val="0"/>
                <w:sz w:val="32"/>
                <w:szCs w:val="32"/>
              </w:rPr>
              <w:t>＜</w:t>
            </w:r>
            <w:r w:rsidRPr="00635E69">
              <w:rPr>
                <w:rFonts w:ascii="仿宋" w:eastAsia="仿宋" w:hAnsi="仿宋" w:cs="仿宋"/>
                <w:color w:val="000000"/>
                <w:kern w:val="0"/>
                <w:sz w:val="32"/>
                <w:szCs w:val="32"/>
              </w:rPr>
              <w:t>500万元</w:t>
            </w:r>
          </w:p>
        </w:tc>
        <w:tc>
          <w:tcPr>
            <w:tcW w:w="296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0.08%</w:t>
            </w:r>
          </w:p>
        </w:tc>
      </w:tr>
      <w:tr w:rsidR="00792875" w:rsidRPr="00635E69">
        <w:trPr>
          <w:trHeight w:val="20"/>
          <w:jc w:val="center"/>
        </w:trPr>
        <w:tc>
          <w:tcPr>
            <w:tcW w:w="4896" w:type="dxa"/>
            <w:tcBorders>
              <w:top w:val="single" w:sz="6" w:space="0" w:color="000000"/>
              <w:left w:val="single" w:sz="8" w:space="0" w:color="000000"/>
              <w:bottom w:val="single" w:sz="8" w:space="0" w:color="000000"/>
              <w:right w:val="single" w:sz="6" w:space="0" w:color="000000"/>
            </w:tcBorders>
            <w:tcMar>
              <w:top w:w="134" w:type="dxa"/>
              <w:left w:w="111" w:type="dxa"/>
              <w:bottom w:w="136" w:type="dxa"/>
              <w:right w:w="108" w:type="dxa"/>
            </w:tcMa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M≥500万元</w:t>
            </w:r>
          </w:p>
        </w:tc>
        <w:tc>
          <w:tcPr>
            <w:tcW w:w="2965" w:type="dxa"/>
            <w:tcBorders>
              <w:top w:val="single" w:sz="6" w:space="0" w:color="000000"/>
              <w:left w:val="single" w:sz="6" w:space="0" w:color="000000"/>
              <w:bottom w:val="single" w:sz="8" w:space="0" w:color="000000"/>
              <w:right w:val="single" w:sz="8" w:space="0" w:color="000000"/>
            </w:tcBorders>
            <w:tcMar>
              <w:top w:w="134" w:type="dxa"/>
              <w:left w:w="108" w:type="dxa"/>
              <w:bottom w:w="136" w:type="dxa"/>
              <w:right w:w="111" w:type="dxa"/>
            </w:tcMar>
            <w:vAlign w:val="cente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每笔100元</w:t>
            </w:r>
          </w:p>
        </w:tc>
      </w:tr>
    </w:tbl>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3</w:t>
      </w:r>
      <w:r w:rsidRPr="00635E69">
        <w:rPr>
          <w:rFonts w:ascii="仿宋" w:eastAsia="仿宋" w:hAnsi="仿宋" w:cs="仿宋"/>
          <w:b/>
          <w:bCs/>
          <w:kern w:val="0"/>
          <w:sz w:val="32"/>
          <w:szCs w:val="32"/>
        </w:rPr>
        <w:t>.3 其他与申购相关的事项</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（1）本基金的申购费用应在投资人申购基金份额时收取，不列入基金财产，主要用于本基金的市场推广、销售、注册登记等各项费用。</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（2）基金管理人可在法律法规允许的情况下，调整上述规定申购金额的数量限制。基金管理人必须在调整实施前依照《公开募集证券投资基金信息披露管理办法》的有关规定在指定媒介上公告。</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（3）基金管理人可以按照基金合同的相关规定调整费率或调整收费方式，基金管理人最迟应于新的费率或收费方式实施日前依照《公开募集证券投资基金信息披露管理办法》的有关规定在指定媒介上公告。</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4）基金管理人可以在不违反法律法规规定、基金合同约定，以及对基金份额持有人利益无实质性不利影响的情形下根据市场情况制定基金促销计划，定期和不定期地开展基金促销活动。在基金促销活动期间，基金管理人可以按中国证监会要求履行必要手续后，对投资人适当调低基金申购费率。</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serial-tag"/>
          <w:rFonts w:ascii="仿宋" w:eastAsia="仿宋" w:hAnsi="仿宋" w:cs="仿宋"/>
          <w:b/>
          <w:bCs/>
          <w:kern w:val="0"/>
          <w:sz w:val="32"/>
          <w:szCs w:val="32"/>
        </w:rPr>
        <w:t>4</w:t>
      </w:r>
      <w:r w:rsidRPr="00635E69">
        <w:rPr>
          <w:rFonts w:ascii="仿宋" w:eastAsia="仿宋" w:hAnsi="仿宋" w:cs="仿宋"/>
          <w:b/>
          <w:bCs/>
          <w:kern w:val="0"/>
          <w:sz w:val="32"/>
          <w:szCs w:val="32"/>
        </w:rPr>
        <w:t>.日常赎回业务</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4</w:t>
      </w:r>
      <w:r w:rsidRPr="00635E69">
        <w:rPr>
          <w:rFonts w:ascii="仿宋" w:eastAsia="仿宋" w:hAnsi="仿宋" w:cs="仿宋"/>
          <w:b/>
          <w:bCs/>
          <w:kern w:val="0"/>
          <w:sz w:val="32"/>
          <w:szCs w:val="32"/>
        </w:rPr>
        <w:t>.1 赎回份额限制</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基金份额持有人在销售机构赎回时，每次赎回申请不得低于1份基金份额。基金份额持有人赎回时或赎回后在销售机构（网点）保留的基金份额余额不足1份的，在赎回时需一次全部赎回。</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4</w:t>
      </w:r>
      <w:r w:rsidRPr="00635E69">
        <w:rPr>
          <w:rFonts w:ascii="仿宋" w:eastAsia="仿宋" w:hAnsi="仿宋" w:cs="仿宋"/>
          <w:b/>
          <w:bCs/>
          <w:kern w:val="0"/>
          <w:sz w:val="32"/>
          <w:szCs w:val="32"/>
        </w:rPr>
        <w:t>.2 赎回费用</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本基金的赎回费率按照持有时间递减，即基金份额持有时间越长，所适用的赎回费率越低，具体赎回费率如下表所示：</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4870"/>
        <w:gridCol w:w="3658"/>
      </w:tblGrid>
      <w:tr w:rsidR="00792875" w:rsidRPr="00635E69">
        <w:trPr>
          <w:trHeight w:val="294"/>
          <w:jc w:val="center"/>
        </w:trPr>
        <w:tc>
          <w:tcPr>
            <w:tcW w:w="4745" w:type="dxa"/>
            <w:tcBorders>
              <w:top w:val="single" w:sz="8" w:space="0" w:color="000000"/>
              <w:left w:val="single" w:sz="8" w:space="0" w:color="000000"/>
              <w:bottom w:val="single" w:sz="6" w:space="0" w:color="000000"/>
              <w:right w:val="single" w:sz="6" w:space="0" w:color="000000"/>
            </w:tcBorders>
            <w:tcMar>
              <w:top w:w="136" w:type="dxa"/>
              <w:left w:w="111" w:type="dxa"/>
              <w:bottom w:w="134" w:type="dxa"/>
              <w:right w:w="108" w:type="dxa"/>
            </w:tcMar>
            <w:hideMark/>
          </w:tcPr>
          <w:p w:rsidR="00792875" w:rsidRPr="00635E69" w:rsidRDefault="00635E69">
            <w:pPr>
              <w:pStyle w:val="div"/>
              <w:spacing w:line="360" w:lineRule="auto"/>
              <w:ind w:firstLine="640"/>
              <w:rPr>
                <w:rFonts w:ascii="仿宋" w:eastAsia="仿宋" w:hAnsi="仿宋" w:cs="仿宋"/>
                <w:color w:val="000000"/>
                <w:kern w:val="0"/>
                <w:sz w:val="32"/>
                <w:szCs w:val="32"/>
              </w:rPr>
            </w:pPr>
            <w:r w:rsidRPr="00635E69">
              <w:rPr>
                <w:rFonts w:ascii="仿宋" w:eastAsia="仿宋" w:hAnsi="仿宋" w:cs="仿宋"/>
                <w:b/>
                <w:bCs/>
                <w:color w:val="000000"/>
                <w:kern w:val="0"/>
                <w:sz w:val="32"/>
                <w:szCs w:val="32"/>
              </w:rPr>
              <w:t>基金份额持有时间（Y）</w:t>
            </w:r>
          </w:p>
        </w:tc>
        <w:tc>
          <w:tcPr>
            <w:tcW w:w="3564" w:type="dxa"/>
            <w:tcBorders>
              <w:top w:val="single" w:sz="8" w:space="0" w:color="000000"/>
              <w:left w:val="single" w:sz="6" w:space="0" w:color="000000"/>
              <w:bottom w:val="single" w:sz="6" w:space="0" w:color="000000"/>
              <w:right w:val="single" w:sz="8" w:space="0" w:color="000000"/>
            </w:tcBorders>
            <w:tcMar>
              <w:top w:w="136" w:type="dxa"/>
              <w:left w:w="108" w:type="dxa"/>
              <w:bottom w:w="134" w:type="dxa"/>
              <w:right w:w="111" w:type="dxa"/>
            </w:tcMar>
            <w:hideMark/>
          </w:tcPr>
          <w:p w:rsidR="00792875" w:rsidRPr="00635E69" w:rsidRDefault="00635E69">
            <w:pPr>
              <w:pStyle w:val="div"/>
              <w:spacing w:line="360" w:lineRule="auto"/>
              <w:ind w:firstLine="640"/>
              <w:rPr>
                <w:rFonts w:ascii="仿宋" w:eastAsia="仿宋" w:hAnsi="仿宋" w:cs="仿宋"/>
                <w:color w:val="000000"/>
                <w:kern w:val="0"/>
                <w:sz w:val="32"/>
                <w:szCs w:val="32"/>
              </w:rPr>
            </w:pPr>
            <w:r w:rsidRPr="00635E69">
              <w:rPr>
                <w:rFonts w:ascii="仿宋" w:eastAsia="仿宋" w:hAnsi="仿宋" w:cs="仿宋"/>
                <w:b/>
                <w:bCs/>
                <w:color w:val="000000"/>
                <w:kern w:val="0"/>
                <w:sz w:val="32"/>
                <w:szCs w:val="32"/>
              </w:rPr>
              <w:t>赎回费率</w:t>
            </w:r>
          </w:p>
        </w:tc>
      </w:tr>
      <w:tr w:rsidR="00792875" w:rsidRPr="00635E69">
        <w:trPr>
          <w:trHeight w:val="294"/>
          <w:jc w:val="center"/>
        </w:trPr>
        <w:tc>
          <w:tcPr>
            <w:tcW w:w="4745" w:type="dxa"/>
            <w:vMerge w:val="restart"/>
            <w:tcBorders>
              <w:top w:val="single" w:sz="6" w:space="0" w:color="000000"/>
              <w:left w:val="single" w:sz="8" w:space="0" w:color="000000"/>
              <w:right w:val="single" w:sz="6" w:space="0" w:color="000000"/>
            </w:tcBorders>
            <w:tcMar>
              <w:top w:w="134" w:type="dxa"/>
              <w:left w:w="111" w:type="dxa"/>
              <w:bottom w:w="134" w:type="dxa"/>
              <w:right w:w="108" w:type="dxa"/>
            </w:tcMar>
            <w:vAlign w:val="cente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在同一开放期内申购后又赎回的</w:t>
            </w:r>
          </w:p>
        </w:tc>
        <w:tc>
          <w:tcPr>
            <w:tcW w:w="3564"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Y＜7日 1.50%</w:t>
            </w:r>
          </w:p>
        </w:tc>
      </w:tr>
      <w:tr w:rsidR="00792875" w:rsidRPr="00635E69">
        <w:trPr>
          <w:trHeight w:val="294"/>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792875" w:rsidRPr="00635E69" w:rsidRDefault="00792875" w:rsidP="00635E69">
            <w:pPr>
              <w:jc w:val="center"/>
              <w:rPr>
                <w:rFonts w:ascii="仿宋" w:eastAsia="仿宋" w:hAnsi="仿宋"/>
              </w:rPr>
            </w:pPr>
          </w:p>
        </w:tc>
        <w:tc>
          <w:tcPr>
            <w:tcW w:w="3564"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Y≥7日 0.10%</w:t>
            </w:r>
          </w:p>
        </w:tc>
      </w:tr>
      <w:tr w:rsidR="00792875" w:rsidRPr="00635E69">
        <w:trPr>
          <w:trHeight w:val="294"/>
          <w:jc w:val="center"/>
        </w:trPr>
        <w:tc>
          <w:tcPr>
            <w:tcW w:w="4745" w:type="dxa"/>
            <w:tcBorders>
              <w:top w:val="single" w:sz="6" w:space="0" w:color="000000"/>
              <w:left w:val="single" w:sz="8" w:space="0" w:color="000000"/>
              <w:bottom w:val="single" w:sz="8" w:space="0" w:color="000000"/>
              <w:right w:val="single" w:sz="6" w:space="0" w:color="000000"/>
            </w:tcBorders>
            <w:tcMar>
              <w:top w:w="134" w:type="dxa"/>
              <w:left w:w="111" w:type="dxa"/>
              <w:bottom w:w="136" w:type="dxa"/>
              <w:right w:w="108" w:type="dxa"/>
            </w:tcMar>
            <w:vAlign w:val="cente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持有一个或一个以上封闭期</w:t>
            </w:r>
          </w:p>
        </w:tc>
        <w:tc>
          <w:tcPr>
            <w:tcW w:w="3564" w:type="dxa"/>
            <w:tcBorders>
              <w:top w:val="single" w:sz="6" w:space="0" w:color="000000"/>
              <w:left w:val="single" w:sz="6" w:space="0" w:color="000000"/>
              <w:bottom w:val="single" w:sz="8" w:space="0" w:color="000000"/>
              <w:right w:val="single" w:sz="8" w:space="0" w:color="000000"/>
            </w:tcBorders>
            <w:tcMar>
              <w:top w:w="134" w:type="dxa"/>
              <w:left w:w="108" w:type="dxa"/>
              <w:bottom w:w="136" w:type="dxa"/>
              <w:right w:w="111" w:type="dxa"/>
            </w:tcMar>
            <w:vAlign w:val="center"/>
            <w:hideMark/>
          </w:tcPr>
          <w:p w:rsidR="00792875" w:rsidRPr="00635E69" w:rsidRDefault="00635E69" w:rsidP="00635E69">
            <w:pPr>
              <w:pStyle w:val="div"/>
              <w:spacing w:line="360" w:lineRule="auto"/>
              <w:jc w:val="center"/>
              <w:rPr>
                <w:rFonts w:ascii="仿宋" w:eastAsia="仿宋" w:hAnsi="仿宋" w:cs="仿宋"/>
                <w:color w:val="000000"/>
                <w:kern w:val="0"/>
                <w:sz w:val="32"/>
                <w:szCs w:val="32"/>
              </w:rPr>
            </w:pPr>
            <w:r w:rsidRPr="00635E69">
              <w:rPr>
                <w:rFonts w:ascii="仿宋" w:eastAsia="仿宋" w:hAnsi="仿宋" w:cs="仿宋"/>
                <w:color w:val="000000"/>
                <w:kern w:val="0"/>
                <w:sz w:val="32"/>
                <w:szCs w:val="32"/>
              </w:rPr>
              <w:t>0</w:t>
            </w:r>
          </w:p>
        </w:tc>
      </w:tr>
    </w:tbl>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4</w:t>
      </w:r>
      <w:r w:rsidRPr="00635E69">
        <w:rPr>
          <w:rFonts w:ascii="仿宋" w:eastAsia="仿宋" w:hAnsi="仿宋" w:cs="仿宋"/>
          <w:b/>
          <w:bCs/>
          <w:kern w:val="0"/>
          <w:sz w:val="32"/>
          <w:szCs w:val="32"/>
        </w:rPr>
        <w:t>.3 其他与赎回相关的事项</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1）赎回费用由赎回基金份额的基金份额持有人承担。本基金的赎回费用在投资者赎回本基金份额时收取，扣除用于市场推广、登记费和其他手续费后的余额归基金财产。对于在同一开放期内申购后又赎回的、持有期少于7日的基金份额所收取的赎回费，赎回费用全额计入基金资产。对于在同一开放期内申购后又赎回的、持有期不少于7日的基金份额所收取的赎回费，赎回费归入基金财产的比例不得低于赎回费总额的25%。</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（2）基金管理人可在法律法规允许的情况下，调整上述规定赎回份额的数量限制。基金管理人必须在调整实施前依照《公开募集证券投资基金信息披露管理办法》的有关规定在指定媒介上公告。</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（3）基金管理人可以按照基金合同的相关规定调整费率或调整收费方式，基金管理人最迟应于新的费率或收费方式实施日前依照《公开募集证券投资基金信息披露管理办法》的有关规定在指定媒介上公告。</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4）基金管理人可以在不违反法律法规规定、基金合同约定，以及对基金份额持有人利益无实质性不利影响的情形下根据市场情况制定基金促销计划，定期和不定期地开展基金促销活动。在基金促销活动期间，基金管理人可以按中国证监会要求履行必要手续后，对投资人适当调低基金赎回费率。</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serial-tag"/>
          <w:rFonts w:ascii="仿宋" w:eastAsia="仿宋" w:hAnsi="仿宋" w:cs="仿宋"/>
          <w:b/>
          <w:bCs/>
          <w:kern w:val="0"/>
          <w:sz w:val="32"/>
          <w:szCs w:val="32"/>
        </w:rPr>
        <w:t>5</w:t>
      </w:r>
      <w:r w:rsidRPr="00635E69">
        <w:rPr>
          <w:rFonts w:ascii="仿宋" w:eastAsia="仿宋" w:hAnsi="仿宋" w:cs="仿宋"/>
          <w:b/>
          <w:bCs/>
          <w:kern w:val="0"/>
          <w:sz w:val="32"/>
          <w:szCs w:val="32"/>
        </w:rPr>
        <w:t>.日常转换业务</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5</w:t>
      </w:r>
      <w:r w:rsidRPr="00635E69">
        <w:rPr>
          <w:rFonts w:ascii="仿宋" w:eastAsia="仿宋" w:hAnsi="仿宋" w:cs="仿宋"/>
          <w:b/>
          <w:bCs/>
          <w:kern w:val="0"/>
          <w:sz w:val="32"/>
          <w:szCs w:val="32"/>
        </w:rPr>
        <w:t>.1 转换费率</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基金转换费用由补差费和转出费两部分构成，具体收取情况视每次转换时两只基金的申购费率差异情况和转出基金的赎回费率而定。</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基金转换费用的具体计算公式如下：</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（1）转换费用=转出费+补差费</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（2）转出费=转出金额×转出基金赎回费率</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（3）转出金额=转出基金份额×转出基金当日基金份额净值</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（4）①当转出基金的申购费率＜转入基金的申购费率时，补差费=转出净金额×转入基金的申购费率/（1+转入基金的申购费率）-转出净金额×转出基金的申购费率/（1+转出基金的申购费率）</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②当转出基金的申购费率≥转入基金的申购费率时，则补差费为0。</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（5）转入净金额=转出金额-转换费用</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（6）转出净金额=转出基金份额×转出基金当日基金份额净值×（1-转出基金赎回费率）</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（7）转入份额=转入净金额/转入基金当日基金份额净值</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5</w:t>
      </w:r>
      <w:r w:rsidRPr="00635E69">
        <w:rPr>
          <w:rFonts w:ascii="仿宋" w:eastAsia="仿宋" w:hAnsi="仿宋" w:cs="仿宋"/>
          <w:b/>
          <w:bCs/>
          <w:kern w:val="0"/>
          <w:sz w:val="32"/>
          <w:szCs w:val="32"/>
        </w:rPr>
        <w:t>.2 其他与转换相关的事项</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（1）转换业务规则</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本基金可以与本管理人旗下已开通转换业务的基金转换。基金转换只能在同一销售机构办理，转换的两只基金必须都是该销售机构销售的本管理人管理的、在同一注册登记机构注册登记的基金。</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基金转换，以申请当日基金份额净值为基础计算。投资者采用“份额转换”的原则提交申请，基金转换遵循“先进先出”的原则。</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投资者办理基金转换业务时，转出的基金必须处于可赎回状态，转入的基金必须处于可申购状态，已经冻结的基金份额不得申请基金转换。</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（2）办理时间</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转换业务的申请受理时间与基金管理人管理的基金日常申购业务受理时间相同。</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（3）转换限额</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投资者在办理转换业务时，单笔转换基金份额不得低于1份，销售机构有不同规定的，投资者在销售机构办理相关业务时，需遵循该销售机构的相关规定。</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（4）交易确认</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转入的基金持有期自该部分基金份额登记于注册登记系统之日起开始计算。转入的基金在赎回或转出时，按照自基金转入确认日起至该部分基金份额赎回或转出确认日止的持有时段所适用的赎回费率档次计算其所应支付的赎回费。基金转换后可赎回的时间为T+2日。</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serial-tag"/>
          <w:rFonts w:ascii="仿宋" w:eastAsia="仿宋" w:hAnsi="仿宋" w:cs="仿宋"/>
          <w:b/>
          <w:bCs/>
          <w:kern w:val="0"/>
          <w:sz w:val="32"/>
          <w:szCs w:val="32"/>
        </w:rPr>
        <w:t>6</w:t>
      </w:r>
      <w:r w:rsidRPr="00635E69">
        <w:rPr>
          <w:rFonts w:ascii="仿宋" w:eastAsia="仿宋" w:hAnsi="仿宋" w:cs="仿宋"/>
          <w:b/>
          <w:bCs/>
          <w:kern w:val="0"/>
          <w:sz w:val="32"/>
          <w:szCs w:val="32"/>
        </w:rPr>
        <w:t>.基金销售机构</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6</w:t>
      </w:r>
      <w:r w:rsidRPr="00635E69">
        <w:rPr>
          <w:rFonts w:ascii="仿宋" w:eastAsia="仿宋" w:hAnsi="仿宋" w:cs="仿宋"/>
          <w:b/>
          <w:bCs/>
          <w:kern w:val="0"/>
          <w:sz w:val="32"/>
          <w:szCs w:val="32"/>
        </w:rPr>
        <w:t>.1场外销售机构</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6</w:t>
      </w:r>
      <w:r w:rsidRPr="00635E69">
        <w:rPr>
          <w:rFonts w:ascii="仿宋" w:eastAsia="仿宋" w:hAnsi="仿宋" w:cs="仿宋"/>
          <w:b/>
          <w:bCs/>
          <w:kern w:val="0"/>
          <w:sz w:val="32"/>
          <w:szCs w:val="32"/>
        </w:rPr>
        <w:t>.1.1直销机构</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本基金直销机构指本公司直销中心以及直销电子交易平台。</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（1）名称：国联基金管理有限公司直销中心 </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住所：深圳市福田区福田街道岗厦社区金田路3086号大百汇广场31层02-04单元</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办公地址：北京市东城区安定门外大街208号玖安广场A座11层</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法定代表人：王瑶 </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邮政编码：100011 </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电话：010-56517002、010-56517003 </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传真：010-64345889、010-84568832 </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邮箱：zhixiao@glfund.com</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联系人：巩京博、秦夏禹 </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网址：www.glfund.com </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（2）本基金暂不通过直销电子交易平台办理本基金的销售业务。</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6</w:t>
      </w:r>
      <w:r w:rsidRPr="00635E69">
        <w:rPr>
          <w:rFonts w:ascii="仿宋" w:eastAsia="仿宋" w:hAnsi="仿宋" w:cs="仿宋"/>
          <w:b/>
          <w:bCs/>
          <w:kern w:val="0"/>
          <w:sz w:val="32"/>
          <w:szCs w:val="32"/>
        </w:rPr>
        <w:t>.1.2场外非直销机构</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（1）名称：中国邮政储蓄银行股份有限公司 </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住所：北京市西城区金融大街3号</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办公地址：北京市西城区金融大街3号</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法定代表人：郑国雨</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客服电话：95580</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（2）名称：招商银行股份有限公司 </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住所：中国广东省深圳市福田区深南大道7088号</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法定代表人：缪建民</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客服电话：95555</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（3）名称：上海利得基金销售有限公司 </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住所：中国（上海）自由贸易试验区临港新片区海基六路70弄1号208-36室</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办公地址：上海浦东新区峨山路91弄61号10号楼12楼</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法定代表人：李兴春</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客服电话：400-032-5885</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（4）名称：上海基煜基金销售有限公司 </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住所：上海市黄浦区广东路500号30层3001单元</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办公地址：上海市浦东新区银城中路488号的太平金融大厦1503-1504室</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法定代表人：王翔</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联系人：俞申莉</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电话：021-65370077-209</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客服电话：400-820-5369</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 xml:space="preserve">（5）名称：上海中正达广基金销售有限公司 </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住所：上海市徐汇区龙兰路277号1号楼1203、1204室</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办公地址：上海市徐汇区龙兰路277号1号楼1203、1204室</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法定代表人：黄欣</w:t>
      </w:r>
    </w:p>
    <w:p w:rsidR="00792875" w:rsidRPr="00635E69" w:rsidRDefault="00635E69">
      <w:pPr>
        <w:pStyle w:val="div"/>
        <w:wordWrap w:val="0"/>
        <w:spacing w:line="360" w:lineRule="auto"/>
        <w:ind w:firstLine="480"/>
        <w:rPr>
          <w:rFonts w:ascii="仿宋" w:eastAsia="仿宋" w:hAnsi="仿宋" w:cs="仿宋"/>
          <w:kern w:val="0"/>
          <w:sz w:val="32"/>
          <w:szCs w:val="32"/>
        </w:rPr>
      </w:pPr>
      <w:r w:rsidRPr="00635E69">
        <w:rPr>
          <w:rFonts w:ascii="仿宋" w:eastAsia="仿宋" w:hAnsi="仿宋" w:cs="仿宋"/>
          <w:kern w:val="0"/>
          <w:sz w:val="32"/>
          <w:szCs w:val="32"/>
        </w:rPr>
        <w:t>客服电话：400-6767-523</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基金管理人可以根据相关法律法规要求，选择其他符合要求 的其他机构销售本基金，并在管理人网站上公示。</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custom"/>
          <w:rFonts w:ascii="仿宋" w:eastAsia="仿宋" w:hAnsi="仿宋" w:cs="仿宋"/>
          <w:b/>
          <w:bCs/>
          <w:kern w:val="0"/>
          <w:sz w:val="32"/>
          <w:szCs w:val="32"/>
        </w:rPr>
        <w:t>6</w:t>
      </w:r>
      <w:r w:rsidRPr="00635E69">
        <w:rPr>
          <w:rFonts w:ascii="仿宋" w:eastAsia="仿宋" w:hAnsi="仿宋" w:cs="仿宋"/>
          <w:b/>
          <w:bCs/>
          <w:kern w:val="0"/>
          <w:sz w:val="32"/>
          <w:szCs w:val="32"/>
        </w:rPr>
        <w:t>.2.场内销售机构</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本基金无场内销售机构。</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serial-tag"/>
          <w:rFonts w:ascii="仿宋" w:eastAsia="仿宋" w:hAnsi="仿宋" w:cs="仿宋"/>
          <w:b/>
          <w:bCs/>
          <w:kern w:val="0"/>
          <w:sz w:val="32"/>
          <w:szCs w:val="32"/>
        </w:rPr>
        <w:t>7</w:t>
      </w:r>
      <w:r w:rsidRPr="00635E69">
        <w:rPr>
          <w:rFonts w:ascii="仿宋" w:eastAsia="仿宋" w:hAnsi="仿宋" w:cs="仿宋"/>
          <w:b/>
          <w:bCs/>
          <w:kern w:val="0"/>
          <w:sz w:val="32"/>
          <w:szCs w:val="32"/>
        </w:rPr>
        <w:t>.基金份额净值公告的披露安排</w:t>
      </w:r>
    </w:p>
    <w:p w:rsidR="00792875" w:rsidRPr="00635E69" w:rsidRDefault="00635E69">
      <w:pPr>
        <w:pStyle w:val="div"/>
        <w:wordWrap w:val="0"/>
        <w:spacing w:line="360" w:lineRule="auto"/>
        <w:ind w:firstLine="630"/>
        <w:jc w:val="left"/>
        <w:rPr>
          <w:rFonts w:ascii="仿宋" w:eastAsia="仿宋" w:hAnsi="仿宋" w:cs="仿宋"/>
          <w:kern w:val="0"/>
          <w:sz w:val="32"/>
          <w:szCs w:val="32"/>
        </w:rPr>
      </w:pPr>
      <w:r w:rsidRPr="00635E69">
        <w:rPr>
          <w:rFonts w:ascii="仿宋" w:eastAsia="仿宋" w:hAnsi="仿宋" w:cs="仿宋"/>
          <w:kern w:val="0"/>
          <w:sz w:val="32"/>
          <w:szCs w:val="32"/>
        </w:rPr>
        <w:t>在本基金的开放期期间，基金管理人应当在不晚于每个开放日的次日，通过指定网站、基金销售机构网站或者营业网点，披露开放日的基金份额净值和基金份额累计净值。</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Style w:val="serial-tag"/>
          <w:rFonts w:ascii="仿宋" w:eastAsia="仿宋" w:hAnsi="仿宋" w:cs="仿宋"/>
          <w:b/>
          <w:bCs/>
          <w:kern w:val="0"/>
          <w:sz w:val="32"/>
          <w:szCs w:val="32"/>
        </w:rPr>
        <w:t>8</w:t>
      </w:r>
      <w:r w:rsidRPr="00635E69">
        <w:rPr>
          <w:rFonts w:ascii="仿宋" w:eastAsia="仿宋" w:hAnsi="仿宋" w:cs="仿宋"/>
          <w:b/>
          <w:bCs/>
          <w:kern w:val="0"/>
          <w:sz w:val="32"/>
          <w:szCs w:val="32"/>
        </w:rPr>
        <w:t>.其他需要提示的事项</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本公告仅对本基金的开放日常</w:t>
      </w:r>
      <w:r w:rsidRPr="00635E69">
        <w:rPr>
          <w:rStyle w:val="custom"/>
          <w:rFonts w:ascii="仿宋" w:eastAsia="仿宋" w:hAnsi="仿宋" w:cs="仿宋"/>
          <w:kern w:val="0"/>
          <w:sz w:val="32"/>
          <w:szCs w:val="32"/>
        </w:rPr>
        <w:t>申购、赎回、转换</w:t>
      </w:r>
      <w:r w:rsidRPr="00635E69">
        <w:rPr>
          <w:rFonts w:ascii="仿宋" w:eastAsia="仿宋" w:hAnsi="仿宋" w:cs="仿宋"/>
          <w:kern w:val="0"/>
          <w:sz w:val="32"/>
          <w:szCs w:val="32"/>
        </w:rPr>
        <w:t>业务事项予以说明，上述业务的办理以销售机构的相关规定为准。投资者欲了解本基金详细情况，请认真阅读本基金的基金招募说明书。</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基金管理人应以交易时间结束前受理有效</w:t>
      </w:r>
      <w:r w:rsidRPr="00635E69">
        <w:rPr>
          <w:rStyle w:val="custom"/>
          <w:rFonts w:ascii="仿宋" w:eastAsia="仿宋" w:hAnsi="仿宋" w:cs="仿宋"/>
          <w:kern w:val="0"/>
          <w:sz w:val="32"/>
          <w:szCs w:val="32"/>
        </w:rPr>
        <w:t>申购和赎回</w:t>
      </w:r>
      <w:r w:rsidRPr="00635E69">
        <w:rPr>
          <w:rFonts w:ascii="仿宋" w:eastAsia="仿宋" w:hAnsi="仿宋" w:cs="仿宋"/>
          <w:kern w:val="0"/>
          <w:sz w:val="32"/>
          <w:szCs w:val="32"/>
        </w:rPr>
        <w:t>申请的当天作为</w:t>
      </w:r>
      <w:r w:rsidRPr="00635E69">
        <w:rPr>
          <w:rStyle w:val="custom"/>
          <w:rFonts w:ascii="仿宋" w:eastAsia="仿宋" w:hAnsi="仿宋" w:cs="仿宋"/>
          <w:kern w:val="0"/>
          <w:sz w:val="32"/>
          <w:szCs w:val="32"/>
        </w:rPr>
        <w:t>申购或赎回</w:t>
      </w:r>
      <w:r w:rsidRPr="00635E69">
        <w:rPr>
          <w:rFonts w:ascii="仿宋" w:eastAsia="仿宋" w:hAnsi="仿宋" w:cs="仿宋"/>
          <w:kern w:val="0"/>
          <w:sz w:val="32"/>
          <w:szCs w:val="32"/>
        </w:rPr>
        <w:t>申请日（T日），在正常情况下，本基金登记机构在T+1日内对该交易的有效性进行确认。T日提交的有效申请，投资人应在T+2日后（包括该日）及时到销售网点柜台或以销售机构规定的其他方式查询申请的确认情况。</w:t>
      </w:r>
      <w:r w:rsidRPr="00635E69">
        <w:rPr>
          <w:rStyle w:val="custom"/>
          <w:rFonts w:ascii="仿宋" w:eastAsia="仿宋" w:hAnsi="仿宋" w:cs="仿宋"/>
          <w:kern w:val="0"/>
          <w:sz w:val="32"/>
          <w:szCs w:val="32"/>
        </w:rPr>
        <w:t>若申购不成功或无效，则申购款项本金退还给投资人。</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基金销售机构对</w:t>
      </w:r>
      <w:r w:rsidRPr="00635E69">
        <w:rPr>
          <w:rStyle w:val="custom"/>
          <w:rFonts w:ascii="仿宋" w:eastAsia="仿宋" w:hAnsi="仿宋" w:cs="仿宋"/>
          <w:kern w:val="0"/>
          <w:sz w:val="32"/>
          <w:szCs w:val="32"/>
        </w:rPr>
        <w:t>申购、赎回</w:t>
      </w:r>
      <w:r w:rsidRPr="00635E69">
        <w:rPr>
          <w:rFonts w:ascii="仿宋" w:eastAsia="仿宋" w:hAnsi="仿宋" w:cs="仿宋"/>
          <w:kern w:val="0"/>
          <w:sz w:val="32"/>
          <w:szCs w:val="32"/>
        </w:rPr>
        <w:t>申请的受理并不代表该申请一定生效，而仅代表销售机构确实接收到</w:t>
      </w:r>
      <w:r w:rsidRPr="00635E69">
        <w:rPr>
          <w:rStyle w:val="custom"/>
          <w:rFonts w:ascii="仿宋" w:eastAsia="仿宋" w:hAnsi="仿宋" w:cs="仿宋"/>
          <w:kern w:val="0"/>
          <w:sz w:val="32"/>
          <w:szCs w:val="32"/>
        </w:rPr>
        <w:t>申购、赎回</w:t>
      </w:r>
      <w:r w:rsidRPr="00635E69">
        <w:rPr>
          <w:rFonts w:ascii="仿宋" w:eastAsia="仿宋" w:hAnsi="仿宋" w:cs="仿宋"/>
          <w:kern w:val="0"/>
          <w:sz w:val="32"/>
          <w:szCs w:val="32"/>
        </w:rPr>
        <w:t>申请。</w:t>
      </w:r>
      <w:r w:rsidRPr="00635E69">
        <w:rPr>
          <w:rStyle w:val="custom"/>
          <w:rFonts w:ascii="仿宋" w:eastAsia="仿宋" w:hAnsi="仿宋" w:cs="仿宋"/>
          <w:kern w:val="0"/>
          <w:sz w:val="32"/>
          <w:szCs w:val="32"/>
        </w:rPr>
        <w:t>申购、赎回</w:t>
      </w:r>
      <w:r w:rsidRPr="00635E69">
        <w:rPr>
          <w:rFonts w:ascii="仿宋" w:eastAsia="仿宋" w:hAnsi="仿宋" w:cs="仿宋"/>
          <w:kern w:val="0"/>
          <w:sz w:val="32"/>
          <w:szCs w:val="32"/>
        </w:rPr>
        <w:t>的确认以登记机构的确认结果为准。对于</w:t>
      </w:r>
      <w:r w:rsidRPr="00635E69">
        <w:rPr>
          <w:rStyle w:val="custom"/>
          <w:rFonts w:ascii="仿宋" w:eastAsia="仿宋" w:hAnsi="仿宋" w:cs="仿宋"/>
          <w:kern w:val="0"/>
          <w:sz w:val="32"/>
          <w:szCs w:val="32"/>
        </w:rPr>
        <w:t>申购、赎回</w:t>
      </w:r>
      <w:r w:rsidRPr="00635E69">
        <w:rPr>
          <w:rFonts w:ascii="仿宋" w:eastAsia="仿宋" w:hAnsi="仿宋" w:cs="仿宋"/>
          <w:kern w:val="0"/>
          <w:sz w:val="32"/>
          <w:szCs w:val="32"/>
        </w:rPr>
        <w:t>申请及申购、赎回份额的确认情况，投资人应及时查询并妥善行使合法权利。</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在法律法规允许的范围内，基金管理人或登记机构可根据相关业务规则，对上述业务办理时间进行调整，本基金管理人将于调整实施前按照有关规定予以公告。</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投资者可登录基金管理人官方网站(www.glfund.com)或拨打基金管理人客户服务电话400-160-6000或010-56517299咨询相关信息。</w:t>
      </w:r>
    </w:p>
    <w:p w:rsidR="00792875" w:rsidRPr="00635E69" w:rsidRDefault="00635E69">
      <w:pPr>
        <w:pStyle w:val="div"/>
        <w:wordWrap w:val="0"/>
        <w:spacing w:line="360" w:lineRule="auto"/>
        <w:ind w:firstLine="630"/>
        <w:rPr>
          <w:rFonts w:ascii="仿宋" w:eastAsia="仿宋" w:hAnsi="仿宋" w:cs="仿宋"/>
          <w:kern w:val="0"/>
          <w:sz w:val="32"/>
          <w:szCs w:val="32"/>
        </w:rPr>
      </w:pPr>
      <w:r w:rsidRPr="00635E69">
        <w:rPr>
          <w:rFonts w:ascii="仿宋" w:eastAsia="仿宋" w:hAnsi="仿宋" w:cs="仿宋"/>
          <w:kern w:val="0"/>
          <w:sz w:val="32"/>
          <w:szCs w:val="32"/>
        </w:rPr>
        <w:t>风险提示：基金管理人承诺以诚实信用、勤勉尽责的原则管理和运用基金资产，但不保证基金一定盈利，也不保证最低收益。投资者投资于本基金前应认真阅读本基金的基金合同和招募说明书。敬请投资者留意投资风险。</w:t>
      </w:r>
    </w:p>
    <w:p w:rsidR="00635E69" w:rsidRDefault="00635E69">
      <w:pPr>
        <w:pStyle w:val="div"/>
        <w:spacing w:line="360" w:lineRule="auto"/>
        <w:ind w:firstLine="630"/>
        <w:jc w:val="right"/>
        <w:rPr>
          <w:rFonts w:ascii="仿宋" w:eastAsia="仿宋" w:hAnsi="仿宋" w:cs="仿宋"/>
          <w:kern w:val="0"/>
          <w:sz w:val="32"/>
          <w:szCs w:val="32"/>
        </w:rPr>
      </w:pPr>
    </w:p>
    <w:p w:rsidR="00792875" w:rsidRPr="00635E69" w:rsidRDefault="00635E69">
      <w:pPr>
        <w:pStyle w:val="div"/>
        <w:spacing w:line="360" w:lineRule="auto"/>
        <w:ind w:firstLine="630"/>
        <w:jc w:val="right"/>
        <w:rPr>
          <w:rFonts w:ascii="仿宋" w:eastAsia="仿宋" w:hAnsi="仿宋" w:cs="仿宋"/>
          <w:kern w:val="0"/>
          <w:sz w:val="32"/>
          <w:szCs w:val="32"/>
        </w:rPr>
      </w:pPr>
      <w:r w:rsidRPr="00635E69">
        <w:rPr>
          <w:rFonts w:ascii="仿宋" w:eastAsia="仿宋" w:hAnsi="仿宋" w:cs="仿宋"/>
          <w:kern w:val="0"/>
          <w:sz w:val="32"/>
          <w:szCs w:val="32"/>
        </w:rPr>
        <w:t xml:space="preserve">国联基金管理有限公司 </w:t>
      </w:r>
    </w:p>
    <w:p w:rsidR="00792875" w:rsidRPr="00635E69" w:rsidRDefault="00635E69">
      <w:pPr>
        <w:pStyle w:val="div"/>
        <w:spacing w:line="360" w:lineRule="auto"/>
        <w:ind w:firstLine="630"/>
        <w:jc w:val="right"/>
        <w:rPr>
          <w:rFonts w:ascii="仿宋" w:eastAsia="仿宋" w:hAnsi="仿宋" w:cs="仿宋"/>
          <w:kern w:val="0"/>
          <w:sz w:val="32"/>
          <w:szCs w:val="32"/>
        </w:rPr>
      </w:pPr>
      <w:r w:rsidRPr="00635E69">
        <w:rPr>
          <w:rFonts w:ascii="仿宋" w:eastAsia="仿宋" w:hAnsi="仿宋" w:cs="仿宋"/>
          <w:kern w:val="0"/>
          <w:sz w:val="32"/>
          <w:szCs w:val="32"/>
        </w:rPr>
        <w:t xml:space="preserve">2026年02月04日 </w:t>
      </w:r>
    </w:p>
    <w:sectPr w:rsidR="00792875" w:rsidRPr="00635E69" w:rsidSect="006B2A5D">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C347E" w16cex:dateUtc="2026-02-03T00:46:00Z"/>
  <w16cex:commentExtensible w16cex:durableId="2D2C34DC" w16cex:dateUtc="2026-02-03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70D7F6" w16cid:durableId="2D2C347E"/>
  <w16cid:commentId w16cid:paraId="56E760D7" w16cid:durableId="2D2C34DC"/>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30F7"/>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35E69"/>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2A5D"/>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2875"/>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07F29"/>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D3C6B"/>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59"/>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B2A5D"/>
    <w:pPr>
      <w:widowControl w:val="0"/>
      <w:jc w:val="both"/>
    </w:pPr>
    <w:rPr>
      <w:kern w:val="2"/>
      <w:sz w:val="21"/>
      <w:lang w:eastAsia="zh-CN"/>
    </w:rPr>
  </w:style>
  <w:style w:type="paragraph" w:styleId="1">
    <w:name w:val="heading 1"/>
    <w:basedOn w:val="a"/>
    <w:next w:val="a"/>
    <w:link w:val="1Char"/>
    <w:qFormat/>
    <w:rsid w:val="006B2A5D"/>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B2A5D"/>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B2A5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B2A5D"/>
    <w:pPr>
      <w:ind w:firstLineChars="200" w:firstLine="420"/>
    </w:pPr>
  </w:style>
  <w:style w:type="paragraph" w:styleId="a4">
    <w:name w:val="Document Map"/>
    <w:basedOn w:val="a"/>
    <w:qFormat/>
    <w:rsid w:val="006B2A5D"/>
    <w:pPr>
      <w:shd w:val="clear" w:color="auto" w:fill="000080"/>
    </w:pPr>
  </w:style>
  <w:style w:type="paragraph" w:styleId="a5">
    <w:name w:val="annotation text"/>
    <w:basedOn w:val="a"/>
    <w:link w:val="Char"/>
    <w:qFormat/>
    <w:rsid w:val="006B2A5D"/>
    <w:pPr>
      <w:jc w:val="left"/>
    </w:pPr>
  </w:style>
  <w:style w:type="paragraph" w:styleId="a6">
    <w:name w:val="Body Text"/>
    <w:basedOn w:val="a"/>
    <w:link w:val="Char0"/>
    <w:qFormat/>
    <w:rsid w:val="006B2A5D"/>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6B2A5D"/>
    <w:pPr>
      <w:ind w:leftChars="400" w:left="840"/>
    </w:pPr>
  </w:style>
  <w:style w:type="paragraph" w:styleId="a7">
    <w:name w:val="Plain Text"/>
    <w:basedOn w:val="a"/>
    <w:qFormat/>
    <w:rsid w:val="006B2A5D"/>
    <w:pPr>
      <w:adjustRightInd w:val="0"/>
      <w:spacing w:line="312" w:lineRule="atLeast"/>
      <w:textAlignment w:val="baseline"/>
    </w:pPr>
    <w:rPr>
      <w:rFonts w:ascii="宋体" w:hAnsi="Courier New"/>
      <w:kern w:val="0"/>
    </w:rPr>
  </w:style>
  <w:style w:type="paragraph" w:styleId="20">
    <w:name w:val="Body Text Indent 2"/>
    <w:basedOn w:val="a"/>
    <w:qFormat/>
    <w:rsid w:val="006B2A5D"/>
    <w:pPr>
      <w:spacing w:line="360" w:lineRule="auto"/>
      <w:ind w:firstLine="425"/>
    </w:pPr>
    <w:rPr>
      <w:rFonts w:ascii="仿宋_GB2312" w:eastAsia="仿宋_GB2312"/>
      <w:sz w:val="28"/>
    </w:rPr>
  </w:style>
  <w:style w:type="paragraph" w:styleId="a8">
    <w:name w:val="Balloon Text"/>
    <w:basedOn w:val="a"/>
    <w:qFormat/>
    <w:rsid w:val="006B2A5D"/>
    <w:rPr>
      <w:sz w:val="18"/>
    </w:rPr>
  </w:style>
  <w:style w:type="paragraph" w:styleId="a9">
    <w:name w:val="footer"/>
    <w:basedOn w:val="a"/>
    <w:link w:val="Char1"/>
    <w:uiPriority w:val="99"/>
    <w:qFormat/>
    <w:rsid w:val="006B2A5D"/>
    <w:pPr>
      <w:tabs>
        <w:tab w:val="center" w:pos="4153"/>
        <w:tab w:val="right" w:pos="8306"/>
      </w:tabs>
      <w:snapToGrid w:val="0"/>
      <w:jc w:val="left"/>
    </w:pPr>
    <w:rPr>
      <w:sz w:val="18"/>
    </w:rPr>
  </w:style>
  <w:style w:type="paragraph" w:styleId="aa">
    <w:name w:val="header"/>
    <w:basedOn w:val="a"/>
    <w:link w:val="Char2"/>
    <w:uiPriority w:val="99"/>
    <w:qFormat/>
    <w:rsid w:val="006B2A5D"/>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6B2A5D"/>
    <w:pPr>
      <w:tabs>
        <w:tab w:val="right" w:leader="dot" w:pos="8296"/>
      </w:tabs>
      <w:spacing w:line="360" w:lineRule="auto"/>
    </w:pPr>
  </w:style>
  <w:style w:type="paragraph" w:styleId="ab">
    <w:name w:val="footnote text"/>
    <w:basedOn w:val="a"/>
    <w:qFormat/>
    <w:rsid w:val="006B2A5D"/>
    <w:pPr>
      <w:snapToGrid w:val="0"/>
      <w:jc w:val="left"/>
    </w:pPr>
    <w:rPr>
      <w:sz w:val="18"/>
    </w:rPr>
  </w:style>
  <w:style w:type="paragraph" w:styleId="31">
    <w:name w:val="Body Text Indent 3"/>
    <w:basedOn w:val="a"/>
    <w:qFormat/>
    <w:rsid w:val="006B2A5D"/>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6B2A5D"/>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6B2A5D"/>
    <w:pPr>
      <w:spacing w:before="240" w:after="60"/>
      <w:jc w:val="center"/>
      <w:outlineLvl w:val="0"/>
    </w:pPr>
    <w:rPr>
      <w:rFonts w:ascii="Cambria" w:hAnsi="Cambria"/>
      <w:b/>
      <w:sz w:val="32"/>
      <w:lang w:val="zh-CN"/>
    </w:rPr>
  </w:style>
  <w:style w:type="paragraph" w:styleId="ae">
    <w:name w:val="annotation subject"/>
    <w:basedOn w:val="a5"/>
    <w:next w:val="a5"/>
    <w:qFormat/>
    <w:rsid w:val="006B2A5D"/>
    <w:rPr>
      <w:b/>
    </w:rPr>
  </w:style>
  <w:style w:type="character" w:styleId="af">
    <w:name w:val="page number"/>
    <w:basedOn w:val="a0"/>
    <w:rsid w:val="006B2A5D"/>
  </w:style>
  <w:style w:type="character" w:styleId="af0">
    <w:name w:val="Hyperlink"/>
    <w:qFormat/>
    <w:rsid w:val="006B2A5D"/>
    <w:rPr>
      <w:color w:val="0000FF"/>
      <w:u w:val="single"/>
    </w:rPr>
  </w:style>
  <w:style w:type="character" w:styleId="af1">
    <w:name w:val="annotation reference"/>
    <w:rsid w:val="006B2A5D"/>
    <w:rPr>
      <w:sz w:val="21"/>
    </w:rPr>
  </w:style>
  <w:style w:type="character" w:styleId="af2">
    <w:name w:val="footnote reference"/>
    <w:rsid w:val="006B2A5D"/>
    <w:rPr>
      <w:vertAlign w:val="superscript"/>
    </w:rPr>
  </w:style>
  <w:style w:type="character" w:customStyle="1" w:styleId="Char0">
    <w:name w:val="正文文本 Char"/>
    <w:link w:val="a6"/>
    <w:rsid w:val="006B2A5D"/>
    <w:rPr>
      <w:rFonts w:ascii="宋体"/>
      <w:lang w:val="zh-CN" w:eastAsia="zh-CN"/>
    </w:rPr>
  </w:style>
  <w:style w:type="character" w:customStyle="1" w:styleId="unnamed11">
    <w:name w:val="unnamed11"/>
    <w:rsid w:val="006B2A5D"/>
    <w:rPr>
      <w:rFonts w:ascii="宋体" w:eastAsia="宋体" w:hAnsi="宋体" w:hint="eastAsia"/>
      <w:sz w:val="18"/>
    </w:rPr>
  </w:style>
  <w:style w:type="character" w:customStyle="1" w:styleId="Char3">
    <w:name w:val="标题 Char"/>
    <w:link w:val="ad"/>
    <w:rsid w:val="006B2A5D"/>
    <w:rPr>
      <w:rFonts w:ascii="Cambria" w:hAnsi="Cambria"/>
      <w:b/>
      <w:kern w:val="2"/>
      <w:sz w:val="32"/>
      <w:lang w:val="zh-CN" w:eastAsia="zh-CN"/>
    </w:rPr>
  </w:style>
  <w:style w:type="character" w:customStyle="1" w:styleId="Char2">
    <w:name w:val="页眉 Char"/>
    <w:link w:val="aa"/>
    <w:uiPriority w:val="99"/>
    <w:qFormat/>
    <w:rsid w:val="006B2A5D"/>
    <w:rPr>
      <w:kern w:val="2"/>
      <w:sz w:val="18"/>
    </w:rPr>
  </w:style>
  <w:style w:type="character" w:customStyle="1" w:styleId="read">
    <w:name w:val="read"/>
    <w:basedOn w:val="a0"/>
    <w:qFormat/>
    <w:rsid w:val="006B2A5D"/>
  </w:style>
  <w:style w:type="paragraph" w:customStyle="1" w:styleId="CharChar">
    <w:name w:val="Char Char"/>
    <w:basedOn w:val="a"/>
    <w:qFormat/>
    <w:rsid w:val="006B2A5D"/>
  </w:style>
  <w:style w:type="paragraph" w:customStyle="1" w:styleId="Default">
    <w:name w:val="Default"/>
    <w:qFormat/>
    <w:rsid w:val="006B2A5D"/>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6B2A5D"/>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6B2A5D"/>
    <w:pPr>
      <w:widowControl/>
      <w:numPr>
        <w:numId w:val="1"/>
      </w:numPr>
      <w:jc w:val="left"/>
    </w:pPr>
    <w:rPr>
      <w:kern w:val="0"/>
      <w:sz w:val="24"/>
    </w:rPr>
  </w:style>
  <w:style w:type="paragraph" w:customStyle="1" w:styleId="msonormal1">
    <w:name w:val="msonormal1"/>
    <w:qFormat/>
    <w:rsid w:val="006B2A5D"/>
    <w:pPr>
      <w:widowControl w:val="0"/>
      <w:jc w:val="both"/>
    </w:pPr>
    <w:rPr>
      <w:kern w:val="2"/>
      <w:sz w:val="21"/>
      <w:lang w:eastAsia="zh-CN"/>
    </w:rPr>
  </w:style>
  <w:style w:type="paragraph" w:customStyle="1" w:styleId="af3">
    <w:name w:val="正文正文"/>
    <w:basedOn w:val="a"/>
    <w:qFormat/>
    <w:rsid w:val="006B2A5D"/>
    <w:pPr>
      <w:spacing w:afterLines="25" w:line="360" w:lineRule="auto"/>
      <w:ind w:firstLineChars="200" w:firstLine="200"/>
    </w:pPr>
    <w:rPr>
      <w:sz w:val="24"/>
    </w:rPr>
  </w:style>
  <w:style w:type="paragraph" w:customStyle="1" w:styleId="Char4">
    <w:name w:val="Char"/>
    <w:basedOn w:val="a"/>
    <w:qFormat/>
    <w:rsid w:val="006B2A5D"/>
  </w:style>
  <w:style w:type="paragraph" w:customStyle="1" w:styleId="Char10">
    <w:name w:val="Char1"/>
    <w:basedOn w:val="a"/>
    <w:qFormat/>
    <w:rsid w:val="006B2A5D"/>
  </w:style>
  <w:style w:type="paragraph" w:customStyle="1" w:styleId="CharCharChar">
    <w:name w:val="Char Char Char"/>
    <w:basedOn w:val="a"/>
    <w:qFormat/>
    <w:rsid w:val="006B2A5D"/>
  </w:style>
  <w:style w:type="paragraph" w:customStyle="1" w:styleId="InfoBlue">
    <w:name w:val="InfoBlue"/>
    <w:basedOn w:val="a"/>
    <w:next w:val="a6"/>
    <w:qFormat/>
    <w:rsid w:val="006B2A5D"/>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6B2A5D"/>
    <w:pPr>
      <w:tabs>
        <w:tab w:val="left" w:pos="360"/>
      </w:tabs>
    </w:pPr>
  </w:style>
  <w:style w:type="paragraph" w:customStyle="1" w:styleId="CharChar1">
    <w:name w:val="Char Char1"/>
    <w:basedOn w:val="a"/>
    <w:qFormat/>
    <w:rsid w:val="006B2A5D"/>
  </w:style>
  <w:style w:type="paragraph" w:customStyle="1" w:styleId="af4">
    <w:name w:val="正文所"/>
    <w:basedOn w:val="a"/>
    <w:qFormat/>
    <w:rsid w:val="006B2A5D"/>
    <w:pPr>
      <w:spacing w:line="360" w:lineRule="auto"/>
      <w:ind w:firstLineChars="200" w:firstLine="420"/>
    </w:pPr>
    <w:rPr>
      <w:rFonts w:ascii="宋体"/>
    </w:rPr>
  </w:style>
  <w:style w:type="paragraph" w:customStyle="1" w:styleId="11">
    <w:name w:val="修订1"/>
    <w:hidden/>
    <w:uiPriority w:val="99"/>
    <w:semiHidden/>
    <w:qFormat/>
    <w:rsid w:val="006B2A5D"/>
    <w:rPr>
      <w:kern w:val="2"/>
      <w:sz w:val="21"/>
      <w:lang w:eastAsia="zh-CN"/>
    </w:rPr>
  </w:style>
  <w:style w:type="character" w:customStyle="1" w:styleId="1Char">
    <w:name w:val="标题 1 Char"/>
    <w:link w:val="1"/>
    <w:qFormat/>
    <w:rsid w:val="006B2A5D"/>
    <w:rPr>
      <w:rFonts w:ascii="宋体"/>
      <w:b/>
      <w:color w:val="000000"/>
      <w:sz w:val="24"/>
    </w:rPr>
  </w:style>
  <w:style w:type="character" w:customStyle="1" w:styleId="Char">
    <w:name w:val="批注文字 Char"/>
    <w:link w:val="a5"/>
    <w:qFormat/>
    <w:rsid w:val="006B2A5D"/>
    <w:rPr>
      <w:kern w:val="2"/>
      <w:sz w:val="21"/>
    </w:rPr>
  </w:style>
  <w:style w:type="paragraph" w:customStyle="1" w:styleId="CharChar2">
    <w:name w:val="Char Char2"/>
    <w:basedOn w:val="a"/>
    <w:qFormat/>
    <w:rsid w:val="006B2A5D"/>
  </w:style>
  <w:style w:type="paragraph" w:customStyle="1" w:styleId="CharChar3">
    <w:name w:val="Char Char3"/>
    <w:basedOn w:val="a"/>
    <w:qFormat/>
    <w:rsid w:val="006B2A5D"/>
  </w:style>
  <w:style w:type="paragraph" w:customStyle="1" w:styleId="Char20">
    <w:name w:val="Char2"/>
    <w:basedOn w:val="a"/>
    <w:qFormat/>
    <w:rsid w:val="006B2A5D"/>
  </w:style>
  <w:style w:type="paragraph" w:customStyle="1" w:styleId="CharCharChar1">
    <w:name w:val="Char Char Char1"/>
    <w:basedOn w:val="a"/>
    <w:qFormat/>
    <w:rsid w:val="006B2A5D"/>
  </w:style>
  <w:style w:type="paragraph" w:customStyle="1" w:styleId="CharCharCharChar1">
    <w:name w:val="Char Char Char Char1"/>
    <w:basedOn w:val="a"/>
    <w:qFormat/>
    <w:rsid w:val="006B2A5D"/>
    <w:pPr>
      <w:tabs>
        <w:tab w:val="left" w:pos="360"/>
      </w:tabs>
    </w:pPr>
  </w:style>
  <w:style w:type="paragraph" w:customStyle="1" w:styleId="CharChar11">
    <w:name w:val="Char Char11"/>
    <w:basedOn w:val="a"/>
    <w:qFormat/>
    <w:rsid w:val="006B2A5D"/>
  </w:style>
  <w:style w:type="paragraph" w:customStyle="1" w:styleId="CharChar4">
    <w:name w:val="Char Char4"/>
    <w:basedOn w:val="a"/>
    <w:qFormat/>
    <w:rsid w:val="006B2A5D"/>
  </w:style>
  <w:style w:type="paragraph" w:styleId="af5">
    <w:name w:val="List Paragraph"/>
    <w:basedOn w:val="a"/>
    <w:uiPriority w:val="34"/>
    <w:qFormat/>
    <w:rsid w:val="006B2A5D"/>
    <w:pPr>
      <w:ind w:firstLineChars="200" w:firstLine="420"/>
    </w:pPr>
  </w:style>
  <w:style w:type="paragraph" w:customStyle="1" w:styleId="CharChar12">
    <w:name w:val="Char Char12"/>
    <w:basedOn w:val="a"/>
    <w:qFormat/>
    <w:rsid w:val="006B2A5D"/>
  </w:style>
  <w:style w:type="paragraph" w:customStyle="1" w:styleId="Char30">
    <w:name w:val="Char3"/>
    <w:basedOn w:val="a"/>
    <w:qFormat/>
    <w:rsid w:val="006B2A5D"/>
  </w:style>
  <w:style w:type="paragraph" w:customStyle="1" w:styleId="CharChar13">
    <w:name w:val="Char Char13"/>
    <w:basedOn w:val="a"/>
    <w:qFormat/>
    <w:rsid w:val="006B2A5D"/>
  </w:style>
  <w:style w:type="paragraph" w:customStyle="1" w:styleId="Char40">
    <w:name w:val="Char4"/>
    <w:basedOn w:val="a"/>
    <w:qFormat/>
    <w:rsid w:val="006B2A5D"/>
  </w:style>
  <w:style w:type="paragraph" w:customStyle="1" w:styleId="CharChar14">
    <w:name w:val="Char Char14"/>
    <w:basedOn w:val="a"/>
    <w:qFormat/>
    <w:rsid w:val="006B2A5D"/>
  </w:style>
  <w:style w:type="paragraph" w:customStyle="1" w:styleId="Char5">
    <w:name w:val="Char5"/>
    <w:basedOn w:val="a"/>
    <w:qFormat/>
    <w:rsid w:val="006B2A5D"/>
  </w:style>
  <w:style w:type="paragraph" w:customStyle="1" w:styleId="CharChar5">
    <w:name w:val="Char Char5"/>
    <w:basedOn w:val="a"/>
    <w:qFormat/>
    <w:rsid w:val="006B2A5D"/>
  </w:style>
  <w:style w:type="character" w:customStyle="1" w:styleId="Char1">
    <w:name w:val="页脚 Char"/>
    <w:basedOn w:val="a0"/>
    <w:link w:val="a9"/>
    <w:uiPriority w:val="99"/>
    <w:qFormat/>
    <w:rsid w:val="006B2A5D"/>
    <w:rPr>
      <w:kern w:val="2"/>
      <w:sz w:val="18"/>
    </w:rPr>
  </w:style>
  <w:style w:type="paragraph" w:customStyle="1" w:styleId="div">
    <w:name w:val="div"/>
    <w:basedOn w:val="a"/>
    <w:rsid w:val="006B2A5D"/>
  </w:style>
  <w:style w:type="character" w:customStyle="1" w:styleId="custom">
    <w:name w:val="custom"/>
    <w:basedOn w:val="a0"/>
    <w:rsid w:val="006B2A5D"/>
  </w:style>
  <w:style w:type="character" w:customStyle="1" w:styleId="serial-tag">
    <w:name w:val="serial-tag"/>
    <w:basedOn w:val="a0"/>
    <w:rsid w:val="006B2A5D"/>
  </w:style>
  <w:style w:type="table" w:customStyle="1" w:styleId="table">
    <w:name w:val="table"/>
    <w:basedOn w:val="a1"/>
    <w:rsid w:val="006B2A5D"/>
    <w:tblPr>
      <w:tblInd w:w="0" w:type="dxa"/>
      <w:tblCellMar>
        <w:top w:w="0" w:type="dxa"/>
        <w:left w:w="108" w:type="dxa"/>
        <w:bottom w:w="0" w:type="dxa"/>
        <w:right w:w="108" w:type="dxa"/>
      </w:tblCellMar>
    </w:tblPr>
  </w:style>
  <w:style w:type="paragraph" w:customStyle="1" w:styleId="p">
    <w:name w:val="p"/>
    <w:basedOn w:val="a"/>
    <w:rsid w:val="006B2A5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9B6B-102F-4B95-B5AC-FB57C1307BCA}">
  <ds:schemaRefs>
    <ds:schemaRef ds:uri="http://schemas.openxmlformats.org/officeDocument/2006/bibliography"/>
  </ds:schemaRefs>
</ds:datastoreItem>
</file>

<file path=customXml/itemProps2.xml><?xml version="1.0" encoding="utf-8"?>
<ds:datastoreItem xmlns:ds="http://schemas.openxmlformats.org/officeDocument/2006/customXml" ds:itemID="{99FEE633-BE49-4948-81C4-EFB4509E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4259</Characters>
  <Application>Microsoft Office Word</Application>
  <DocSecurity>4</DocSecurity>
  <Lines>35</Lines>
  <Paragraphs>9</Paragraphs>
  <ScaleCrop>false</ScaleCrop>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王盛楠</dc:creator>
  <cp:lastModifiedBy>ZHONGM</cp:lastModifiedBy>
  <cp:revision>2</cp:revision>
  <cp:lastPrinted>2020-07-16T11:58:00Z</cp:lastPrinted>
  <dcterms:created xsi:type="dcterms:W3CDTF">2026-02-03T16:00:00Z</dcterms:created>
  <dcterms:modified xsi:type="dcterms:W3CDTF">2026-02-03T16:00:00Z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eyAibWFpbEZyb20iOiAieGlueGlwaWx1QGdsZnVuZC5jb20iLCAicmNwdFRvIjogImxrbEBzc25ld3MuY29tLmNuIiwgIm5hbWUiOiAi5Zu96IGU6IGa5LyY5LiA5bm05a6a5pyf5byA5pS+5YC65Yi45Z6L5Y+R6LW35byP6K+B5Yi45oqV6LWE5Z+66YeR56ys5Zub5Liq5byA5pS+5pyf5byA5pS+55Sz6LSt44CB6LWO5Zue44CB6L2s5o2</vt:lpwstr>
  </property>
  <property fmtid="{D5CDD505-2E9C-101B-9397-08002B2CF9AE}" pid="5" name="skgMailId">
    <vt:lpwstr>1</vt:lpwstr>
  </property>
</Properties>
</file>