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DB9" w:rsidRDefault="003B5C81" w:rsidP="00351E78">
      <w:pPr>
        <w:spacing w:line="360" w:lineRule="auto"/>
        <w:jc w:val="center"/>
        <w:rPr>
          <w:rFonts w:ascii="Times New Roman" w:eastAsia="宋体" w:hAnsi="Times New Roman" w:cs="宋体"/>
          <w:b/>
          <w:bCs/>
          <w:color w:val="1A1A1A"/>
          <w:kern w:val="36"/>
          <w:sz w:val="28"/>
          <w:szCs w:val="28"/>
        </w:rPr>
      </w:pPr>
      <w:r w:rsidRPr="00F2191A">
        <w:rPr>
          <w:rFonts w:ascii="Times New Roman" w:eastAsia="宋体" w:hAnsi="Times New Roman" w:cs="宋体" w:hint="eastAsia"/>
          <w:b/>
          <w:bCs/>
          <w:color w:val="1A1A1A"/>
          <w:kern w:val="36"/>
          <w:sz w:val="28"/>
          <w:szCs w:val="28"/>
        </w:rPr>
        <w:t>融通基金关于</w:t>
      </w:r>
      <w:r w:rsidR="001F2DB9" w:rsidRPr="001F2DB9">
        <w:rPr>
          <w:rFonts w:ascii="Times New Roman" w:eastAsia="宋体" w:hAnsi="Times New Roman" w:cs="宋体"/>
          <w:b/>
          <w:bCs/>
          <w:color w:val="1A1A1A"/>
          <w:kern w:val="36"/>
          <w:sz w:val="28"/>
          <w:szCs w:val="28"/>
        </w:rPr>
        <w:t>融通通玺债券型证券投资基金</w:t>
      </w:r>
    </w:p>
    <w:p w:rsidR="00351E78" w:rsidRPr="00F2191A" w:rsidRDefault="003B5C81" w:rsidP="00351E78">
      <w:pPr>
        <w:spacing w:line="360" w:lineRule="auto"/>
        <w:jc w:val="center"/>
        <w:rPr>
          <w:rFonts w:ascii="Times New Roman" w:eastAsia="宋体" w:hAnsi="Times New Roman" w:cs="宋体"/>
          <w:b/>
          <w:bCs/>
          <w:color w:val="1A1A1A"/>
          <w:kern w:val="36"/>
          <w:sz w:val="28"/>
          <w:szCs w:val="28"/>
        </w:rPr>
      </w:pPr>
      <w:r w:rsidRPr="00F2191A">
        <w:rPr>
          <w:rFonts w:ascii="Times New Roman" w:eastAsia="宋体" w:hAnsi="Times New Roman" w:cs="宋体" w:hint="eastAsia"/>
          <w:b/>
          <w:bCs/>
          <w:color w:val="1A1A1A"/>
          <w:kern w:val="36"/>
          <w:sz w:val="28"/>
          <w:szCs w:val="28"/>
        </w:rPr>
        <w:t>在直销</w:t>
      </w:r>
      <w:r w:rsidR="005E1311">
        <w:rPr>
          <w:rFonts w:ascii="Times New Roman" w:eastAsia="宋体" w:hAnsi="Times New Roman" w:cs="宋体" w:hint="eastAsia"/>
          <w:b/>
          <w:bCs/>
          <w:color w:val="1A1A1A"/>
          <w:kern w:val="36"/>
          <w:sz w:val="28"/>
          <w:szCs w:val="28"/>
        </w:rPr>
        <w:t>柜台</w:t>
      </w:r>
      <w:r w:rsidRPr="00F2191A">
        <w:rPr>
          <w:rFonts w:ascii="Times New Roman" w:eastAsia="宋体" w:hAnsi="Times New Roman" w:cs="宋体" w:hint="eastAsia"/>
          <w:b/>
          <w:bCs/>
          <w:color w:val="1A1A1A"/>
          <w:kern w:val="36"/>
          <w:sz w:val="28"/>
          <w:szCs w:val="28"/>
        </w:rPr>
        <w:t>开通基金转换业务的公告</w:t>
      </w:r>
    </w:p>
    <w:p w:rsidR="003B5C81" w:rsidRPr="00F2191A" w:rsidRDefault="003B5C81" w:rsidP="00F2191A">
      <w:pPr>
        <w:widowControl/>
        <w:shd w:val="clear" w:color="auto" w:fill="FFFFFF"/>
        <w:spacing w:line="360" w:lineRule="auto"/>
        <w:ind w:firstLineChars="200" w:firstLine="480"/>
        <w:outlineLvl w:val="0"/>
        <w:rPr>
          <w:rFonts w:ascii="Times New Roman" w:eastAsia="宋体" w:hAnsi="Times New Roman" w:cs="宋体"/>
          <w:color w:val="1A1A1A"/>
          <w:kern w:val="36"/>
          <w:sz w:val="24"/>
          <w:szCs w:val="24"/>
        </w:rPr>
      </w:pPr>
      <w:r w:rsidRPr="00F2191A">
        <w:rPr>
          <w:rFonts w:ascii="Times New Roman" w:eastAsia="宋体" w:hAnsi="Times New Roman" w:cs="宋体" w:hint="eastAsia"/>
          <w:color w:val="1A1A1A"/>
          <w:kern w:val="36"/>
          <w:sz w:val="24"/>
          <w:szCs w:val="24"/>
        </w:rPr>
        <w:t>为更好地满足广大投资者的理财需求，融通基金管理有限公司（以下简称“本公司”或“基金管理人”）决定自</w:t>
      </w:r>
      <w:r w:rsidRPr="00F2191A">
        <w:rPr>
          <w:rFonts w:ascii="Times New Roman" w:eastAsia="宋体" w:hAnsi="Times New Roman" w:cs="宋体" w:hint="eastAsia"/>
          <w:color w:val="1A1A1A"/>
          <w:kern w:val="36"/>
          <w:sz w:val="24"/>
          <w:szCs w:val="24"/>
        </w:rPr>
        <w:t xml:space="preserve"> </w:t>
      </w:r>
      <w:r w:rsidR="001F2DB9" w:rsidRPr="00F2191A">
        <w:rPr>
          <w:rFonts w:ascii="Times New Roman" w:eastAsia="宋体" w:hAnsi="Times New Roman" w:cs="宋体" w:hint="eastAsia"/>
          <w:color w:val="1A1A1A"/>
          <w:kern w:val="36"/>
          <w:sz w:val="24"/>
          <w:szCs w:val="24"/>
        </w:rPr>
        <w:t>2026</w:t>
      </w:r>
      <w:r w:rsidR="001F2DB9" w:rsidRPr="00F2191A">
        <w:rPr>
          <w:rFonts w:ascii="Times New Roman" w:eastAsia="宋体" w:hAnsi="Times New Roman" w:cs="宋体" w:hint="eastAsia"/>
          <w:color w:val="1A1A1A"/>
          <w:kern w:val="36"/>
          <w:sz w:val="24"/>
          <w:szCs w:val="24"/>
        </w:rPr>
        <w:t>年</w:t>
      </w:r>
      <w:r w:rsidR="001F2DB9">
        <w:rPr>
          <w:rFonts w:ascii="Times New Roman" w:eastAsia="宋体" w:hAnsi="Times New Roman" w:cs="宋体" w:hint="eastAsia"/>
          <w:color w:val="1A1A1A"/>
          <w:kern w:val="36"/>
          <w:sz w:val="24"/>
          <w:szCs w:val="24"/>
        </w:rPr>
        <w:t>2</w:t>
      </w:r>
      <w:r w:rsidRPr="00F2191A">
        <w:rPr>
          <w:rFonts w:ascii="Times New Roman" w:eastAsia="宋体" w:hAnsi="Times New Roman" w:cs="宋体" w:hint="eastAsia"/>
          <w:color w:val="1A1A1A"/>
          <w:kern w:val="36"/>
          <w:sz w:val="24"/>
          <w:szCs w:val="24"/>
        </w:rPr>
        <w:t>月</w:t>
      </w:r>
      <w:r w:rsidR="001F2DB9">
        <w:rPr>
          <w:rFonts w:ascii="Times New Roman" w:eastAsia="宋体" w:hAnsi="Times New Roman" w:cs="宋体" w:hint="eastAsia"/>
          <w:color w:val="1A1A1A"/>
          <w:kern w:val="36"/>
          <w:sz w:val="24"/>
          <w:szCs w:val="24"/>
        </w:rPr>
        <w:t>3</w:t>
      </w:r>
      <w:r w:rsidRPr="00F2191A">
        <w:rPr>
          <w:rFonts w:ascii="Times New Roman" w:eastAsia="宋体" w:hAnsi="Times New Roman" w:cs="宋体" w:hint="eastAsia"/>
          <w:color w:val="1A1A1A"/>
          <w:kern w:val="36"/>
          <w:sz w:val="24"/>
          <w:szCs w:val="24"/>
        </w:rPr>
        <w:t>日起，融通</w:t>
      </w:r>
      <w:r w:rsidR="001F2DB9" w:rsidRPr="001F2DB9">
        <w:rPr>
          <w:rFonts w:ascii="Times New Roman" w:eastAsia="宋体" w:hAnsi="Times New Roman" w:cs="宋体"/>
          <w:color w:val="1A1A1A"/>
          <w:kern w:val="36"/>
          <w:sz w:val="24"/>
          <w:szCs w:val="24"/>
        </w:rPr>
        <w:t>通玺</w:t>
      </w:r>
      <w:r w:rsidRPr="00F2191A">
        <w:rPr>
          <w:rFonts w:ascii="Times New Roman" w:eastAsia="宋体" w:hAnsi="Times New Roman" w:cs="宋体" w:hint="eastAsia"/>
          <w:color w:val="1A1A1A"/>
          <w:kern w:val="36"/>
          <w:sz w:val="24"/>
          <w:szCs w:val="24"/>
        </w:rPr>
        <w:t>债券型证券投资基金</w:t>
      </w:r>
      <w:r w:rsidR="005E1311">
        <w:rPr>
          <w:rFonts w:ascii="Times New Roman" w:eastAsia="宋体" w:hAnsi="Times New Roman" w:cs="宋体" w:hint="eastAsia"/>
          <w:color w:val="1A1A1A"/>
          <w:kern w:val="36"/>
          <w:sz w:val="24"/>
          <w:szCs w:val="24"/>
        </w:rPr>
        <w:t>在直销柜台开通</w:t>
      </w:r>
      <w:r w:rsidRPr="00F2191A">
        <w:rPr>
          <w:rFonts w:ascii="Times New Roman" w:eastAsia="宋体" w:hAnsi="Times New Roman" w:cs="宋体" w:hint="eastAsia"/>
          <w:color w:val="1A1A1A"/>
          <w:kern w:val="36"/>
          <w:sz w:val="24"/>
          <w:szCs w:val="24"/>
        </w:rPr>
        <w:t>基金转换业务。</w:t>
      </w:r>
    </w:p>
    <w:p w:rsidR="003B5C81" w:rsidRPr="00F2191A" w:rsidRDefault="003B5C81" w:rsidP="00AB3BA5">
      <w:pPr>
        <w:pStyle w:val="ae"/>
        <w:widowControl/>
        <w:shd w:val="clear" w:color="auto" w:fill="FFFFFF"/>
        <w:wordWrap w:val="0"/>
        <w:spacing w:beforeLines="50" w:afterLines="50" w:line="360" w:lineRule="auto"/>
        <w:ind w:left="510" w:firstLineChars="0" w:hanging="510"/>
        <w:outlineLvl w:val="0"/>
        <w:rPr>
          <w:b/>
          <w:color w:val="1A1A1A"/>
          <w:kern w:val="36"/>
        </w:rPr>
        <w:pPrChange w:id="0" w:author="ZHONGM" w:date="2026-02-03T00:01:00Z">
          <w:pPr>
            <w:pStyle w:val="ae"/>
            <w:widowControl/>
            <w:shd w:val="clear" w:color="auto" w:fill="FFFFFF"/>
            <w:wordWrap w:val="0"/>
            <w:spacing w:beforeLines="50" w:afterLines="50" w:line="360" w:lineRule="auto"/>
            <w:ind w:left="510" w:firstLineChars="0" w:hanging="510"/>
            <w:outlineLvl w:val="0"/>
          </w:pPr>
        </w:pPrChange>
      </w:pPr>
      <w:r w:rsidRPr="00F2191A">
        <w:rPr>
          <w:rFonts w:cs="宋体" w:hint="eastAsia"/>
          <w:b/>
          <w:color w:val="1A1A1A"/>
          <w:kern w:val="36"/>
          <w:sz w:val="24"/>
        </w:rPr>
        <w:t>一、适用基金</w:t>
      </w:r>
      <w:r w:rsidR="005E1311" w:rsidRPr="00F2191A">
        <w:rPr>
          <w:rFonts w:cs="宋体" w:hint="eastAsia"/>
          <w:b/>
          <w:color w:val="1A1A1A"/>
          <w:kern w:val="36"/>
          <w:sz w:val="24"/>
        </w:rPr>
        <w:t>及业务范围</w:t>
      </w:r>
    </w:p>
    <w:tbl>
      <w:tblPr>
        <w:tblStyle w:val="TableNormal"/>
        <w:tblW w:w="810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07"/>
        <w:gridCol w:w="4000"/>
      </w:tblGrid>
      <w:tr w:rsidR="003B5C81" w:rsidRPr="003B5C81" w:rsidTr="00F2191A">
        <w:trPr>
          <w:trHeight w:val="468"/>
        </w:trPr>
        <w:tc>
          <w:tcPr>
            <w:tcW w:w="4107" w:type="dxa"/>
            <w:vAlign w:val="center"/>
          </w:tcPr>
          <w:p w:rsidR="003B5C81" w:rsidRPr="00F2191A" w:rsidRDefault="003B5C81" w:rsidP="00F2191A">
            <w:pPr>
              <w:pStyle w:val="ae"/>
              <w:widowControl/>
              <w:spacing w:line="360" w:lineRule="auto"/>
              <w:ind w:firstLineChars="0" w:firstLine="0"/>
              <w:jc w:val="center"/>
              <w:outlineLvl w:val="0"/>
              <w:rPr>
                <w:color w:val="1A1A1A"/>
                <w:kern w:val="36"/>
                <w:sz w:val="24"/>
                <w:lang w:eastAsia="zh-CN"/>
              </w:rPr>
            </w:pPr>
            <w:r w:rsidRPr="00F2191A">
              <w:rPr>
                <w:rFonts w:cs="宋体" w:hint="eastAsia"/>
                <w:color w:val="1A1A1A"/>
                <w:kern w:val="36"/>
                <w:sz w:val="24"/>
              </w:rPr>
              <w:t>基金名称</w:t>
            </w:r>
          </w:p>
        </w:tc>
        <w:tc>
          <w:tcPr>
            <w:tcW w:w="4000" w:type="dxa"/>
          </w:tcPr>
          <w:p w:rsidR="003B5C81" w:rsidRPr="00F2191A" w:rsidRDefault="003B5C81" w:rsidP="00F2191A">
            <w:pPr>
              <w:pStyle w:val="ae"/>
              <w:widowControl/>
              <w:spacing w:line="360" w:lineRule="auto"/>
              <w:ind w:firstLineChars="0" w:firstLine="0"/>
              <w:jc w:val="center"/>
              <w:outlineLvl w:val="0"/>
              <w:rPr>
                <w:color w:val="1A1A1A"/>
                <w:kern w:val="36"/>
                <w:sz w:val="24"/>
                <w:lang w:eastAsia="zh-CN"/>
              </w:rPr>
            </w:pPr>
            <w:r w:rsidRPr="00F2191A">
              <w:rPr>
                <w:rFonts w:cs="宋体" w:hint="eastAsia"/>
                <w:color w:val="1A1A1A"/>
                <w:kern w:val="36"/>
                <w:sz w:val="24"/>
              </w:rPr>
              <w:t>基金代码</w:t>
            </w:r>
          </w:p>
        </w:tc>
      </w:tr>
      <w:tr w:rsidR="003B5C81" w:rsidRPr="003B5C81" w:rsidTr="00F2191A">
        <w:trPr>
          <w:trHeight w:val="467"/>
        </w:trPr>
        <w:tc>
          <w:tcPr>
            <w:tcW w:w="4107" w:type="dxa"/>
          </w:tcPr>
          <w:p w:rsidR="003B5C81" w:rsidRPr="00F2191A" w:rsidRDefault="001F2DB9" w:rsidP="00F2191A">
            <w:pPr>
              <w:pStyle w:val="ae"/>
              <w:widowControl/>
              <w:spacing w:line="360" w:lineRule="auto"/>
              <w:ind w:firstLineChars="0" w:firstLine="0"/>
              <w:jc w:val="center"/>
              <w:outlineLvl w:val="0"/>
              <w:rPr>
                <w:color w:val="1A1A1A"/>
                <w:kern w:val="36"/>
                <w:sz w:val="24"/>
                <w:lang w:eastAsia="zh-CN"/>
              </w:rPr>
            </w:pPr>
            <w:r w:rsidRPr="001F2DB9">
              <w:rPr>
                <w:rFonts w:cs="宋体"/>
                <w:color w:val="1A1A1A"/>
                <w:kern w:val="36"/>
                <w:sz w:val="24"/>
                <w:lang w:eastAsia="zh-CN"/>
              </w:rPr>
              <w:t>融通通玺债券型证券投资基金</w:t>
            </w:r>
          </w:p>
        </w:tc>
        <w:tc>
          <w:tcPr>
            <w:tcW w:w="4000" w:type="dxa"/>
          </w:tcPr>
          <w:p w:rsidR="003B5C81" w:rsidRPr="00F2191A" w:rsidRDefault="003B5C81" w:rsidP="00F2191A">
            <w:pPr>
              <w:pStyle w:val="ae"/>
              <w:widowControl/>
              <w:spacing w:line="360" w:lineRule="auto"/>
              <w:ind w:firstLineChars="0" w:firstLine="0"/>
              <w:jc w:val="center"/>
              <w:outlineLvl w:val="0"/>
              <w:rPr>
                <w:color w:val="1A1A1A"/>
                <w:kern w:val="36"/>
                <w:sz w:val="24"/>
                <w:lang w:eastAsia="zh-CN"/>
              </w:rPr>
            </w:pPr>
            <w:r w:rsidRPr="00F2191A">
              <w:rPr>
                <w:rFonts w:cs="宋体" w:hint="eastAsia"/>
                <w:color w:val="1A1A1A"/>
                <w:kern w:val="36"/>
                <w:sz w:val="24"/>
              </w:rPr>
              <w:t>0036</w:t>
            </w:r>
            <w:r w:rsidR="001F2DB9">
              <w:rPr>
                <w:rFonts w:cs="宋体" w:hint="eastAsia"/>
                <w:color w:val="1A1A1A"/>
                <w:kern w:val="36"/>
                <w:sz w:val="24"/>
                <w:lang w:eastAsia="zh-CN"/>
              </w:rPr>
              <w:t>74</w:t>
            </w:r>
          </w:p>
        </w:tc>
      </w:tr>
    </w:tbl>
    <w:p w:rsidR="003B5C81" w:rsidRPr="00F2191A" w:rsidRDefault="003B5C81" w:rsidP="00AB3BA5">
      <w:pPr>
        <w:pStyle w:val="ae"/>
        <w:widowControl/>
        <w:shd w:val="clear" w:color="auto" w:fill="FFFFFF"/>
        <w:wordWrap w:val="0"/>
        <w:spacing w:beforeLines="50" w:afterLines="50" w:line="360" w:lineRule="auto"/>
        <w:ind w:left="510" w:firstLineChars="0" w:hanging="510"/>
        <w:outlineLvl w:val="0"/>
        <w:rPr>
          <w:b/>
          <w:color w:val="1A1A1A"/>
          <w:kern w:val="36"/>
        </w:rPr>
        <w:pPrChange w:id="1" w:author="ZHONGM" w:date="2026-02-03T00:01:00Z">
          <w:pPr>
            <w:pStyle w:val="ae"/>
            <w:widowControl/>
            <w:shd w:val="clear" w:color="auto" w:fill="FFFFFF"/>
            <w:wordWrap w:val="0"/>
            <w:spacing w:beforeLines="50" w:afterLines="50" w:line="360" w:lineRule="auto"/>
            <w:ind w:left="510" w:firstLineChars="0" w:hanging="510"/>
            <w:outlineLvl w:val="0"/>
          </w:pPr>
        </w:pPrChange>
      </w:pPr>
      <w:r w:rsidRPr="00F2191A">
        <w:rPr>
          <w:rFonts w:cs="宋体" w:hint="eastAsia"/>
          <w:b/>
          <w:color w:val="1A1A1A"/>
          <w:kern w:val="36"/>
          <w:sz w:val="24"/>
        </w:rPr>
        <w:t>二、办理时间</w:t>
      </w:r>
    </w:p>
    <w:p w:rsidR="003B5C81" w:rsidRPr="003B5C81" w:rsidRDefault="003B5C81" w:rsidP="003B5C81">
      <w:pPr>
        <w:pStyle w:val="ac"/>
        <w:spacing w:before="0" w:line="360" w:lineRule="auto"/>
        <w:ind w:left="100" w:right="5" w:firstLine="479"/>
      </w:pPr>
      <w:r w:rsidRPr="003B5C81">
        <w:rPr>
          <w:color w:val="1A1A1A"/>
          <w:spacing w:val="-2"/>
        </w:rPr>
        <w:t>基金投资者在开放日办理基金转换业务，具体办理时间为上海证券交易所、深圳证券交易所的正常交易日的交易时间，但基金管理人根据法律法规、中国证监会的要求或基金合同的规定公告暂停基金转换业务时除外。</w:t>
      </w:r>
    </w:p>
    <w:p w:rsidR="003B5C81" w:rsidRPr="00F2191A" w:rsidRDefault="005E1311" w:rsidP="00AB3BA5">
      <w:pPr>
        <w:pStyle w:val="ae"/>
        <w:widowControl/>
        <w:shd w:val="clear" w:color="auto" w:fill="FFFFFF"/>
        <w:wordWrap w:val="0"/>
        <w:spacing w:beforeLines="50" w:afterLines="50" w:line="360" w:lineRule="auto"/>
        <w:ind w:left="510" w:firstLineChars="0" w:hanging="510"/>
        <w:outlineLvl w:val="0"/>
        <w:rPr>
          <w:b/>
          <w:color w:val="1A1A1A"/>
          <w:kern w:val="36"/>
        </w:rPr>
        <w:pPrChange w:id="2" w:author="ZHONGM" w:date="2026-02-03T00:01:00Z">
          <w:pPr>
            <w:pStyle w:val="ae"/>
            <w:widowControl/>
            <w:shd w:val="clear" w:color="auto" w:fill="FFFFFF"/>
            <w:wordWrap w:val="0"/>
            <w:spacing w:beforeLines="50" w:afterLines="50" w:line="360" w:lineRule="auto"/>
            <w:ind w:left="510" w:firstLineChars="0" w:hanging="510"/>
            <w:outlineLvl w:val="0"/>
          </w:pPr>
        </w:pPrChange>
      </w:pPr>
      <w:r>
        <w:rPr>
          <w:rFonts w:cs="宋体" w:hint="eastAsia"/>
          <w:b/>
          <w:color w:val="1A1A1A"/>
          <w:kern w:val="36"/>
          <w:sz w:val="24"/>
        </w:rPr>
        <w:t>三</w:t>
      </w:r>
      <w:r w:rsidR="003B5C81" w:rsidRPr="00F2191A">
        <w:rPr>
          <w:rFonts w:cs="宋体" w:hint="eastAsia"/>
          <w:b/>
          <w:color w:val="1A1A1A"/>
          <w:kern w:val="36"/>
          <w:sz w:val="24"/>
        </w:rPr>
        <w:t>、基金转换的数额限制</w:t>
      </w:r>
    </w:p>
    <w:p w:rsidR="003B5C81" w:rsidRPr="00F2191A" w:rsidRDefault="003B5C81" w:rsidP="00F2191A">
      <w:pPr>
        <w:numPr>
          <w:ilvl w:val="0"/>
          <w:numId w:val="1"/>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基金转换以份额为单位进行申请，投资者通过本公司直销机构办理基金转换业务的，其单笔转换份额下限为</w:t>
      </w:r>
      <w:r w:rsidRPr="00F2191A">
        <w:rPr>
          <w:rFonts w:ascii="Times New Roman" w:eastAsia="宋体" w:hAnsi="Times New Roman" w:cs="Arial" w:hint="eastAsia"/>
          <w:sz w:val="24"/>
          <w:szCs w:val="24"/>
        </w:rPr>
        <w:t>1</w:t>
      </w:r>
      <w:r w:rsidRPr="00F2191A">
        <w:rPr>
          <w:rFonts w:ascii="Times New Roman" w:eastAsia="宋体" w:hAnsi="Times New Roman" w:cs="Arial" w:hint="eastAsia"/>
          <w:sz w:val="24"/>
          <w:szCs w:val="24"/>
        </w:rPr>
        <w:t>份。</w:t>
      </w:r>
    </w:p>
    <w:p w:rsidR="003B5C81" w:rsidRPr="00F2191A" w:rsidRDefault="003B5C81" w:rsidP="00F2191A">
      <w:pPr>
        <w:numPr>
          <w:ilvl w:val="0"/>
          <w:numId w:val="1"/>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本公司在不损害基金份额持有人权益的情况下，可以根据实际情况对以上限制进行调整，并于调整实施前依照《公开募集证券投资基金信息披露管理办法》的有关规定在规定媒介上公告。</w:t>
      </w:r>
    </w:p>
    <w:p w:rsidR="003B5C81" w:rsidRPr="003B5C81" w:rsidRDefault="00CB0230" w:rsidP="00AB3BA5">
      <w:pPr>
        <w:pStyle w:val="ae"/>
        <w:widowControl/>
        <w:shd w:val="clear" w:color="auto" w:fill="FFFFFF"/>
        <w:wordWrap w:val="0"/>
        <w:spacing w:beforeLines="50" w:afterLines="50" w:line="360" w:lineRule="auto"/>
        <w:ind w:left="510" w:firstLineChars="0" w:hanging="510"/>
        <w:outlineLvl w:val="0"/>
        <w:rPr>
          <w:color w:val="1A1A1A"/>
          <w:spacing w:val="-2"/>
        </w:rPr>
      </w:pPr>
      <w:r>
        <w:rPr>
          <w:rFonts w:cs="宋体" w:hint="eastAsia"/>
          <w:b/>
          <w:color w:val="1A1A1A"/>
          <w:kern w:val="36"/>
          <w:sz w:val="24"/>
        </w:rPr>
        <w:t>四</w:t>
      </w:r>
      <w:r w:rsidR="003B5C81" w:rsidRPr="00F2191A">
        <w:rPr>
          <w:rFonts w:cs="宋体" w:hint="eastAsia"/>
          <w:b/>
          <w:color w:val="1A1A1A"/>
          <w:kern w:val="36"/>
          <w:sz w:val="24"/>
        </w:rPr>
        <w:t>、基金转换费用</w:t>
      </w:r>
    </w:p>
    <w:p w:rsidR="003B5C81" w:rsidRPr="00F2191A" w:rsidRDefault="003B5C81" w:rsidP="00F2191A">
      <w:p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1.</w:t>
      </w:r>
      <w:r w:rsidRPr="00F2191A">
        <w:rPr>
          <w:rFonts w:ascii="Times New Roman" w:eastAsia="宋体" w:hAnsi="Times New Roman" w:cs="Arial" w:hint="eastAsia"/>
          <w:sz w:val="24"/>
          <w:szCs w:val="24"/>
        </w:rPr>
        <w:tab/>
      </w:r>
      <w:r w:rsidRPr="00F2191A">
        <w:rPr>
          <w:rFonts w:ascii="Times New Roman" w:eastAsia="宋体" w:hAnsi="Times New Roman" w:cs="Arial" w:hint="eastAsia"/>
          <w:sz w:val="24"/>
          <w:szCs w:val="24"/>
        </w:rPr>
        <w:t>基金转换费用包括转换费和补差费；</w:t>
      </w:r>
    </w:p>
    <w:p w:rsidR="003B5C81" w:rsidRPr="00F2191A" w:rsidRDefault="003B5C81" w:rsidP="00F2191A">
      <w:p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2.</w:t>
      </w:r>
      <w:r w:rsidRPr="00F2191A">
        <w:rPr>
          <w:rFonts w:ascii="Times New Roman" w:eastAsia="宋体" w:hAnsi="Times New Roman" w:cs="Arial" w:hint="eastAsia"/>
          <w:sz w:val="24"/>
          <w:szCs w:val="24"/>
        </w:rPr>
        <w:tab/>
      </w:r>
      <w:r w:rsidRPr="00F2191A">
        <w:rPr>
          <w:rFonts w:ascii="Times New Roman" w:eastAsia="宋体" w:hAnsi="Times New Roman" w:cs="Arial" w:hint="eastAsia"/>
          <w:sz w:val="24"/>
          <w:szCs w:val="24"/>
        </w:rPr>
        <w:t>转换费：按转出基金正常赎回时的赎回费率收取费用；</w:t>
      </w:r>
    </w:p>
    <w:p w:rsidR="003B5C81" w:rsidRPr="00F2191A" w:rsidRDefault="003B5C81" w:rsidP="00F2191A">
      <w:p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3.</w:t>
      </w:r>
      <w:r w:rsidRPr="00F2191A">
        <w:rPr>
          <w:rFonts w:ascii="Times New Roman" w:eastAsia="宋体" w:hAnsi="Times New Roman" w:cs="Arial" w:hint="eastAsia"/>
          <w:sz w:val="24"/>
          <w:szCs w:val="24"/>
        </w:rPr>
        <w:tab/>
      </w:r>
      <w:r w:rsidRPr="00F2191A">
        <w:rPr>
          <w:rFonts w:ascii="Times New Roman" w:eastAsia="宋体" w:hAnsi="Times New Roman" w:cs="Arial" w:hint="eastAsia"/>
          <w:sz w:val="24"/>
          <w:szCs w:val="24"/>
        </w:rPr>
        <w:t>补差费：转出基金的申购费率（或认购费率）高于转入基金的申购费率（或认购费率）时，补差费为</w:t>
      </w:r>
      <w:r w:rsidRPr="00F2191A">
        <w:rPr>
          <w:rFonts w:ascii="Times New Roman" w:eastAsia="宋体" w:hAnsi="Times New Roman" w:cs="Arial" w:hint="eastAsia"/>
          <w:sz w:val="24"/>
          <w:szCs w:val="24"/>
        </w:rPr>
        <w:t xml:space="preserve"> 0</w:t>
      </w:r>
      <w:r w:rsidRPr="00F2191A">
        <w:rPr>
          <w:rFonts w:ascii="Times New Roman" w:eastAsia="宋体" w:hAnsi="Times New Roman" w:cs="Arial" w:hint="eastAsia"/>
          <w:sz w:val="24"/>
          <w:szCs w:val="24"/>
        </w:rPr>
        <w:t>；转出基金的申购费率（或认购费率）低于转入基金的申购费率（或认购费率）时，按申购费率（或认购费率）的差额收取补差费；</w:t>
      </w:r>
    </w:p>
    <w:p w:rsidR="003B5C81" w:rsidRPr="00F2191A" w:rsidRDefault="003B5C81" w:rsidP="00F2191A">
      <w:pPr>
        <w:spacing w:line="360" w:lineRule="auto"/>
        <w:ind w:left="408" w:hanging="408"/>
        <w:rPr>
          <w:rFonts w:ascii="Times New Roman" w:hAnsi="Times New Roman" w:cs="Arial"/>
        </w:rPr>
      </w:pPr>
      <w:r w:rsidRPr="00F2191A">
        <w:rPr>
          <w:rFonts w:ascii="Times New Roman" w:eastAsia="宋体" w:hAnsi="Times New Roman" w:cs="Arial" w:hint="eastAsia"/>
          <w:sz w:val="24"/>
          <w:szCs w:val="24"/>
        </w:rPr>
        <w:t>4.</w:t>
      </w:r>
      <w:r w:rsidRPr="00F2191A">
        <w:rPr>
          <w:rFonts w:ascii="Times New Roman" w:eastAsia="宋体" w:hAnsi="Times New Roman" w:cs="Arial" w:hint="eastAsia"/>
          <w:sz w:val="24"/>
          <w:szCs w:val="24"/>
        </w:rPr>
        <w:tab/>
      </w:r>
      <w:r w:rsidRPr="00F2191A">
        <w:rPr>
          <w:rFonts w:ascii="Times New Roman" w:eastAsia="宋体" w:hAnsi="Times New Roman" w:cs="Arial" w:hint="eastAsia"/>
          <w:sz w:val="24"/>
          <w:szCs w:val="24"/>
        </w:rPr>
        <w:t>基金补差费的收取以该基金份额曾经有过的最高申（认）购费率为基础计算，</w:t>
      </w:r>
      <w:r w:rsidRPr="00F2191A">
        <w:rPr>
          <w:rFonts w:ascii="Times New Roman" w:eastAsia="宋体" w:hAnsi="Times New Roman" w:cs="Arial" w:hint="eastAsia"/>
          <w:sz w:val="24"/>
          <w:szCs w:val="24"/>
        </w:rPr>
        <w:lastRenderedPageBreak/>
        <w:t>累计不超过最高认购（申购）费率与最低认购（申购）费率的差额；</w:t>
      </w:r>
    </w:p>
    <w:p w:rsidR="003B5C81" w:rsidRPr="00F2191A" w:rsidRDefault="003B5C81" w:rsidP="00F2191A">
      <w:pPr>
        <w:spacing w:line="360" w:lineRule="auto"/>
        <w:ind w:left="408" w:hanging="408"/>
        <w:rPr>
          <w:rFonts w:ascii="Times New Roman" w:hAnsi="Times New Roman" w:cs="Arial"/>
        </w:rPr>
      </w:pPr>
      <w:r w:rsidRPr="00F2191A">
        <w:rPr>
          <w:rFonts w:ascii="Times New Roman" w:eastAsia="宋体" w:hAnsi="Times New Roman" w:cs="Arial" w:hint="eastAsia"/>
          <w:sz w:val="24"/>
          <w:szCs w:val="24"/>
        </w:rPr>
        <w:t>5.</w:t>
      </w:r>
      <w:r w:rsidRPr="00F2191A">
        <w:rPr>
          <w:rFonts w:ascii="Times New Roman" w:eastAsia="宋体" w:hAnsi="Times New Roman" w:cs="Arial" w:hint="eastAsia"/>
          <w:sz w:val="24"/>
          <w:szCs w:val="24"/>
        </w:rPr>
        <w:tab/>
      </w:r>
      <w:r w:rsidRPr="00F2191A">
        <w:rPr>
          <w:rFonts w:ascii="Times New Roman" w:eastAsia="宋体" w:hAnsi="Times New Roman" w:cs="Arial" w:hint="eastAsia"/>
          <w:sz w:val="24"/>
          <w:szCs w:val="24"/>
        </w:rPr>
        <w:t>基金转换费用由申请转换的基金份额持有人承担。转换费扣除归转出基金基金财产部分后的剩余部分及补差费，作为转出基金的市场推广、销售、注册登记等相关费用；</w:t>
      </w:r>
    </w:p>
    <w:p w:rsidR="003B5C81" w:rsidRPr="00F2191A" w:rsidRDefault="003B5C81" w:rsidP="00F2191A">
      <w:pPr>
        <w:spacing w:line="360" w:lineRule="auto"/>
        <w:ind w:left="408" w:hanging="408"/>
        <w:rPr>
          <w:rFonts w:ascii="Times New Roman" w:hAnsi="Times New Roman" w:cs="Arial"/>
        </w:rPr>
      </w:pPr>
      <w:r w:rsidRPr="00F2191A">
        <w:rPr>
          <w:rFonts w:ascii="Times New Roman" w:eastAsia="宋体" w:hAnsi="Times New Roman" w:cs="Arial" w:hint="eastAsia"/>
          <w:sz w:val="24"/>
          <w:szCs w:val="24"/>
        </w:rPr>
        <w:t>6.</w:t>
      </w:r>
      <w:r w:rsidRPr="00F2191A">
        <w:rPr>
          <w:rFonts w:ascii="Times New Roman" w:eastAsia="宋体" w:hAnsi="Times New Roman" w:cs="Arial" w:hint="eastAsia"/>
          <w:sz w:val="24"/>
          <w:szCs w:val="24"/>
        </w:rPr>
        <w:tab/>
      </w:r>
      <w:r w:rsidRPr="00F2191A">
        <w:rPr>
          <w:rFonts w:ascii="Times New Roman" w:eastAsia="宋体" w:hAnsi="Times New Roman" w:cs="Arial" w:hint="eastAsia"/>
          <w:sz w:val="24"/>
          <w:szCs w:val="24"/>
        </w:rPr>
        <w:t>基金管理人可以对养老金客户开展转换费率优惠活动，详见基金管理人发布的相关公告。</w:t>
      </w:r>
    </w:p>
    <w:p w:rsidR="003B5C81" w:rsidRPr="003B5C81" w:rsidRDefault="003B5C81" w:rsidP="003B5C81">
      <w:pPr>
        <w:pStyle w:val="ac"/>
        <w:spacing w:before="159" w:line="360" w:lineRule="auto"/>
        <w:ind w:left="0" w:firstLineChars="200" w:firstLine="472"/>
        <w:rPr>
          <w:color w:val="1A1A1A"/>
          <w:spacing w:val="-2"/>
        </w:rPr>
      </w:pPr>
      <w:r w:rsidRPr="003B5C81">
        <w:rPr>
          <w:rFonts w:hint="eastAsia"/>
          <w:color w:val="1A1A1A"/>
          <w:spacing w:val="-2"/>
        </w:rPr>
        <w:t>目前参与上述基金类别的转换业务的其他开放式基金的费率详见各相关基金最新招募说明书或公告的约定。</w:t>
      </w:r>
    </w:p>
    <w:p w:rsidR="003B5C81" w:rsidRPr="00F2191A" w:rsidRDefault="00C5245E" w:rsidP="00AB3BA5">
      <w:pPr>
        <w:pStyle w:val="ae"/>
        <w:widowControl/>
        <w:shd w:val="clear" w:color="auto" w:fill="FFFFFF"/>
        <w:wordWrap w:val="0"/>
        <w:spacing w:beforeLines="50" w:afterLines="50" w:line="360" w:lineRule="auto"/>
        <w:ind w:left="510" w:firstLineChars="0" w:hanging="510"/>
        <w:outlineLvl w:val="0"/>
        <w:rPr>
          <w:b/>
          <w:color w:val="1A1A1A"/>
          <w:kern w:val="36"/>
        </w:rPr>
        <w:pPrChange w:id="3" w:author="ZHONGM" w:date="2026-02-03T00:01:00Z">
          <w:pPr>
            <w:pStyle w:val="ae"/>
            <w:widowControl/>
            <w:shd w:val="clear" w:color="auto" w:fill="FFFFFF"/>
            <w:wordWrap w:val="0"/>
            <w:spacing w:beforeLines="50" w:afterLines="50" w:line="360" w:lineRule="auto"/>
            <w:ind w:left="510" w:firstLineChars="0" w:hanging="510"/>
            <w:outlineLvl w:val="0"/>
          </w:pPr>
        </w:pPrChange>
      </w:pPr>
      <w:r>
        <w:rPr>
          <w:rFonts w:cs="宋体" w:hint="eastAsia"/>
          <w:b/>
          <w:color w:val="1A1A1A"/>
          <w:kern w:val="36"/>
          <w:sz w:val="24"/>
        </w:rPr>
        <w:t>五</w:t>
      </w:r>
      <w:r w:rsidR="003B5C81" w:rsidRPr="00F2191A">
        <w:rPr>
          <w:rFonts w:cs="宋体" w:hint="eastAsia"/>
          <w:b/>
          <w:color w:val="1A1A1A"/>
          <w:kern w:val="36"/>
          <w:sz w:val="24"/>
        </w:rPr>
        <w:t>、基金转换费用及份额的计算公式</w:t>
      </w:r>
    </w:p>
    <w:p w:rsidR="003B5C81" w:rsidRPr="003B5C81" w:rsidRDefault="003B5C81" w:rsidP="003B5C81">
      <w:pPr>
        <w:pStyle w:val="ac"/>
        <w:spacing w:before="159" w:line="360" w:lineRule="auto"/>
        <w:ind w:left="0" w:firstLineChars="200" w:firstLine="472"/>
        <w:rPr>
          <w:color w:val="1A1A1A"/>
          <w:spacing w:val="-2"/>
        </w:rPr>
      </w:pPr>
      <w:r w:rsidRPr="003B5C81">
        <w:rPr>
          <w:rFonts w:hint="eastAsia"/>
          <w:color w:val="1A1A1A"/>
          <w:spacing w:val="-2"/>
        </w:rPr>
        <w:t>转换金额＝转出份额×转出基金当日基金份额净值转换费＝转换金额×转换费率</w:t>
      </w:r>
    </w:p>
    <w:p w:rsidR="003B5C81" w:rsidRPr="003B5C81" w:rsidRDefault="003B5C81" w:rsidP="003B5C81">
      <w:pPr>
        <w:pStyle w:val="ac"/>
        <w:spacing w:before="159" w:line="360" w:lineRule="auto"/>
        <w:ind w:left="0" w:firstLineChars="200" w:firstLine="472"/>
        <w:rPr>
          <w:color w:val="1A1A1A"/>
          <w:spacing w:val="-2"/>
        </w:rPr>
      </w:pPr>
      <w:r w:rsidRPr="003B5C81">
        <w:rPr>
          <w:rFonts w:hint="eastAsia"/>
          <w:color w:val="1A1A1A"/>
          <w:spacing w:val="-2"/>
        </w:rPr>
        <w:t>补差费＝[（转换金额－转换费）/（1＋补差费率）]×补差费率</w:t>
      </w:r>
    </w:p>
    <w:p w:rsidR="003B5C81" w:rsidRPr="003B5C81" w:rsidRDefault="003B5C81" w:rsidP="003B5C81">
      <w:pPr>
        <w:pStyle w:val="ac"/>
        <w:spacing w:before="159" w:line="360" w:lineRule="auto"/>
        <w:ind w:left="0" w:firstLineChars="200" w:firstLine="472"/>
        <w:rPr>
          <w:color w:val="1A1A1A"/>
          <w:spacing w:val="-2"/>
        </w:rPr>
      </w:pPr>
      <w:r w:rsidRPr="003B5C81">
        <w:rPr>
          <w:rFonts w:hint="eastAsia"/>
          <w:color w:val="1A1A1A"/>
          <w:spacing w:val="-2"/>
        </w:rPr>
        <w:t>转入份额＝（转换金额－转换费－补差费）/转入基金当日基金份额净值 注：转换金额及转入份额的计算结果四舍五入至小数点后 2 位，具体结果以注册登记机构登记的数值为准。</w:t>
      </w:r>
    </w:p>
    <w:p w:rsidR="003B5C81" w:rsidRPr="00F2191A" w:rsidRDefault="00C5245E" w:rsidP="00AB3BA5">
      <w:pPr>
        <w:pStyle w:val="ae"/>
        <w:widowControl/>
        <w:shd w:val="clear" w:color="auto" w:fill="FFFFFF"/>
        <w:wordWrap w:val="0"/>
        <w:spacing w:beforeLines="50" w:afterLines="50" w:line="360" w:lineRule="auto"/>
        <w:ind w:left="510" w:firstLineChars="0" w:hanging="510"/>
        <w:outlineLvl w:val="0"/>
        <w:rPr>
          <w:b/>
          <w:color w:val="1A1A1A"/>
          <w:kern w:val="36"/>
        </w:rPr>
        <w:pPrChange w:id="4" w:author="ZHONGM" w:date="2026-02-03T00:01:00Z">
          <w:pPr>
            <w:pStyle w:val="ae"/>
            <w:widowControl/>
            <w:shd w:val="clear" w:color="auto" w:fill="FFFFFF"/>
            <w:wordWrap w:val="0"/>
            <w:spacing w:beforeLines="50" w:afterLines="50" w:line="360" w:lineRule="auto"/>
            <w:ind w:left="510" w:firstLineChars="0" w:hanging="510"/>
            <w:outlineLvl w:val="0"/>
          </w:pPr>
        </w:pPrChange>
      </w:pPr>
      <w:r>
        <w:rPr>
          <w:rFonts w:cs="宋体" w:hint="eastAsia"/>
          <w:b/>
          <w:color w:val="1A1A1A"/>
          <w:kern w:val="36"/>
          <w:sz w:val="24"/>
        </w:rPr>
        <w:t>六</w:t>
      </w:r>
      <w:r w:rsidR="003B5C81" w:rsidRPr="00F2191A">
        <w:rPr>
          <w:rFonts w:cs="宋体" w:hint="eastAsia"/>
          <w:b/>
          <w:color w:val="1A1A1A"/>
          <w:kern w:val="36"/>
          <w:sz w:val="24"/>
        </w:rPr>
        <w:t>、基金转换的规则</w:t>
      </w:r>
    </w:p>
    <w:p w:rsidR="003B5C81" w:rsidRPr="00F2191A" w:rsidRDefault="003B5C81" w:rsidP="00F2191A">
      <w:pPr>
        <w:numPr>
          <w:ilvl w:val="0"/>
          <w:numId w:val="3"/>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基金转换是指基金份额持有人按照基金合同和本公司届时有效公告规定的条件，申请将其持有基金管理人管理的、某一基金的部分或全部基金份额转换为同一基金管理人管理的其他基金基金份额的行为；</w:t>
      </w:r>
    </w:p>
    <w:p w:rsidR="003B5C81" w:rsidRPr="00F2191A" w:rsidRDefault="003B5C81" w:rsidP="00F2191A">
      <w:pPr>
        <w:numPr>
          <w:ilvl w:val="0"/>
          <w:numId w:val="3"/>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基金转换涉及的转出基金与转入基金仅为本公司管理且在同一注册登记机构处登记的基金。基金转换申请仅适用于同一基金账户于同一销售机构发起，该销售机构须同时开通申请转出和转入的基金的销售；</w:t>
      </w:r>
    </w:p>
    <w:p w:rsidR="003B5C81" w:rsidRPr="00F2191A" w:rsidRDefault="003B5C81" w:rsidP="00F2191A">
      <w:pPr>
        <w:numPr>
          <w:ilvl w:val="0"/>
          <w:numId w:val="3"/>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“未知价”原则，即基金转换价格以受理申请当日收市后计算的转出及转入基金的基金份额净值为基准进行计算；</w:t>
      </w:r>
    </w:p>
    <w:p w:rsidR="003B5C81" w:rsidRPr="00F2191A" w:rsidRDefault="003B5C81" w:rsidP="00F2191A">
      <w:pPr>
        <w:numPr>
          <w:ilvl w:val="0"/>
          <w:numId w:val="3"/>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采用份额转换的方式，即基金转换以份额申请；</w:t>
      </w:r>
    </w:p>
    <w:p w:rsidR="003B5C81" w:rsidRPr="00F2191A" w:rsidRDefault="003B5C81" w:rsidP="00F2191A">
      <w:pPr>
        <w:numPr>
          <w:ilvl w:val="0"/>
          <w:numId w:val="3"/>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基金转换无基金份额持有时间限制；</w:t>
      </w:r>
    </w:p>
    <w:p w:rsidR="003B5C81" w:rsidRPr="00F2191A" w:rsidRDefault="003B5C81" w:rsidP="00F2191A">
      <w:pPr>
        <w:numPr>
          <w:ilvl w:val="0"/>
          <w:numId w:val="3"/>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基金转换转出的基金在申请日有权益，确认日开始无权益；基金转换转入</w:t>
      </w:r>
      <w:r w:rsidRPr="00F2191A">
        <w:rPr>
          <w:rFonts w:ascii="Times New Roman" w:eastAsia="宋体" w:hAnsi="Times New Roman" w:cs="Arial" w:hint="eastAsia"/>
          <w:sz w:val="24"/>
          <w:szCs w:val="24"/>
        </w:rPr>
        <w:lastRenderedPageBreak/>
        <w:t>的基金在申请日无权益，确认日开始记权益；</w:t>
      </w:r>
    </w:p>
    <w:p w:rsidR="003B5C81" w:rsidRPr="00F2191A" w:rsidRDefault="003B5C81" w:rsidP="00F2191A">
      <w:pPr>
        <w:numPr>
          <w:ilvl w:val="0"/>
          <w:numId w:val="3"/>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转入的基金份额的持有时间自转入的基金份额被确认之日起重新开始计算；</w:t>
      </w:r>
    </w:p>
    <w:p w:rsidR="003B5C81" w:rsidRPr="00F2191A" w:rsidRDefault="003B5C81" w:rsidP="00F2191A">
      <w:pPr>
        <w:numPr>
          <w:ilvl w:val="0"/>
          <w:numId w:val="3"/>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在发生基金转换时，转出基金必须为允许赎回状态，转入基金必须为允许申购状态；</w:t>
      </w:r>
    </w:p>
    <w:p w:rsidR="003B5C81" w:rsidRPr="00F2191A" w:rsidRDefault="003B5C81" w:rsidP="00F2191A">
      <w:pPr>
        <w:numPr>
          <w:ilvl w:val="0"/>
          <w:numId w:val="3"/>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在发生限制申购或巨额赎回的情况下，所涉及到的基金转换按比例确认。如果发生连续巨额赎回，基金转换不顺延；</w:t>
      </w:r>
    </w:p>
    <w:p w:rsidR="003B5C81" w:rsidRPr="00F2191A" w:rsidRDefault="003B5C81" w:rsidP="00F2191A">
      <w:pPr>
        <w:numPr>
          <w:ilvl w:val="0"/>
          <w:numId w:val="3"/>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由于费率结构差异较大，因此，上述基金类别的转换只允许在缴纳前端认购（申购）费用的基金份额之间进行。不能将上述基金类别的基金份额转换为缴纳后端认购（申购）费用的基金份额，或将缴纳后端认购（申购）费用的基金份额转换为上述基金类别的基金份额；</w:t>
      </w:r>
    </w:p>
    <w:p w:rsidR="003B5C81" w:rsidRPr="00F2191A" w:rsidRDefault="003B5C81" w:rsidP="00F2191A">
      <w:pPr>
        <w:numPr>
          <w:ilvl w:val="0"/>
          <w:numId w:val="3"/>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转换业务遵循</w:t>
      </w:r>
      <w:r w:rsidR="00B3792B">
        <w:rPr>
          <w:rFonts w:ascii="Times New Roman" w:eastAsia="宋体" w:hAnsi="Times New Roman" w:cs="Arial" w:hint="eastAsia"/>
          <w:sz w:val="24"/>
          <w:szCs w:val="24"/>
        </w:rPr>
        <w:t>“</w:t>
      </w:r>
      <w:r w:rsidRPr="00F2191A">
        <w:rPr>
          <w:rFonts w:ascii="Times New Roman" w:eastAsia="宋体" w:hAnsi="Times New Roman" w:cs="Arial" w:hint="eastAsia"/>
          <w:sz w:val="24"/>
          <w:szCs w:val="24"/>
        </w:rPr>
        <w:t>先进先出</w:t>
      </w:r>
      <w:r w:rsidR="00B3792B">
        <w:rPr>
          <w:rFonts w:ascii="Times New Roman" w:eastAsia="宋体" w:hAnsi="Times New Roman" w:cs="Arial" w:hint="eastAsia"/>
          <w:sz w:val="24"/>
          <w:szCs w:val="24"/>
        </w:rPr>
        <w:t>”</w:t>
      </w:r>
      <w:r w:rsidRPr="00F2191A">
        <w:rPr>
          <w:rFonts w:ascii="Times New Roman" w:eastAsia="宋体" w:hAnsi="Times New Roman" w:cs="Arial" w:hint="eastAsia"/>
          <w:sz w:val="24"/>
          <w:szCs w:val="24"/>
        </w:rPr>
        <w:t>的业务规则，即份额注册日期在前的优先转出，份额注册日期在后的后转换出；</w:t>
      </w:r>
    </w:p>
    <w:p w:rsidR="003B5C81" w:rsidRPr="00F2191A" w:rsidRDefault="003B5C81" w:rsidP="00F2191A">
      <w:pPr>
        <w:numPr>
          <w:ilvl w:val="0"/>
          <w:numId w:val="3"/>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基金管理人可在法律法规允许的情况下，对上述原则进行调整。基金管理人必须在新规则开始实施前依照《公开募集证券投资基金信息披露管理办法》的有关规定在规定媒介上公告。</w:t>
      </w:r>
    </w:p>
    <w:p w:rsidR="003B5C81" w:rsidRPr="00F2191A" w:rsidRDefault="00C5245E" w:rsidP="00AB3BA5">
      <w:pPr>
        <w:pStyle w:val="ae"/>
        <w:widowControl/>
        <w:shd w:val="clear" w:color="auto" w:fill="FFFFFF"/>
        <w:wordWrap w:val="0"/>
        <w:spacing w:beforeLines="50" w:afterLines="50" w:line="360" w:lineRule="auto"/>
        <w:ind w:left="510" w:firstLineChars="0" w:hanging="510"/>
        <w:outlineLvl w:val="0"/>
        <w:rPr>
          <w:b/>
          <w:color w:val="1A1A1A"/>
          <w:kern w:val="36"/>
        </w:rPr>
        <w:pPrChange w:id="5" w:author="ZHONGM" w:date="2026-02-03T00:01:00Z">
          <w:pPr>
            <w:pStyle w:val="ae"/>
            <w:widowControl/>
            <w:shd w:val="clear" w:color="auto" w:fill="FFFFFF"/>
            <w:wordWrap w:val="0"/>
            <w:spacing w:beforeLines="50" w:afterLines="50" w:line="360" w:lineRule="auto"/>
            <w:ind w:left="510" w:firstLineChars="0" w:hanging="510"/>
            <w:outlineLvl w:val="0"/>
          </w:pPr>
        </w:pPrChange>
      </w:pPr>
      <w:r>
        <w:rPr>
          <w:rFonts w:cs="宋体" w:hint="eastAsia"/>
          <w:b/>
          <w:color w:val="1A1A1A"/>
          <w:kern w:val="36"/>
          <w:sz w:val="24"/>
        </w:rPr>
        <w:t>七</w:t>
      </w:r>
      <w:r w:rsidR="003B5C81" w:rsidRPr="00F2191A">
        <w:rPr>
          <w:rFonts w:cs="宋体" w:hint="eastAsia"/>
          <w:b/>
          <w:color w:val="1A1A1A"/>
          <w:kern w:val="36"/>
          <w:sz w:val="24"/>
        </w:rPr>
        <w:t>、其他需要提示的事项</w:t>
      </w:r>
    </w:p>
    <w:p w:rsidR="003B5C81" w:rsidRPr="00F2191A" w:rsidRDefault="003B5C81" w:rsidP="00F2191A">
      <w:pPr>
        <w:numPr>
          <w:ilvl w:val="0"/>
          <w:numId w:val="5"/>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本公告仅对上述特定基金的转换有关事项予以说明。投资者欲了解各基金的详细情况，请仔细阅读各基金《基金合同》和《招募说明书》等法律文件。</w:t>
      </w:r>
    </w:p>
    <w:p w:rsidR="003B5C81" w:rsidRPr="00F2191A" w:rsidRDefault="003B5C81" w:rsidP="00F2191A">
      <w:pPr>
        <w:numPr>
          <w:ilvl w:val="0"/>
          <w:numId w:val="5"/>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本公司可以在法律法规和基金合同规定范围内调整转换费率。费率如发生变更，基金管理人应在调整实施前依照《公开募集证券投资基金信息披露管理办法》的有关规定在规定媒介上公告。基金管理人可以在不违背法律法规规定及《基金合同》约定的情形下根据市场情况制定基金促销计划，针对特定地域范围、特定行业、特定职业的投资者以及以特定交易方式（如网上交易、电话交易等）等进行基金交易的投资者定期或不定期地开展基金促销活动。在基金促销活动期间，基金管理人可以适当调低基金转换费率。</w:t>
      </w:r>
    </w:p>
    <w:p w:rsidR="003B5C81" w:rsidRPr="00F2191A" w:rsidRDefault="003B5C81" w:rsidP="00F2191A">
      <w:pPr>
        <w:numPr>
          <w:ilvl w:val="0"/>
          <w:numId w:val="5"/>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咨询方式：投资者可以通过拨打融通基金管理有限公司客户服务热线</w:t>
      </w:r>
      <w:r w:rsidRPr="00F2191A">
        <w:rPr>
          <w:rFonts w:ascii="Times New Roman" w:eastAsia="宋体" w:hAnsi="Times New Roman" w:cs="Arial" w:hint="eastAsia"/>
          <w:sz w:val="24"/>
          <w:szCs w:val="24"/>
        </w:rPr>
        <w:t>400-883-8088</w:t>
      </w:r>
      <w:r w:rsidRPr="00F2191A">
        <w:rPr>
          <w:rFonts w:ascii="Times New Roman" w:eastAsia="宋体" w:hAnsi="Times New Roman" w:cs="Arial" w:hint="eastAsia"/>
          <w:sz w:val="24"/>
          <w:szCs w:val="24"/>
        </w:rPr>
        <w:t>（免长途电话费）、</w:t>
      </w:r>
      <w:r w:rsidRPr="00F2191A">
        <w:rPr>
          <w:rFonts w:ascii="Times New Roman" w:eastAsia="宋体" w:hAnsi="Times New Roman" w:cs="Arial" w:hint="eastAsia"/>
          <w:sz w:val="24"/>
          <w:szCs w:val="24"/>
        </w:rPr>
        <w:t>0755-26948088</w:t>
      </w:r>
      <w:r w:rsidRPr="00F2191A">
        <w:rPr>
          <w:rFonts w:ascii="Times New Roman" w:eastAsia="宋体" w:hAnsi="Times New Roman" w:cs="Arial" w:hint="eastAsia"/>
          <w:sz w:val="24"/>
          <w:szCs w:val="24"/>
        </w:rPr>
        <w:t>，或登陆本公司网站</w:t>
      </w:r>
      <w:r w:rsidRPr="00F2191A">
        <w:rPr>
          <w:rFonts w:ascii="Times New Roman" w:eastAsia="宋体" w:hAnsi="Times New Roman" w:cs="Arial" w:hint="eastAsia"/>
          <w:sz w:val="24"/>
          <w:szCs w:val="24"/>
        </w:rPr>
        <w:t xml:space="preserve"> </w:t>
      </w:r>
      <w:hyperlink r:id="rId7">
        <w:r w:rsidRPr="00F2191A">
          <w:rPr>
            <w:rFonts w:ascii="Times New Roman" w:eastAsia="宋体" w:hAnsi="Times New Roman" w:cs="Arial" w:hint="eastAsia"/>
            <w:sz w:val="24"/>
            <w:szCs w:val="24"/>
          </w:rPr>
          <w:t>www.rtfund.com</w:t>
        </w:r>
      </w:hyperlink>
      <w:r w:rsidRPr="00F2191A">
        <w:rPr>
          <w:rFonts w:ascii="Times New Roman" w:eastAsia="宋体" w:hAnsi="Times New Roman" w:cs="Arial" w:hint="eastAsia"/>
          <w:sz w:val="24"/>
          <w:szCs w:val="24"/>
        </w:rPr>
        <w:t xml:space="preserve"> </w:t>
      </w:r>
      <w:r w:rsidRPr="00F2191A">
        <w:rPr>
          <w:rFonts w:ascii="Times New Roman" w:eastAsia="宋体" w:hAnsi="Times New Roman" w:cs="Arial" w:hint="eastAsia"/>
          <w:sz w:val="24"/>
          <w:szCs w:val="24"/>
        </w:rPr>
        <w:t>了解相关情况。</w:t>
      </w:r>
    </w:p>
    <w:p w:rsidR="003B5C81" w:rsidRPr="00F2191A" w:rsidRDefault="003B5C81" w:rsidP="00F2191A">
      <w:pPr>
        <w:numPr>
          <w:ilvl w:val="0"/>
          <w:numId w:val="5"/>
        </w:numPr>
        <w:spacing w:line="360" w:lineRule="auto"/>
        <w:ind w:leftChars="50" w:left="513" w:hanging="408"/>
        <w:rPr>
          <w:rFonts w:ascii="Times New Roman" w:hAnsi="Times New Roman" w:cs="Arial"/>
        </w:rPr>
      </w:pPr>
      <w:r w:rsidRPr="00F2191A">
        <w:rPr>
          <w:rFonts w:ascii="Times New Roman" w:eastAsia="宋体" w:hAnsi="Times New Roman" w:cs="Arial" w:hint="eastAsia"/>
          <w:sz w:val="24"/>
          <w:szCs w:val="24"/>
        </w:rPr>
        <w:t>风险提示：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p w:rsidR="003B5C81" w:rsidRPr="003B5C81" w:rsidRDefault="003B5C81" w:rsidP="00AB3BA5">
      <w:pPr>
        <w:spacing w:beforeLines="100" w:afterLines="200" w:line="360" w:lineRule="auto"/>
        <w:ind w:firstLineChars="200" w:firstLine="480"/>
        <w:pPrChange w:id="6" w:author="ZHONGM" w:date="2026-02-03T00:01:00Z">
          <w:pPr>
            <w:spacing w:beforeLines="100" w:afterLines="200" w:line="360" w:lineRule="auto"/>
            <w:ind w:firstLineChars="200" w:firstLine="480"/>
          </w:pPr>
        </w:pPrChange>
      </w:pPr>
      <w:r w:rsidRPr="00F2191A">
        <w:rPr>
          <w:rFonts w:ascii="Times New Roman" w:eastAsia="宋体" w:hAnsi="Times New Roman" w:cs="Times New Roman" w:hint="eastAsia"/>
          <w:sz w:val="24"/>
          <w:szCs w:val="21"/>
        </w:rPr>
        <w:t>特此公告。</w:t>
      </w:r>
    </w:p>
    <w:p w:rsidR="00B3792B" w:rsidRPr="00F2191A" w:rsidRDefault="003B5C81" w:rsidP="00F2191A">
      <w:pPr>
        <w:snapToGrid w:val="0"/>
        <w:spacing w:line="360" w:lineRule="auto"/>
        <w:jc w:val="right"/>
        <w:rPr>
          <w:rFonts w:ascii="Times New Roman" w:hAnsi="Times New Roman" w:cs="Arial"/>
        </w:rPr>
      </w:pPr>
      <w:r w:rsidRPr="00F2191A">
        <w:rPr>
          <w:rFonts w:ascii="Times New Roman" w:eastAsia="宋体" w:hAnsi="Times New Roman" w:cs="Arial" w:hint="eastAsia"/>
          <w:sz w:val="24"/>
          <w:szCs w:val="24"/>
        </w:rPr>
        <w:t>融通基金管理有限公司</w:t>
      </w:r>
    </w:p>
    <w:p w:rsidR="003B5C81" w:rsidRPr="00F2191A" w:rsidRDefault="003B5C81" w:rsidP="00F2191A">
      <w:pPr>
        <w:snapToGrid w:val="0"/>
        <w:spacing w:line="360" w:lineRule="auto"/>
        <w:jc w:val="right"/>
        <w:rPr>
          <w:rFonts w:ascii="Times New Roman" w:hAnsi="Times New Roman" w:cs="Arial"/>
        </w:rPr>
      </w:pPr>
      <w:r w:rsidRPr="00F2191A">
        <w:rPr>
          <w:rFonts w:ascii="Times New Roman" w:eastAsia="宋体" w:hAnsi="Times New Roman" w:cs="Arial" w:hint="eastAsia"/>
          <w:sz w:val="24"/>
          <w:szCs w:val="24"/>
        </w:rPr>
        <w:t>2026</w:t>
      </w:r>
      <w:r w:rsidRPr="00F2191A">
        <w:rPr>
          <w:rFonts w:ascii="Times New Roman" w:eastAsia="宋体" w:hAnsi="Times New Roman" w:cs="Arial" w:hint="eastAsia"/>
          <w:sz w:val="24"/>
          <w:szCs w:val="24"/>
        </w:rPr>
        <w:t>年</w:t>
      </w:r>
      <w:r w:rsidR="001F2DB9">
        <w:rPr>
          <w:rFonts w:ascii="Times New Roman" w:eastAsia="宋体" w:hAnsi="Times New Roman" w:cs="Arial" w:hint="eastAsia"/>
          <w:sz w:val="24"/>
          <w:szCs w:val="24"/>
        </w:rPr>
        <w:t>2</w:t>
      </w:r>
      <w:r w:rsidRPr="00F2191A">
        <w:rPr>
          <w:rFonts w:ascii="Times New Roman" w:eastAsia="宋体" w:hAnsi="Times New Roman" w:cs="Arial" w:hint="eastAsia"/>
          <w:sz w:val="24"/>
          <w:szCs w:val="24"/>
        </w:rPr>
        <w:t>月</w:t>
      </w:r>
      <w:r w:rsidR="001F2DB9">
        <w:rPr>
          <w:rFonts w:ascii="Times New Roman" w:eastAsia="宋体" w:hAnsi="Times New Roman" w:cs="Arial" w:hint="eastAsia"/>
          <w:sz w:val="24"/>
          <w:szCs w:val="24"/>
        </w:rPr>
        <w:t>3</w:t>
      </w:r>
      <w:r w:rsidRPr="00F2191A">
        <w:rPr>
          <w:rFonts w:ascii="Times New Roman" w:eastAsia="宋体" w:hAnsi="Times New Roman" w:cs="Arial" w:hint="eastAsia"/>
          <w:sz w:val="24"/>
          <w:szCs w:val="24"/>
        </w:rPr>
        <w:t>日</w:t>
      </w:r>
    </w:p>
    <w:sectPr w:rsidR="003B5C81" w:rsidRPr="00F2191A" w:rsidSect="00224BE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A93" w:rsidRDefault="00581A93" w:rsidP="003B5C81">
      <w:r>
        <w:separator/>
      </w:r>
    </w:p>
  </w:endnote>
  <w:endnote w:type="continuationSeparator" w:id="0">
    <w:p w:rsidR="00581A93" w:rsidRDefault="00581A93" w:rsidP="003B5C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450551"/>
      <w:docPartObj>
        <w:docPartGallery w:val="Page Numbers (Bottom of Page)"/>
        <w:docPartUnique/>
      </w:docPartObj>
    </w:sdtPr>
    <w:sdtEndPr>
      <w:rPr>
        <w:rFonts w:ascii="Times New Roman" w:hAnsi="Times New Roman" w:cs="Times New Roman"/>
      </w:rPr>
    </w:sdtEndPr>
    <w:sdtContent>
      <w:p w:rsidR="00B3792B" w:rsidRPr="00F2191A" w:rsidRDefault="00224BEC">
        <w:pPr>
          <w:pStyle w:val="ab"/>
          <w:jc w:val="center"/>
          <w:rPr>
            <w:rFonts w:ascii="Times New Roman" w:hAnsi="Times New Roman" w:cs="Times New Roman"/>
          </w:rPr>
        </w:pPr>
        <w:r w:rsidRPr="00F2191A">
          <w:rPr>
            <w:rFonts w:ascii="Times New Roman" w:hAnsi="Times New Roman" w:cs="Times New Roman"/>
          </w:rPr>
          <w:fldChar w:fldCharType="begin"/>
        </w:r>
        <w:r w:rsidR="00B3792B" w:rsidRPr="00F2191A">
          <w:rPr>
            <w:rFonts w:ascii="Times New Roman" w:hAnsi="Times New Roman" w:cs="Times New Roman" w:hint="eastAsia"/>
          </w:rPr>
          <w:instrText>PAGE   \* MERGEFORMAT</w:instrText>
        </w:r>
        <w:r w:rsidRPr="00F2191A">
          <w:rPr>
            <w:rFonts w:ascii="Times New Roman" w:hAnsi="Times New Roman" w:cs="Times New Roman"/>
          </w:rPr>
          <w:fldChar w:fldCharType="separate"/>
        </w:r>
        <w:r w:rsidR="00AB3BA5" w:rsidRPr="00AB3BA5">
          <w:rPr>
            <w:rFonts w:ascii="Times New Roman" w:hAnsi="Times New Roman" w:cs="Times New Roman"/>
            <w:noProof/>
            <w:lang w:val="zh-CN"/>
          </w:rPr>
          <w:t>1</w:t>
        </w:r>
        <w:r w:rsidRPr="00F2191A">
          <w:rPr>
            <w:rFonts w:ascii="Times New Roman" w:hAnsi="Times New Roman" w:cs="Times New Roman"/>
          </w:rPr>
          <w:fldChar w:fldCharType="end"/>
        </w:r>
      </w:p>
    </w:sdtContent>
  </w:sdt>
  <w:p w:rsidR="00B3792B" w:rsidRDefault="00B3792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A93" w:rsidRDefault="00581A93" w:rsidP="003B5C81">
      <w:r>
        <w:separator/>
      </w:r>
    </w:p>
  </w:footnote>
  <w:footnote w:type="continuationSeparator" w:id="0">
    <w:p w:rsidR="00581A93" w:rsidRDefault="00581A93" w:rsidP="003B5C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3350F"/>
    <w:multiLevelType w:val="hybridMultilevel"/>
    <w:tmpl w:val="8CAC1E34"/>
    <w:lvl w:ilvl="0" w:tplc="1968EB32">
      <w:start w:val="1"/>
      <w:numFmt w:val="decimal"/>
      <w:lvlText w:val="%1."/>
      <w:lvlJc w:val="left"/>
      <w:pPr>
        <w:ind w:left="782" w:hanging="579"/>
      </w:pPr>
      <w:rPr>
        <w:rFonts w:ascii="Times New Roman" w:eastAsia="Times New Roman" w:hAnsi="Times New Roman" w:cs="Times New Roman" w:hint="default"/>
        <w:b w:val="0"/>
        <w:bCs w:val="0"/>
        <w:i w:val="0"/>
        <w:iCs w:val="0"/>
        <w:spacing w:val="-1"/>
        <w:w w:val="100"/>
        <w:sz w:val="24"/>
        <w:szCs w:val="24"/>
        <w:lang w:val="en-US" w:eastAsia="zh-CN" w:bidi="ar-SA"/>
      </w:rPr>
    </w:lvl>
    <w:lvl w:ilvl="1" w:tplc="6C1AA824">
      <w:numFmt w:val="bullet"/>
      <w:lvlText w:val="•"/>
      <w:lvlJc w:val="left"/>
      <w:pPr>
        <w:ind w:left="1552" w:hanging="579"/>
      </w:pPr>
      <w:rPr>
        <w:rFonts w:hint="default"/>
        <w:lang w:val="en-US" w:eastAsia="zh-CN" w:bidi="ar-SA"/>
      </w:rPr>
    </w:lvl>
    <w:lvl w:ilvl="2" w:tplc="E6D88064">
      <w:numFmt w:val="bullet"/>
      <w:lvlText w:val="•"/>
      <w:lvlJc w:val="left"/>
      <w:pPr>
        <w:ind w:left="2325" w:hanging="579"/>
      </w:pPr>
      <w:rPr>
        <w:rFonts w:hint="default"/>
        <w:lang w:val="en-US" w:eastAsia="zh-CN" w:bidi="ar-SA"/>
      </w:rPr>
    </w:lvl>
    <w:lvl w:ilvl="3" w:tplc="EE68915E">
      <w:numFmt w:val="bullet"/>
      <w:lvlText w:val="•"/>
      <w:lvlJc w:val="left"/>
      <w:pPr>
        <w:ind w:left="3097" w:hanging="579"/>
      </w:pPr>
      <w:rPr>
        <w:rFonts w:hint="default"/>
        <w:lang w:val="en-US" w:eastAsia="zh-CN" w:bidi="ar-SA"/>
      </w:rPr>
    </w:lvl>
    <w:lvl w:ilvl="4" w:tplc="4E4E79AA">
      <w:numFmt w:val="bullet"/>
      <w:lvlText w:val="•"/>
      <w:lvlJc w:val="left"/>
      <w:pPr>
        <w:ind w:left="3870" w:hanging="579"/>
      </w:pPr>
      <w:rPr>
        <w:rFonts w:hint="default"/>
        <w:lang w:val="en-US" w:eastAsia="zh-CN" w:bidi="ar-SA"/>
      </w:rPr>
    </w:lvl>
    <w:lvl w:ilvl="5" w:tplc="E41A712E">
      <w:numFmt w:val="bullet"/>
      <w:lvlText w:val="•"/>
      <w:lvlJc w:val="left"/>
      <w:pPr>
        <w:ind w:left="4643" w:hanging="579"/>
      </w:pPr>
      <w:rPr>
        <w:rFonts w:hint="default"/>
        <w:lang w:val="en-US" w:eastAsia="zh-CN" w:bidi="ar-SA"/>
      </w:rPr>
    </w:lvl>
    <w:lvl w:ilvl="6" w:tplc="75A4AE28">
      <w:numFmt w:val="bullet"/>
      <w:lvlText w:val="•"/>
      <w:lvlJc w:val="left"/>
      <w:pPr>
        <w:ind w:left="5415" w:hanging="579"/>
      </w:pPr>
      <w:rPr>
        <w:rFonts w:hint="default"/>
        <w:lang w:val="en-US" w:eastAsia="zh-CN" w:bidi="ar-SA"/>
      </w:rPr>
    </w:lvl>
    <w:lvl w:ilvl="7" w:tplc="B816C544">
      <w:numFmt w:val="bullet"/>
      <w:lvlText w:val="•"/>
      <w:lvlJc w:val="left"/>
      <w:pPr>
        <w:ind w:left="6188" w:hanging="579"/>
      </w:pPr>
      <w:rPr>
        <w:rFonts w:hint="default"/>
        <w:lang w:val="en-US" w:eastAsia="zh-CN" w:bidi="ar-SA"/>
      </w:rPr>
    </w:lvl>
    <w:lvl w:ilvl="8" w:tplc="65D65D40">
      <w:numFmt w:val="bullet"/>
      <w:lvlText w:val="•"/>
      <w:lvlJc w:val="left"/>
      <w:pPr>
        <w:ind w:left="6961" w:hanging="579"/>
      </w:pPr>
      <w:rPr>
        <w:rFonts w:hint="default"/>
        <w:lang w:val="en-US" w:eastAsia="zh-CN" w:bidi="ar-SA"/>
      </w:rPr>
    </w:lvl>
  </w:abstractNum>
  <w:abstractNum w:abstractNumId="1">
    <w:nsid w:val="47DF7D06"/>
    <w:multiLevelType w:val="hybridMultilevel"/>
    <w:tmpl w:val="68A02422"/>
    <w:lvl w:ilvl="0" w:tplc="FFFFFFFF">
      <w:start w:val="1"/>
      <w:numFmt w:val="decimal"/>
      <w:lvlText w:val="%1."/>
      <w:lvlJc w:val="left"/>
      <w:pPr>
        <w:ind w:left="782" w:hanging="579"/>
      </w:pPr>
      <w:rPr>
        <w:rFonts w:ascii="Times New Roman" w:eastAsia="Times New Roman" w:hAnsi="Times New Roman" w:cs="Times New Roman" w:hint="default"/>
        <w:b w:val="0"/>
        <w:bCs w:val="0"/>
        <w:i w:val="0"/>
        <w:iCs w:val="0"/>
        <w:spacing w:val="-1"/>
        <w:w w:val="100"/>
        <w:sz w:val="24"/>
        <w:szCs w:val="24"/>
        <w:lang w:val="en-US" w:eastAsia="zh-CN" w:bidi="ar-SA"/>
      </w:rPr>
    </w:lvl>
    <w:lvl w:ilvl="1" w:tplc="FFFFFFFF">
      <w:numFmt w:val="bullet"/>
      <w:lvlText w:val="•"/>
      <w:lvlJc w:val="left"/>
      <w:pPr>
        <w:ind w:left="1552" w:hanging="579"/>
      </w:pPr>
      <w:rPr>
        <w:rFonts w:hint="default"/>
        <w:lang w:val="en-US" w:eastAsia="zh-CN" w:bidi="ar-SA"/>
      </w:rPr>
    </w:lvl>
    <w:lvl w:ilvl="2" w:tplc="FFFFFFFF">
      <w:numFmt w:val="bullet"/>
      <w:lvlText w:val="•"/>
      <w:lvlJc w:val="left"/>
      <w:pPr>
        <w:ind w:left="2325" w:hanging="579"/>
      </w:pPr>
      <w:rPr>
        <w:rFonts w:hint="default"/>
        <w:lang w:val="en-US" w:eastAsia="zh-CN" w:bidi="ar-SA"/>
      </w:rPr>
    </w:lvl>
    <w:lvl w:ilvl="3" w:tplc="FFFFFFFF">
      <w:numFmt w:val="bullet"/>
      <w:lvlText w:val="•"/>
      <w:lvlJc w:val="left"/>
      <w:pPr>
        <w:ind w:left="3097" w:hanging="579"/>
      </w:pPr>
      <w:rPr>
        <w:rFonts w:hint="default"/>
        <w:lang w:val="en-US" w:eastAsia="zh-CN" w:bidi="ar-SA"/>
      </w:rPr>
    </w:lvl>
    <w:lvl w:ilvl="4" w:tplc="FFFFFFFF">
      <w:numFmt w:val="bullet"/>
      <w:lvlText w:val="•"/>
      <w:lvlJc w:val="left"/>
      <w:pPr>
        <w:ind w:left="3870" w:hanging="579"/>
      </w:pPr>
      <w:rPr>
        <w:rFonts w:hint="default"/>
        <w:lang w:val="en-US" w:eastAsia="zh-CN" w:bidi="ar-SA"/>
      </w:rPr>
    </w:lvl>
    <w:lvl w:ilvl="5" w:tplc="FFFFFFFF">
      <w:numFmt w:val="bullet"/>
      <w:lvlText w:val="•"/>
      <w:lvlJc w:val="left"/>
      <w:pPr>
        <w:ind w:left="4643" w:hanging="579"/>
      </w:pPr>
      <w:rPr>
        <w:rFonts w:hint="default"/>
        <w:lang w:val="en-US" w:eastAsia="zh-CN" w:bidi="ar-SA"/>
      </w:rPr>
    </w:lvl>
    <w:lvl w:ilvl="6" w:tplc="FFFFFFFF">
      <w:numFmt w:val="bullet"/>
      <w:lvlText w:val="•"/>
      <w:lvlJc w:val="left"/>
      <w:pPr>
        <w:ind w:left="5415" w:hanging="579"/>
      </w:pPr>
      <w:rPr>
        <w:rFonts w:hint="default"/>
        <w:lang w:val="en-US" w:eastAsia="zh-CN" w:bidi="ar-SA"/>
      </w:rPr>
    </w:lvl>
    <w:lvl w:ilvl="7" w:tplc="FFFFFFFF">
      <w:numFmt w:val="bullet"/>
      <w:lvlText w:val="•"/>
      <w:lvlJc w:val="left"/>
      <w:pPr>
        <w:ind w:left="6188" w:hanging="579"/>
      </w:pPr>
      <w:rPr>
        <w:rFonts w:hint="default"/>
        <w:lang w:val="en-US" w:eastAsia="zh-CN" w:bidi="ar-SA"/>
      </w:rPr>
    </w:lvl>
    <w:lvl w:ilvl="8" w:tplc="FFFFFFFF">
      <w:numFmt w:val="bullet"/>
      <w:lvlText w:val="•"/>
      <w:lvlJc w:val="left"/>
      <w:pPr>
        <w:ind w:left="6961" w:hanging="579"/>
      </w:pPr>
      <w:rPr>
        <w:rFonts w:hint="default"/>
        <w:lang w:val="en-US" w:eastAsia="zh-CN" w:bidi="ar-SA"/>
      </w:rPr>
    </w:lvl>
  </w:abstractNum>
  <w:abstractNum w:abstractNumId="2">
    <w:nsid w:val="4C082011"/>
    <w:multiLevelType w:val="hybridMultilevel"/>
    <w:tmpl w:val="68A02422"/>
    <w:lvl w:ilvl="0" w:tplc="FFFFFFFF">
      <w:start w:val="1"/>
      <w:numFmt w:val="decimal"/>
      <w:lvlText w:val="%1."/>
      <w:lvlJc w:val="left"/>
      <w:pPr>
        <w:ind w:left="782" w:hanging="579"/>
      </w:pPr>
      <w:rPr>
        <w:rFonts w:ascii="Times New Roman" w:eastAsia="Times New Roman" w:hAnsi="Times New Roman" w:cs="Times New Roman" w:hint="default"/>
        <w:b w:val="0"/>
        <w:bCs w:val="0"/>
        <w:i w:val="0"/>
        <w:iCs w:val="0"/>
        <w:spacing w:val="-1"/>
        <w:w w:val="100"/>
        <w:sz w:val="24"/>
        <w:szCs w:val="24"/>
        <w:lang w:val="en-US" w:eastAsia="zh-CN" w:bidi="ar-SA"/>
      </w:rPr>
    </w:lvl>
    <w:lvl w:ilvl="1" w:tplc="FFFFFFFF">
      <w:numFmt w:val="bullet"/>
      <w:lvlText w:val="•"/>
      <w:lvlJc w:val="left"/>
      <w:pPr>
        <w:ind w:left="1552" w:hanging="579"/>
      </w:pPr>
      <w:rPr>
        <w:rFonts w:hint="default"/>
        <w:lang w:val="en-US" w:eastAsia="zh-CN" w:bidi="ar-SA"/>
      </w:rPr>
    </w:lvl>
    <w:lvl w:ilvl="2" w:tplc="FFFFFFFF">
      <w:numFmt w:val="bullet"/>
      <w:lvlText w:val="•"/>
      <w:lvlJc w:val="left"/>
      <w:pPr>
        <w:ind w:left="2325" w:hanging="579"/>
      </w:pPr>
      <w:rPr>
        <w:rFonts w:hint="default"/>
        <w:lang w:val="en-US" w:eastAsia="zh-CN" w:bidi="ar-SA"/>
      </w:rPr>
    </w:lvl>
    <w:lvl w:ilvl="3" w:tplc="FFFFFFFF">
      <w:numFmt w:val="bullet"/>
      <w:lvlText w:val="•"/>
      <w:lvlJc w:val="left"/>
      <w:pPr>
        <w:ind w:left="3097" w:hanging="579"/>
      </w:pPr>
      <w:rPr>
        <w:rFonts w:hint="default"/>
        <w:lang w:val="en-US" w:eastAsia="zh-CN" w:bidi="ar-SA"/>
      </w:rPr>
    </w:lvl>
    <w:lvl w:ilvl="4" w:tplc="FFFFFFFF">
      <w:numFmt w:val="bullet"/>
      <w:lvlText w:val="•"/>
      <w:lvlJc w:val="left"/>
      <w:pPr>
        <w:ind w:left="3870" w:hanging="579"/>
      </w:pPr>
      <w:rPr>
        <w:rFonts w:hint="default"/>
        <w:lang w:val="en-US" w:eastAsia="zh-CN" w:bidi="ar-SA"/>
      </w:rPr>
    </w:lvl>
    <w:lvl w:ilvl="5" w:tplc="FFFFFFFF">
      <w:numFmt w:val="bullet"/>
      <w:lvlText w:val="•"/>
      <w:lvlJc w:val="left"/>
      <w:pPr>
        <w:ind w:left="4643" w:hanging="579"/>
      </w:pPr>
      <w:rPr>
        <w:rFonts w:hint="default"/>
        <w:lang w:val="en-US" w:eastAsia="zh-CN" w:bidi="ar-SA"/>
      </w:rPr>
    </w:lvl>
    <w:lvl w:ilvl="6" w:tplc="FFFFFFFF">
      <w:numFmt w:val="bullet"/>
      <w:lvlText w:val="•"/>
      <w:lvlJc w:val="left"/>
      <w:pPr>
        <w:ind w:left="5415" w:hanging="579"/>
      </w:pPr>
      <w:rPr>
        <w:rFonts w:hint="default"/>
        <w:lang w:val="en-US" w:eastAsia="zh-CN" w:bidi="ar-SA"/>
      </w:rPr>
    </w:lvl>
    <w:lvl w:ilvl="7" w:tplc="FFFFFFFF">
      <w:numFmt w:val="bullet"/>
      <w:lvlText w:val="•"/>
      <w:lvlJc w:val="left"/>
      <w:pPr>
        <w:ind w:left="6188" w:hanging="579"/>
      </w:pPr>
      <w:rPr>
        <w:rFonts w:hint="default"/>
        <w:lang w:val="en-US" w:eastAsia="zh-CN" w:bidi="ar-SA"/>
      </w:rPr>
    </w:lvl>
    <w:lvl w:ilvl="8" w:tplc="FFFFFFFF">
      <w:numFmt w:val="bullet"/>
      <w:lvlText w:val="•"/>
      <w:lvlJc w:val="left"/>
      <w:pPr>
        <w:ind w:left="6961" w:hanging="579"/>
      </w:pPr>
      <w:rPr>
        <w:rFonts w:hint="default"/>
        <w:lang w:val="en-US" w:eastAsia="zh-CN" w:bidi="ar-SA"/>
      </w:rPr>
    </w:lvl>
  </w:abstractNum>
  <w:abstractNum w:abstractNumId="3">
    <w:nsid w:val="642E0FE3"/>
    <w:multiLevelType w:val="hybridMultilevel"/>
    <w:tmpl w:val="68A02422"/>
    <w:lvl w:ilvl="0" w:tplc="AA74D8C6">
      <w:start w:val="1"/>
      <w:numFmt w:val="decimal"/>
      <w:lvlText w:val="%1."/>
      <w:lvlJc w:val="left"/>
      <w:pPr>
        <w:ind w:left="782" w:hanging="579"/>
      </w:pPr>
      <w:rPr>
        <w:rFonts w:ascii="Times New Roman" w:eastAsia="Times New Roman" w:hAnsi="Times New Roman" w:cs="Times New Roman" w:hint="default"/>
        <w:b w:val="0"/>
        <w:bCs w:val="0"/>
        <w:i w:val="0"/>
        <w:iCs w:val="0"/>
        <w:spacing w:val="-1"/>
        <w:w w:val="100"/>
        <w:sz w:val="24"/>
        <w:szCs w:val="24"/>
        <w:lang w:val="en-US" w:eastAsia="zh-CN" w:bidi="ar-SA"/>
      </w:rPr>
    </w:lvl>
    <w:lvl w:ilvl="1" w:tplc="C3041C02">
      <w:numFmt w:val="bullet"/>
      <w:lvlText w:val="•"/>
      <w:lvlJc w:val="left"/>
      <w:pPr>
        <w:ind w:left="1552" w:hanging="579"/>
      </w:pPr>
      <w:rPr>
        <w:rFonts w:hint="default"/>
        <w:lang w:val="en-US" w:eastAsia="zh-CN" w:bidi="ar-SA"/>
      </w:rPr>
    </w:lvl>
    <w:lvl w:ilvl="2" w:tplc="BBF43876">
      <w:numFmt w:val="bullet"/>
      <w:lvlText w:val="•"/>
      <w:lvlJc w:val="left"/>
      <w:pPr>
        <w:ind w:left="2325" w:hanging="579"/>
      </w:pPr>
      <w:rPr>
        <w:rFonts w:hint="default"/>
        <w:lang w:val="en-US" w:eastAsia="zh-CN" w:bidi="ar-SA"/>
      </w:rPr>
    </w:lvl>
    <w:lvl w:ilvl="3" w:tplc="6CEC1738">
      <w:numFmt w:val="bullet"/>
      <w:lvlText w:val="•"/>
      <w:lvlJc w:val="left"/>
      <w:pPr>
        <w:ind w:left="3097" w:hanging="579"/>
      </w:pPr>
      <w:rPr>
        <w:rFonts w:hint="default"/>
        <w:lang w:val="en-US" w:eastAsia="zh-CN" w:bidi="ar-SA"/>
      </w:rPr>
    </w:lvl>
    <w:lvl w:ilvl="4" w:tplc="068A29F2">
      <w:numFmt w:val="bullet"/>
      <w:lvlText w:val="•"/>
      <w:lvlJc w:val="left"/>
      <w:pPr>
        <w:ind w:left="3870" w:hanging="579"/>
      </w:pPr>
      <w:rPr>
        <w:rFonts w:hint="default"/>
        <w:lang w:val="en-US" w:eastAsia="zh-CN" w:bidi="ar-SA"/>
      </w:rPr>
    </w:lvl>
    <w:lvl w:ilvl="5" w:tplc="96C223A4">
      <w:numFmt w:val="bullet"/>
      <w:lvlText w:val="•"/>
      <w:lvlJc w:val="left"/>
      <w:pPr>
        <w:ind w:left="4643" w:hanging="579"/>
      </w:pPr>
      <w:rPr>
        <w:rFonts w:hint="default"/>
        <w:lang w:val="en-US" w:eastAsia="zh-CN" w:bidi="ar-SA"/>
      </w:rPr>
    </w:lvl>
    <w:lvl w:ilvl="6" w:tplc="A79EF2A8">
      <w:numFmt w:val="bullet"/>
      <w:lvlText w:val="•"/>
      <w:lvlJc w:val="left"/>
      <w:pPr>
        <w:ind w:left="5415" w:hanging="579"/>
      </w:pPr>
      <w:rPr>
        <w:rFonts w:hint="default"/>
        <w:lang w:val="en-US" w:eastAsia="zh-CN" w:bidi="ar-SA"/>
      </w:rPr>
    </w:lvl>
    <w:lvl w:ilvl="7" w:tplc="D34E1096">
      <w:numFmt w:val="bullet"/>
      <w:lvlText w:val="•"/>
      <w:lvlJc w:val="left"/>
      <w:pPr>
        <w:ind w:left="6188" w:hanging="579"/>
      </w:pPr>
      <w:rPr>
        <w:rFonts w:hint="default"/>
        <w:lang w:val="en-US" w:eastAsia="zh-CN" w:bidi="ar-SA"/>
      </w:rPr>
    </w:lvl>
    <w:lvl w:ilvl="8" w:tplc="C71C3900">
      <w:numFmt w:val="bullet"/>
      <w:lvlText w:val="•"/>
      <w:lvlJc w:val="left"/>
      <w:pPr>
        <w:ind w:left="6961" w:hanging="579"/>
      </w:pPr>
      <w:rPr>
        <w:rFonts w:hint="default"/>
        <w:lang w:val="en-US" w:eastAsia="zh-CN" w:bidi="ar-SA"/>
      </w:rPr>
    </w:lvl>
  </w:abstractNum>
  <w:abstractNum w:abstractNumId="4">
    <w:nsid w:val="77B123BC"/>
    <w:multiLevelType w:val="hybridMultilevel"/>
    <w:tmpl w:val="311A296E"/>
    <w:lvl w:ilvl="0" w:tplc="DE26DA6E">
      <w:start w:val="1"/>
      <w:numFmt w:val="decimal"/>
      <w:lvlText w:val="%1."/>
      <w:lvlJc w:val="left"/>
      <w:pPr>
        <w:ind w:left="782" w:hanging="579"/>
      </w:pPr>
      <w:rPr>
        <w:rFonts w:ascii="Times New Roman" w:eastAsia="Times New Roman" w:hAnsi="Times New Roman" w:cs="Times New Roman" w:hint="default"/>
        <w:b w:val="0"/>
        <w:bCs w:val="0"/>
        <w:i w:val="0"/>
        <w:iCs w:val="0"/>
        <w:spacing w:val="-1"/>
        <w:w w:val="100"/>
        <w:sz w:val="24"/>
        <w:szCs w:val="24"/>
        <w:lang w:val="en-US" w:eastAsia="zh-CN" w:bidi="ar-SA"/>
      </w:rPr>
    </w:lvl>
    <w:lvl w:ilvl="1" w:tplc="5BBCB824">
      <w:numFmt w:val="bullet"/>
      <w:lvlText w:val="•"/>
      <w:lvlJc w:val="left"/>
      <w:pPr>
        <w:ind w:left="1552" w:hanging="579"/>
      </w:pPr>
      <w:rPr>
        <w:rFonts w:hint="default"/>
        <w:lang w:val="en-US" w:eastAsia="zh-CN" w:bidi="ar-SA"/>
      </w:rPr>
    </w:lvl>
    <w:lvl w:ilvl="2" w:tplc="D130A9BA">
      <w:numFmt w:val="bullet"/>
      <w:lvlText w:val="•"/>
      <w:lvlJc w:val="left"/>
      <w:pPr>
        <w:ind w:left="2325" w:hanging="579"/>
      </w:pPr>
      <w:rPr>
        <w:rFonts w:hint="default"/>
        <w:lang w:val="en-US" w:eastAsia="zh-CN" w:bidi="ar-SA"/>
      </w:rPr>
    </w:lvl>
    <w:lvl w:ilvl="3" w:tplc="C13C9F56">
      <w:numFmt w:val="bullet"/>
      <w:lvlText w:val="•"/>
      <w:lvlJc w:val="left"/>
      <w:pPr>
        <w:ind w:left="3097" w:hanging="579"/>
      </w:pPr>
      <w:rPr>
        <w:rFonts w:hint="default"/>
        <w:lang w:val="en-US" w:eastAsia="zh-CN" w:bidi="ar-SA"/>
      </w:rPr>
    </w:lvl>
    <w:lvl w:ilvl="4" w:tplc="51FEFE08">
      <w:numFmt w:val="bullet"/>
      <w:lvlText w:val="•"/>
      <w:lvlJc w:val="left"/>
      <w:pPr>
        <w:ind w:left="3870" w:hanging="579"/>
      </w:pPr>
      <w:rPr>
        <w:rFonts w:hint="default"/>
        <w:lang w:val="en-US" w:eastAsia="zh-CN" w:bidi="ar-SA"/>
      </w:rPr>
    </w:lvl>
    <w:lvl w:ilvl="5" w:tplc="38B4B9AA">
      <w:numFmt w:val="bullet"/>
      <w:lvlText w:val="•"/>
      <w:lvlJc w:val="left"/>
      <w:pPr>
        <w:ind w:left="4643" w:hanging="579"/>
      </w:pPr>
      <w:rPr>
        <w:rFonts w:hint="default"/>
        <w:lang w:val="en-US" w:eastAsia="zh-CN" w:bidi="ar-SA"/>
      </w:rPr>
    </w:lvl>
    <w:lvl w:ilvl="6" w:tplc="4048770E">
      <w:numFmt w:val="bullet"/>
      <w:lvlText w:val="•"/>
      <w:lvlJc w:val="left"/>
      <w:pPr>
        <w:ind w:left="5415" w:hanging="579"/>
      </w:pPr>
      <w:rPr>
        <w:rFonts w:hint="default"/>
        <w:lang w:val="en-US" w:eastAsia="zh-CN" w:bidi="ar-SA"/>
      </w:rPr>
    </w:lvl>
    <w:lvl w:ilvl="7" w:tplc="CFD6D434">
      <w:numFmt w:val="bullet"/>
      <w:lvlText w:val="•"/>
      <w:lvlJc w:val="left"/>
      <w:pPr>
        <w:ind w:left="6188" w:hanging="579"/>
      </w:pPr>
      <w:rPr>
        <w:rFonts w:hint="default"/>
        <w:lang w:val="en-US" w:eastAsia="zh-CN" w:bidi="ar-SA"/>
      </w:rPr>
    </w:lvl>
    <w:lvl w:ilvl="8" w:tplc="634E0828">
      <w:numFmt w:val="bullet"/>
      <w:lvlText w:val="•"/>
      <w:lvlJc w:val="left"/>
      <w:pPr>
        <w:ind w:left="6961" w:hanging="579"/>
      </w:pPr>
      <w:rPr>
        <w:rFonts w:hint="default"/>
        <w:lang w:val="en-US" w:eastAsia="zh-CN" w:bidi="ar-S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1FB8"/>
    <w:rsid w:val="00141DAF"/>
    <w:rsid w:val="001877E4"/>
    <w:rsid w:val="001D6244"/>
    <w:rsid w:val="001F2DB9"/>
    <w:rsid w:val="00201294"/>
    <w:rsid w:val="00224BEC"/>
    <w:rsid w:val="0023397B"/>
    <w:rsid w:val="00296A5A"/>
    <w:rsid w:val="002E379C"/>
    <w:rsid w:val="002E626F"/>
    <w:rsid w:val="00351E78"/>
    <w:rsid w:val="003B5C81"/>
    <w:rsid w:val="0056247A"/>
    <w:rsid w:val="00581A93"/>
    <w:rsid w:val="00597A7B"/>
    <w:rsid w:val="005E1311"/>
    <w:rsid w:val="006843C3"/>
    <w:rsid w:val="00797CC2"/>
    <w:rsid w:val="008512E4"/>
    <w:rsid w:val="009519B6"/>
    <w:rsid w:val="00AB3BA5"/>
    <w:rsid w:val="00B3792B"/>
    <w:rsid w:val="00B61A28"/>
    <w:rsid w:val="00BF0E23"/>
    <w:rsid w:val="00C5245E"/>
    <w:rsid w:val="00CB0230"/>
    <w:rsid w:val="00D31FB8"/>
    <w:rsid w:val="00DD07E0"/>
    <w:rsid w:val="00DF0CCD"/>
    <w:rsid w:val="00E204DE"/>
    <w:rsid w:val="00EE5EA4"/>
    <w:rsid w:val="00F2191A"/>
    <w:rsid w:val="00FB0C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BEC"/>
    <w:pPr>
      <w:widowControl w:val="0"/>
      <w:jc w:val="both"/>
    </w:pPr>
  </w:style>
  <w:style w:type="paragraph" w:styleId="1">
    <w:name w:val="heading 1"/>
    <w:basedOn w:val="a"/>
    <w:next w:val="a"/>
    <w:link w:val="1Char"/>
    <w:uiPriority w:val="9"/>
    <w:qFormat/>
    <w:rsid w:val="00D31F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D31F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D31F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D31F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D31FB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rsid w:val="00D31FB8"/>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D31FB8"/>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D31FB8"/>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D31FB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31FB8"/>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D31FB8"/>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D31FB8"/>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D31FB8"/>
    <w:rPr>
      <w:rFonts w:cstheme="majorBidi"/>
      <w:color w:val="2F5496" w:themeColor="accent1" w:themeShade="BF"/>
      <w:sz w:val="28"/>
      <w:szCs w:val="28"/>
    </w:rPr>
  </w:style>
  <w:style w:type="character" w:customStyle="1" w:styleId="5Char">
    <w:name w:val="标题 5 Char"/>
    <w:basedOn w:val="a0"/>
    <w:link w:val="5"/>
    <w:uiPriority w:val="9"/>
    <w:semiHidden/>
    <w:rsid w:val="00D31FB8"/>
    <w:rPr>
      <w:rFonts w:cstheme="majorBidi"/>
      <w:color w:val="2F5496" w:themeColor="accent1" w:themeShade="BF"/>
      <w:sz w:val="24"/>
      <w:szCs w:val="24"/>
    </w:rPr>
  </w:style>
  <w:style w:type="character" w:customStyle="1" w:styleId="6Char">
    <w:name w:val="标题 6 Char"/>
    <w:basedOn w:val="a0"/>
    <w:link w:val="6"/>
    <w:uiPriority w:val="9"/>
    <w:semiHidden/>
    <w:rsid w:val="00D31FB8"/>
    <w:rPr>
      <w:rFonts w:cstheme="majorBidi"/>
      <w:b/>
      <w:bCs/>
      <w:color w:val="2F5496" w:themeColor="accent1" w:themeShade="BF"/>
    </w:rPr>
  </w:style>
  <w:style w:type="character" w:customStyle="1" w:styleId="7Char">
    <w:name w:val="标题 7 Char"/>
    <w:basedOn w:val="a0"/>
    <w:link w:val="7"/>
    <w:uiPriority w:val="9"/>
    <w:semiHidden/>
    <w:rsid w:val="00D31FB8"/>
    <w:rPr>
      <w:rFonts w:cstheme="majorBidi"/>
      <w:b/>
      <w:bCs/>
      <w:color w:val="595959" w:themeColor="text1" w:themeTint="A6"/>
    </w:rPr>
  </w:style>
  <w:style w:type="character" w:customStyle="1" w:styleId="8Char">
    <w:name w:val="标题 8 Char"/>
    <w:basedOn w:val="a0"/>
    <w:link w:val="8"/>
    <w:uiPriority w:val="9"/>
    <w:semiHidden/>
    <w:rsid w:val="00D31FB8"/>
    <w:rPr>
      <w:rFonts w:cstheme="majorBidi"/>
      <w:color w:val="595959" w:themeColor="text1" w:themeTint="A6"/>
    </w:rPr>
  </w:style>
  <w:style w:type="character" w:customStyle="1" w:styleId="9Char">
    <w:name w:val="标题 9 Char"/>
    <w:basedOn w:val="a0"/>
    <w:link w:val="9"/>
    <w:uiPriority w:val="9"/>
    <w:semiHidden/>
    <w:rsid w:val="00D31FB8"/>
    <w:rPr>
      <w:rFonts w:eastAsiaTheme="majorEastAsia" w:cstheme="majorBidi"/>
      <w:color w:val="595959" w:themeColor="text1" w:themeTint="A6"/>
    </w:rPr>
  </w:style>
  <w:style w:type="paragraph" w:styleId="a3">
    <w:name w:val="Title"/>
    <w:basedOn w:val="a"/>
    <w:next w:val="a"/>
    <w:link w:val="Char"/>
    <w:uiPriority w:val="10"/>
    <w:qFormat/>
    <w:rsid w:val="00D31FB8"/>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D31F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1F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D31FB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31FB8"/>
    <w:pPr>
      <w:spacing w:before="160" w:after="160"/>
      <w:jc w:val="center"/>
    </w:pPr>
    <w:rPr>
      <w:i/>
      <w:iCs/>
      <w:color w:val="404040" w:themeColor="text1" w:themeTint="BF"/>
    </w:rPr>
  </w:style>
  <w:style w:type="character" w:customStyle="1" w:styleId="Char1">
    <w:name w:val="引用 Char"/>
    <w:basedOn w:val="a0"/>
    <w:link w:val="a5"/>
    <w:uiPriority w:val="29"/>
    <w:rsid w:val="00D31FB8"/>
    <w:rPr>
      <w:i/>
      <w:iCs/>
      <w:color w:val="404040" w:themeColor="text1" w:themeTint="BF"/>
    </w:rPr>
  </w:style>
  <w:style w:type="paragraph" w:styleId="a6">
    <w:name w:val="List Paragraph"/>
    <w:basedOn w:val="a"/>
    <w:uiPriority w:val="1"/>
    <w:qFormat/>
    <w:rsid w:val="00D31FB8"/>
    <w:pPr>
      <w:ind w:left="720"/>
      <w:contextualSpacing/>
    </w:pPr>
  </w:style>
  <w:style w:type="character" w:styleId="a7">
    <w:name w:val="Intense Emphasis"/>
    <w:basedOn w:val="a0"/>
    <w:uiPriority w:val="21"/>
    <w:qFormat/>
    <w:rsid w:val="00D31FB8"/>
    <w:rPr>
      <w:i/>
      <w:iCs/>
      <w:color w:val="2F5496" w:themeColor="accent1" w:themeShade="BF"/>
    </w:rPr>
  </w:style>
  <w:style w:type="paragraph" w:styleId="a8">
    <w:name w:val="Intense Quote"/>
    <w:basedOn w:val="a"/>
    <w:next w:val="a"/>
    <w:link w:val="Char2"/>
    <w:uiPriority w:val="30"/>
    <w:qFormat/>
    <w:rsid w:val="00D31F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D31FB8"/>
    <w:rPr>
      <w:i/>
      <w:iCs/>
      <w:color w:val="2F5496" w:themeColor="accent1" w:themeShade="BF"/>
    </w:rPr>
  </w:style>
  <w:style w:type="character" w:styleId="a9">
    <w:name w:val="Intense Reference"/>
    <w:basedOn w:val="a0"/>
    <w:uiPriority w:val="32"/>
    <w:qFormat/>
    <w:rsid w:val="00D31FB8"/>
    <w:rPr>
      <w:b/>
      <w:bCs/>
      <w:smallCaps/>
      <w:color w:val="2F5496" w:themeColor="accent1" w:themeShade="BF"/>
      <w:spacing w:val="5"/>
    </w:rPr>
  </w:style>
  <w:style w:type="paragraph" w:styleId="aa">
    <w:name w:val="header"/>
    <w:basedOn w:val="a"/>
    <w:link w:val="Char3"/>
    <w:uiPriority w:val="99"/>
    <w:unhideWhenUsed/>
    <w:rsid w:val="003B5C81"/>
    <w:pPr>
      <w:tabs>
        <w:tab w:val="center" w:pos="4153"/>
        <w:tab w:val="right" w:pos="8306"/>
      </w:tabs>
      <w:snapToGrid w:val="0"/>
      <w:jc w:val="center"/>
    </w:pPr>
    <w:rPr>
      <w:sz w:val="18"/>
      <w:szCs w:val="18"/>
    </w:rPr>
  </w:style>
  <w:style w:type="character" w:customStyle="1" w:styleId="Char3">
    <w:name w:val="页眉 Char"/>
    <w:basedOn w:val="a0"/>
    <w:link w:val="aa"/>
    <w:uiPriority w:val="99"/>
    <w:rsid w:val="003B5C81"/>
    <w:rPr>
      <w:sz w:val="18"/>
      <w:szCs w:val="18"/>
    </w:rPr>
  </w:style>
  <w:style w:type="paragraph" w:styleId="ab">
    <w:name w:val="footer"/>
    <w:basedOn w:val="a"/>
    <w:link w:val="Char4"/>
    <w:uiPriority w:val="99"/>
    <w:unhideWhenUsed/>
    <w:rsid w:val="003B5C81"/>
    <w:pPr>
      <w:tabs>
        <w:tab w:val="center" w:pos="4153"/>
        <w:tab w:val="right" w:pos="8306"/>
      </w:tabs>
      <w:snapToGrid w:val="0"/>
      <w:jc w:val="left"/>
    </w:pPr>
    <w:rPr>
      <w:sz w:val="18"/>
      <w:szCs w:val="18"/>
    </w:rPr>
  </w:style>
  <w:style w:type="character" w:customStyle="1" w:styleId="Char4">
    <w:name w:val="页脚 Char"/>
    <w:basedOn w:val="a0"/>
    <w:link w:val="ab"/>
    <w:uiPriority w:val="99"/>
    <w:rsid w:val="003B5C81"/>
    <w:rPr>
      <w:sz w:val="18"/>
      <w:szCs w:val="18"/>
    </w:rPr>
  </w:style>
  <w:style w:type="table" w:customStyle="1" w:styleId="TableNormal">
    <w:name w:val="Table Normal"/>
    <w:uiPriority w:val="2"/>
    <w:semiHidden/>
    <w:unhideWhenUsed/>
    <w:qFormat/>
    <w:rsid w:val="003B5C8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Char5"/>
    <w:uiPriority w:val="1"/>
    <w:qFormat/>
    <w:rsid w:val="003B5C81"/>
    <w:pPr>
      <w:autoSpaceDE w:val="0"/>
      <w:autoSpaceDN w:val="0"/>
      <w:spacing w:before="1"/>
      <w:ind w:left="781"/>
      <w:jc w:val="left"/>
    </w:pPr>
    <w:rPr>
      <w:rFonts w:ascii="宋体" w:eastAsia="宋体" w:hAnsi="宋体" w:cs="宋体"/>
      <w:kern w:val="0"/>
      <w:sz w:val="24"/>
      <w:szCs w:val="24"/>
    </w:rPr>
  </w:style>
  <w:style w:type="character" w:customStyle="1" w:styleId="Char5">
    <w:name w:val="正文文本 Char"/>
    <w:basedOn w:val="a0"/>
    <w:link w:val="ac"/>
    <w:uiPriority w:val="1"/>
    <w:rsid w:val="003B5C81"/>
    <w:rPr>
      <w:rFonts w:ascii="宋体" w:eastAsia="宋体" w:hAnsi="宋体" w:cs="宋体"/>
      <w:kern w:val="0"/>
      <w:sz w:val="24"/>
      <w:szCs w:val="24"/>
    </w:rPr>
  </w:style>
  <w:style w:type="paragraph" w:customStyle="1" w:styleId="TableParagraph">
    <w:name w:val="Table Paragraph"/>
    <w:basedOn w:val="a"/>
    <w:uiPriority w:val="1"/>
    <w:qFormat/>
    <w:rsid w:val="003B5C81"/>
    <w:pPr>
      <w:autoSpaceDE w:val="0"/>
      <w:autoSpaceDN w:val="0"/>
      <w:spacing w:before="81"/>
      <w:ind w:left="107"/>
      <w:jc w:val="left"/>
    </w:pPr>
    <w:rPr>
      <w:rFonts w:ascii="宋体" w:eastAsia="宋体" w:hAnsi="宋体" w:cs="宋体"/>
      <w:kern w:val="0"/>
      <w:sz w:val="22"/>
    </w:rPr>
  </w:style>
  <w:style w:type="paragraph" w:styleId="ad">
    <w:name w:val="Revision"/>
    <w:hidden/>
    <w:uiPriority w:val="99"/>
    <w:semiHidden/>
    <w:rsid w:val="005E1311"/>
  </w:style>
  <w:style w:type="paragraph" w:customStyle="1" w:styleId="ae">
    <w:basedOn w:val="a"/>
    <w:next w:val="a6"/>
    <w:uiPriority w:val="99"/>
    <w:qFormat/>
    <w:rsid w:val="005E1311"/>
    <w:pPr>
      <w:ind w:firstLineChars="200" w:firstLine="420"/>
    </w:pPr>
    <w:rPr>
      <w:rFonts w:ascii="Times New Roman" w:eastAsia="宋体" w:hAnsi="Times New Roman" w:cs="Times New Roman"/>
      <w:szCs w:val="24"/>
    </w:rPr>
  </w:style>
  <w:style w:type="paragraph" w:styleId="af">
    <w:name w:val="Balloon Text"/>
    <w:basedOn w:val="a"/>
    <w:link w:val="Char6"/>
    <w:uiPriority w:val="99"/>
    <w:semiHidden/>
    <w:unhideWhenUsed/>
    <w:rsid w:val="00797CC2"/>
    <w:rPr>
      <w:sz w:val="18"/>
      <w:szCs w:val="18"/>
    </w:rPr>
  </w:style>
  <w:style w:type="character" w:customStyle="1" w:styleId="Char6">
    <w:name w:val="批注框文本 Char"/>
    <w:basedOn w:val="a0"/>
    <w:link w:val="af"/>
    <w:uiPriority w:val="99"/>
    <w:semiHidden/>
    <w:rsid w:val="00797CC2"/>
    <w:rPr>
      <w:sz w:val="18"/>
      <w:szCs w:val="18"/>
    </w:rPr>
  </w:style>
  <w:style w:type="character" w:styleId="af0">
    <w:name w:val="annotation reference"/>
    <w:basedOn w:val="a0"/>
    <w:uiPriority w:val="99"/>
    <w:semiHidden/>
    <w:unhideWhenUsed/>
    <w:rsid w:val="00797CC2"/>
    <w:rPr>
      <w:sz w:val="21"/>
      <w:szCs w:val="21"/>
    </w:rPr>
  </w:style>
  <w:style w:type="paragraph" w:styleId="af1">
    <w:name w:val="annotation text"/>
    <w:basedOn w:val="a"/>
    <w:link w:val="Char7"/>
    <w:uiPriority w:val="99"/>
    <w:semiHidden/>
    <w:unhideWhenUsed/>
    <w:rsid w:val="00797CC2"/>
    <w:pPr>
      <w:jc w:val="left"/>
    </w:pPr>
  </w:style>
  <w:style w:type="character" w:customStyle="1" w:styleId="Char7">
    <w:name w:val="批注文字 Char"/>
    <w:basedOn w:val="a0"/>
    <w:link w:val="af1"/>
    <w:uiPriority w:val="99"/>
    <w:semiHidden/>
    <w:rsid w:val="00797CC2"/>
  </w:style>
  <w:style w:type="paragraph" w:styleId="af2">
    <w:name w:val="annotation subject"/>
    <w:basedOn w:val="af1"/>
    <w:next w:val="af1"/>
    <w:link w:val="Char8"/>
    <w:uiPriority w:val="99"/>
    <w:semiHidden/>
    <w:unhideWhenUsed/>
    <w:rsid w:val="00797CC2"/>
    <w:rPr>
      <w:b/>
      <w:bCs/>
    </w:rPr>
  </w:style>
  <w:style w:type="character" w:customStyle="1" w:styleId="Char8">
    <w:name w:val="批注主题 Char"/>
    <w:basedOn w:val="Char7"/>
    <w:link w:val="af2"/>
    <w:uiPriority w:val="99"/>
    <w:semiHidden/>
    <w:rsid w:val="00797CC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t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1997</Characters>
  <Application>Microsoft Office Word</Application>
  <DocSecurity>4</DocSecurity>
  <Lines>16</Lines>
  <Paragraphs>4</Paragraphs>
  <ScaleCrop>false</ScaleCrop>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陈嘉狄</dc:creator>
  <cp:keywords/>
  <dc:description/>
  <cp:lastModifiedBy>ZHONGM</cp:lastModifiedBy>
  <cp:revision>2</cp:revision>
  <dcterms:created xsi:type="dcterms:W3CDTF">2026-02-02T16:01:00Z</dcterms:created>
  <dcterms:modified xsi:type="dcterms:W3CDTF">2026-02-02T16:01:00Z</dcterms:modified>
</cp:coreProperties>
</file>