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2E" w:rsidRDefault="00932278" w:rsidP="00CF13C0">
      <w:pPr>
        <w:jc w:val="center"/>
        <w:rPr>
          <w:rFonts w:ascii="黑体" w:eastAsia="黑体" w:hAnsi="黑体"/>
          <w:color w:val="FF0000"/>
        </w:rPr>
      </w:pPr>
      <w:r w:rsidRPr="00932278">
        <w:rPr>
          <w:rFonts w:ascii="黑体" w:eastAsia="黑体" w:hAnsi="黑体" w:hint="eastAsia"/>
          <w:color w:val="FF0000"/>
        </w:rPr>
        <w:t>嘉实原油证券投资基金（QDII-LOF）</w:t>
      </w:r>
    </w:p>
    <w:p w:rsidR="00CF13C0" w:rsidRPr="00796118" w:rsidRDefault="002C670B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暂停</w:t>
      </w:r>
      <w:r w:rsidR="00CF13C0" w:rsidRPr="00796118">
        <w:rPr>
          <w:rFonts w:ascii="黑体" w:eastAsia="黑体" w:hAnsi="黑体"/>
          <w:color w:val="FF0000"/>
        </w:rPr>
        <w:t>申购（</w:t>
      </w:r>
      <w:r w:rsidR="00CF13C0" w:rsidRPr="00796118">
        <w:rPr>
          <w:rFonts w:ascii="黑体" w:eastAsia="黑体" w:hAnsi="黑体" w:hint="eastAsia"/>
          <w:color w:val="FF0000"/>
        </w:rPr>
        <w:t>含定</w:t>
      </w:r>
      <w:r w:rsidR="00932278">
        <w:rPr>
          <w:rFonts w:ascii="黑体" w:eastAsia="黑体" w:hAnsi="黑体" w:hint="eastAsia"/>
          <w:color w:val="FF0000"/>
        </w:rPr>
        <w:t>期定额</w:t>
      </w:r>
      <w:r w:rsidR="00CF13C0" w:rsidRPr="00796118">
        <w:rPr>
          <w:rFonts w:ascii="黑体" w:eastAsia="黑体" w:hAnsi="黑体" w:hint="eastAsia"/>
          <w:color w:val="FF0000"/>
        </w:rPr>
        <w:t>投</w:t>
      </w:r>
      <w:r w:rsidR="00932278">
        <w:rPr>
          <w:rFonts w:ascii="黑体" w:eastAsia="黑体" w:hAnsi="黑体" w:hint="eastAsia"/>
          <w:color w:val="FF0000"/>
        </w:rPr>
        <w:t>资</w:t>
      </w:r>
      <w:r w:rsidR="00CF13C0" w:rsidRPr="00796118">
        <w:rPr>
          <w:rFonts w:ascii="黑体" w:eastAsia="黑体" w:hAnsi="黑体"/>
          <w:color w:val="FF0000"/>
        </w:rPr>
        <w:t>）</w:t>
      </w:r>
      <w:r w:rsidR="00A17A16">
        <w:rPr>
          <w:rFonts w:ascii="黑体" w:eastAsia="黑体" w:hAnsi="黑体" w:hint="eastAsia"/>
          <w:color w:val="FF0000"/>
        </w:rPr>
        <w:t>业务的</w:t>
      </w:r>
      <w:r w:rsidR="00CF13C0" w:rsidRPr="00796118">
        <w:rPr>
          <w:rFonts w:ascii="黑体" w:eastAsia="黑体" w:hAnsi="黑体"/>
          <w:color w:val="FF0000"/>
        </w:rPr>
        <w:t>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2C670B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B04F4B">
        <w:rPr>
          <w:rFonts w:ascii="宋体" w:eastAsia="宋体" w:hAnsi="宋体"/>
          <w:color w:val="000000"/>
          <w:sz w:val="24"/>
          <w:szCs w:val="24"/>
        </w:rPr>
        <w:t>6</w:t>
      </w:r>
      <w:r w:rsidR="002C670B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B04F4B">
        <w:rPr>
          <w:rFonts w:ascii="宋体" w:eastAsia="宋体" w:hAnsi="宋体"/>
          <w:color w:val="000000"/>
          <w:sz w:val="24"/>
          <w:szCs w:val="24"/>
        </w:rPr>
        <w:t>2</w:t>
      </w:r>
      <w:r w:rsidR="002C670B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B04F4B">
        <w:rPr>
          <w:rFonts w:ascii="宋体" w:eastAsia="宋体" w:hAnsi="宋体"/>
          <w:color w:val="000000"/>
          <w:sz w:val="24"/>
          <w:szCs w:val="24"/>
        </w:rPr>
        <w:t>3</w:t>
      </w:r>
      <w:r w:rsidR="002C670B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932278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3227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嘉实原油证券投资基金（QDII-LOF）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75DC8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嘉实原油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275DC8">
              <w:rPr>
                <w:rFonts w:asciiTheme="minorEastAsia" w:eastAsiaTheme="minorEastAsia" w:hAnsiTheme="minorEastAsia" w:hint="eastAsia"/>
                <w:sz w:val="21"/>
                <w:szCs w:val="21"/>
              </w:rPr>
              <w:t>QDII-LOF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829AE">
              <w:rPr>
                <w:rFonts w:asciiTheme="minorEastAsia" w:eastAsiaTheme="minorEastAsia" w:hAnsiTheme="minorEastAsia" w:hint="eastAsia"/>
                <w:sz w:val="21"/>
                <w:szCs w:val="21"/>
              </w:rPr>
              <w:t>场内简称</w:t>
            </w:r>
          </w:p>
        </w:tc>
        <w:tc>
          <w:tcPr>
            <w:tcW w:w="4501" w:type="dxa"/>
          </w:tcPr>
          <w:p w:rsidR="00932278" w:rsidRPr="00275DC8" w:rsidRDefault="00932278" w:rsidP="00932278">
            <w:pPr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829AE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嘉实原油LOF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75DC8">
              <w:rPr>
                <w:rFonts w:asciiTheme="minorEastAsia" w:eastAsiaTheme="minorEastAsia" w:hAnsiTheme="minorEastAsia"/>
                <w:sz w:val="21"/>
                <w:szCs w:val="21"/>
              </w:rPr>
              <w:t>160723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3227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《中华人民共和国证券投资基金法》、《公开募集证券投资基金运作管理办法》等法律法规以及《嘉实原油证券投资基金（QDII-LOF）基金合同》、《嘉实原油证券投资基金（QDII-LOF）招募说明书》</w:t>
            </w:r>
          </w:p>
        </w:tc>
      </w:tr>
      <w:tr w:rsidR="00F71D2C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F71D2C" w:rsidRPr="009D25F6" w:rsidRDefault="00F71D2C" w:rsidP="00EC551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暂停相关业务的起始日及原因说明</w:t>
            </w:r>
          </w:p>
        </w:tc>
        <w:tc>
          <w:tcPr>
            <w:tcW w:w="2694" w:type="dxa"/>
          </w:tcPr>
          <w:p w:rsidR="00F71D2C" w:rsidRPr="009D25F6" w:rsidRDefault="00F71D2C" w:rsidP="00F71D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501" w:type="dxa"/>
          </w:tcPr>
          <w:p w:rsidR="00F71D2C" w:rsidRPr="009D25F6" w:rsidRDefault="00F71D2C" w:rsidP="00B04F4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B04F4B"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B04F4B"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B04F4B">
              <w:rPr>
                <w:rFonts w:ascii="宋体" w:eastAsia="宋体" w:hAnsi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F71D2C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F71D2C" w:rsidRPr="009D25F6" w:rsidRDefault="00F71D2C" w:rsidP="00F71D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71D2C" w:rsidRPr="009D25F6" w:rsidRDefault="00F71D2C" w:rsidP="00F71D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暂停定期定额投资起始日</w:t>
            </w:r>
          </w:p>
        </w:tc>
        <w:tc>
          <w:tcPr>
            <w:tcW w:w="4501" w:type="dxa"/>
          </w:tcPr>
          <w:p w:rsidR="00F71D2C" w:rsidRPr="009D25F6" w:rsidRDefault="00F71D2C" w:rsidP="00F71D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B04F4B">
              <w:rPr>
                <w:rFonts w:ascii="宋体" w:eastAsia="宋体" w:hAnsi="宋体"/>
                <w:color w:val="000000"/>
                <w:sz w:val="21"/>
                <w:szCs w:val="21"/>
              </w:rPr>
              <w:t>6年2月3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932278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932278" w:rsidRPr="009D25F6" w:rsidRDefault="00932278" w:rsidP="00C8166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暂停申购（含定期定额投资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</w:tcPr>
          <w:p w:rsidR="00932278" w:rsidRPr="009D25F6" w:rsidRDefault="002C670B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FA714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为了保证基金的平稳运作，保护基金份额持有人利益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F71D2C" w:rsidRDefault="00F71D2C" w:rsidP="00F71D2C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2" w:name="OLE_LINK3"/>
      <w:bookmarkStart w:id="3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Pr="00101257">
        <w:rPr>
          <w:rFonts w:asciiTheme="minorEastAsia" w:eastAsiaTheme="minorEastAsia" w:hAnsiTheme="minorEastAsia" w:hint="eastAsia"/>
          <w:color w:val="000000"/>
          <w:sz w:val="21"/>
          <w:szCs w:val="21"/>
        </w:rPr>
        <w:t>为了保证基金的平稳运作，保护基金份额持有人利益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，</w:t>
      </w: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202</w:t>
      </w:r>
      <w:r w:rsidR="00B04F4B">
        <w:rPr>
          <w:rFonts w:asciiTheme="minorEastAsia" w:eastAsiaTheme="minorEastAsia" w:hAnsiTheme="minor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B04F4B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B04F4B">
        <w:rPr>
          <w:rFonts w:asciiTheme="minorEastAsia" w:eastAsiaTheme="minorEastAsia" w:hAnsiTheme="minor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暂停本基金的</w:t>
      </w:r>
      <w:r w:rsidRPr="00E47119">
        <w:rPr>
          <w:rFonts w:asciiTheme="minorEastAsia" w:eastAsiaTheme="minorEastAsia" w:hAnsiTheme="minorEastAsia" w:hint="eastAsia"/>
          <w:color w:val="000000"/>
          <w:sz w:val="21"/>
          <w:szCs w:val="21"/>
        </w:rPr>
        <w:t>申购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</w:t>
      </w:r>
      <w:r w:rsidRPr="005472B1">
        <w:rPr>
          <w:rFonts w:asciiTheme="minorEastAsia" w:eastAsiaTheme="minorEastAsia" w:hAnsiTheme="minorEastAsia" w:hint="eastAsia"/>
          <w:color w:val="000000"/>
          <w:sz w:val="21"/>
          <w:szCs w:val="21"/>
        </w:rPr>
        <w:t>定期定额投资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）业务</w:t>
      </w:r>
      <w:r w:rsidRPr="00C2308C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F71D2C" w:rsidRPr="00D00816" w:rsidRDefault="00F71D2C" w:rsidP="00F71D2C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AF1205" w:rsidRPr="00AF1205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在实施暂停申购（含定期定额投资）业务期间，本基金管理人将正常办理本基金的赎回等业务。</w:t>
      </w:r>
      <w:r w:rsidR="00AF1205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恢复办理本基金的申购（含定期定额投资）业务的具体时间将另行公告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bookmarkEnd w:id="2"/>
    <w:bookmarkEnd w:id="3"/>
    <w:p w:rsidR="007A3DAA" w:rsidRPr="00F71D2C" w:rsidRDefault="00F71D2C" w:rsidP="00C755F0">
      <w:pPr>
        <w:pStyle w:val="a5"/>
        <w:spacing w:line="360" w:lineRule="auto"/>
        <w:ind w:firstLineChars="0" w:firstLine="0"/>
        <w:rPr>
          <w:rFonts w:ascii="宋体" w:eastAsia="宋体" w:hAnsi="宋体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>3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）投资者可拨打嘉实基金管理有限公司客户服务电话400-600-8800或登录网站www.jsfund.cn咨询、了解相关情况。</w:t>
      </w:r>
      <w:bookmarkStart w:id="4" w:name="_GoBack"/>
      <w:bookmarkEnd w:id="4"/>
    </w:p>
    <w:sectPr w:rsidR="007A3DAA" w:rsidRPr="00F71D2C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48" w:rsidRDefault="004F7448" w:rsidP="00CF13C0">
      <w:r>
        <w:separator/>
      </w:r>
    </w:p>
  </w:endnote>
  <w:endnote w:type="continuationSeparator" w:id="0">
    <w:p w:rsidR="004F7448" w:rsidRDefault="004F7448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48" w:rsidRDefault="004F7448" w:rsidP="00CF13C0">
      <w:r>
        <w:separator/>
      </w:r>
    </w:p>
  </w:footnote>
  <w:footnote w:type="continuationSeparator" w:id="0">
    <w:p w:rsidR="004F7448" w:rsidRDefault="004F7448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750D8"/>
    <w:rsid w:val="00081F6C"/>
    <w:rsid w:val="000B2E5D"/>
    <w:rsid w:val="000B416F"/>
    <w:rsid w:val="000E04B1"/>
    <w:rsid w:val="00103F70"/>
    <w:rsid w:val="0012724B"/>
    <w:rsid w:val="00150468"/>
    <w:rsid w:val="00166626"/>
    <w:rsid w:val="00195CCD"/>
    <w:rsid w:val="001B7904"/>
    <w:rsid w:val="00230202"/>
    <w:rsid w:val="00267C80"/>
    <w:rsid w:val="002B7827"/>
    <w:rsid w:val="002C670B"/>
    <w:rsid w:val="00306F49"/>
    <w:rsid w:val="00327265"/>
    <w:rsid w:val="00395483"/>
    <w:rsid w:val="003B2BAB"/>
    <w:rsid w:val="003C55B2"/>
    <w:rsid w:val="004064AA"/>
    <w:rsid w:val="004C6F12"/>
    <w:rsid w:val="004E3B63"/>
    <w:rsid w:val="004F7448"/>
    <w:rsid w:val="00576DCA"/>
    <w:rsid w:val="005F4149"/>
    <w:rsid w:val="00644143"/>
    <w:rsid w:val="006B4682"/>
    <w:rsid w:val="006C227D"/>
    <w:rsid w:val="006D0B8C"/>
    <w:rsid w:val="0074667C"/>
    <w:rsid w:val="0076194A"/>
    <w:rsid w:val="007640CE"/>
    <w:rsid w:val="0078712E"/>
    <w:rsid w:val="00796118"/>
    <w:rsid w:val="007A3DAA"/>
    <w:rsid w:val="007A688B"/>
    <w:rsid w:val="007B70D7"/>
    <w:rsid w:val="007C5BAF"/>
    <w:rsid w:val="007E31AE"/>
    <w:rsid w:val="0085261B"/>
    <w:rsid w:val="00882496"/>
    <w:rsid w:val="00890A38"/>
    <w:rsid w:val="008B1A2E"/>
    <w:rsid w:val="008D3F40"/>
    <w:rsid w:val="0091765E"/>
    <w:rsid w:val="00923D5E"/>
    <w:rsid w:val="00932278"/>
    <w:rsid w:val="00933567"/>
    <w:rsid w:val="009437E2"/>
    <w:rsid w:val="00952479"/>
    <w:rsid w:val="00986950"/>
    <w:rsid w:val="009B464F"/>
    <w:rsid w:val="009D25F6"/>
    <w:rsid w:val="009E090D"/>
    <w:rsid w:val="00A17A16"/>
    <w:rsid w:val="00A246E9"/>
    <w:rsid w:val="00A61A32"/>
    <w:rsid w:val="00AC6EFB"/>
    <w:rsid w:val="00AF1205"/>
    <w:rsid w:val="00B00DA6"/>
    <w:rsid w:val="00B04F4B"/>
    <w:rsid w:val="00B13159"/>
    <w:rsid w:val="00B14B91"/>
    <w:rsid w:val="00B260EC"/>
    <w:rsid w:val="00B636D2"/>
    <w:rsid w:val="00B67533"/>
    <w:rsid w:val="00BA2B54"/>
    <w:rsid w:val="00C32406"/>
    <w:rsid w:val="00C535B3"/>
    <w:rsid w:val="00C54129"/>
    <w:rsid w:val="00C62F8D"/>
    <w:rsid w:val="00C755F0"/>
    <w:rsid w:val="00C81664"/>
    <w:rsid w:val="00CB78D9"/>
    <w:rsid w:val="00CD4BEB"/>
    <w:rsid w:val="00CF0C89"/>
    <w:rsid w:val="00CF13C0"/>
    <w:rsid w:val="00D0315C"/>
    <w:rsid w:val="00D25FB4"/>
    <w:rsid w:val="00DC6133"/>
    <w:rsid w:val="00E03275"/>
    <w:rsid w:val="00E2527C"/>
    <w:rsid w:val="00E370D3"/>
    <w:rsid w:val="00E4168B"/>
    <w:rsid w:val="00E63ED7"/>
    <w:rsid w:val="00EC2C91"/>
    <w:rsid w:val="00EC5510"/>
    <w:rsid w:val="00EE5DDC"/>
    <w:rsid w:val="00F06020"/>
    <w:rsid w:val="00F238E5"/>
    <w:rsid w:val="00F37105"/>
    <w:rsid w:val="00F459F6"/>
    <w:rsid w:val="00F63E5A"/>
    <w:rsid w:val="00F70604"/>
    <w:rsid w:val="00F71D2C"/>
    <w:rsid w:val="00FA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F2A86-C73C-4058-8B59-F7A77A91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2026-02-02T16:00:00Z</dcterms:created>
  <dcterms:modified xsi:type="dcterms:W3CDTF">2026-02-02T16:00:00Z</dcterms:modified>
</cp:coreProperties>
</file>