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BA" w:rsidRPr="000F68AF" w:rsidRDefault="004B5DBA" w:rsidP="00855ED3">
      <w:pPr>
        <w:spacing w:line="36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0F68AF">
        <w:rPr>
          <w:rFonts w:ascii="Times New Roman" w:hAnsi="Times New Roman"/>
          <w:b/>
          <w:bCs/>
          <w:kern w:val="0"/>
          <w:sz w:val="28"/>
          <w:szCs w:val="28"/>
        </w:rPr>
        <w:t>海富通基金管理有限公司</w:t>
      </w:r>
    </w:p>
    <w:p w:rsidR="004B5DBA" w:rsidRPr="000F68AF" w:rsidRDefault="004B5DBA" w:rsidP="00855ED3">
      <w:pPr>
        <w:spacing w:line="36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0F68AF">
        <w:rPr>
          <w:rFonts w:ascii="Times New Roman" w:hAnsi="Times New Roman"/>
          <w:b/>
          <w:bCs/>
          <w:kern w:val="0"/>
          <w:sz w:val="28"/>
          <w:szCs w:val="28"/>
        </w:rPr>
        <w:t>关于海富通</w:t>
      </w:r>
      <w:r w:rsidR="00EA25EB">
        <w:rPr>
          <w:rFonts w:ascii="Times New Roman" w:hAnsi="Times New Roman" w:hint="eastAsia"/>
          <w:b/>
          <w:bCs/>
          <w:kern w:val="0"/>
          <w:sz w:val="28"/>
          <w:szCs w:val="28"/>
        </w:rPr>
        <w:t>稳固收益</w:t>
      </w:r>
      <w:r w:rsidRPr="000F68AF">
        <w:rPr>
          <w:rFonts w:ascii="Times New Roman" w:hAnsi="Times New Roman"/>
          <w:b/>
          <w:bCs/>
          <w:kern w:val="0"/>
          <w:sz w:val="28"/>
          <w:szCs w:val="28"/>
        </w:rPr>
        <w:t>债券型证券投资基金</w:t>
      </w:r>
      <w:r w:rsidR="004E6FEA">
        <w:rPr>
          <w:rFonts w:ascii="Times New Roman" w:hAnsi="Times New Roman" w:hint="eastAsia"/>
          <w:b/>
          <w:bCs/>
          <w:kern w:val="0"/>
          <w:sz w:val="28"/>
          <w:szCs w:val="28"/>
        </w:rPr>
        <w:t>新增</w:t>
      </w:r>
      <w:r w:rsidR="00EA25EB">
        <w:rPr>
          <w:rFonts w:ascii="Times New Roman" w:hAnsi="Times New Roman" w:hint="eastAsia"/>
          <w:b/>
          <w:bCs/>
          <w:kern w:val="0"/>
          <w:sz w:val="28"/>
          <w:szCs w:val="28"/>
        </w:rPr>
        <w:t>江苏银行</w:t>
      </w:r>
      <w:r w:rsidR="004E6FEA">
        <w:rPr>
          <w:rFonts w:ascii="Times New Roman" w:hAnsi="Times New Roman" w:hint="eastAsia"/>
          <w:b/>
          <w:bCs/>
          <w:kern w:val="0"/>
          <w:sz w:val="28"/>
          <w:szCs w:val="28"/>
        </w:rPr>
        <w:t>股份有限公司</w:t>
      </w:r>
      <w:r w:rsidR="00567B58">
        <w:rPr>
          <w:rFonts w:ascii="Times New Roman" w:hAnsi="Times New Roman" w:hint="eastAsia"/>
          <w:b/>
          <w:bCs/>
          <w:kern w:val="0"/>
          <w:sz w:val="28"/>
          <w:szCs w:val="28"/>
        </w:rPr>
        <w:t>融联创同业交易平台</w:t>
      </w:r>
      <w:r w:rsidRPr="000F68AF">
        <w:rPr>
          <w:rFonts w:ascii="Times New Roman" w:hAnsi="Times New Roman"/>
          <w:b/>
          <w:bCs/>
          <w:kern w:val="0"/>
          <w:sz w:val="28"/>
          <w:szCs w:val="28"/>
        </w:rPr>
        <w:t>为销售</w:t>
      </w:r>
      <w:r w:rsidR="004E6FEA">
        <w:rPr>
          <w:rFonts w:ascii="Times New Roman" w:hAnsi="Times New Roman" w:hint="eastAsia"/>
          <w:b/>
          <w:bCs/>
          <w:kern w:val="0"/>
          <w:sz w:val="28"/>
          <w:szCs w:val="28"/>
        </w:rPr>
        <w:t>平台</w:t>
      </w:r>
      <w:r w:rsidRPr="000F68AF">
        <w:rPr>
          <w:rFonts w:ascii="Times New Roman" w:hAnsi="Times New Roman"/>
          <w:b/>
          <w:bCs/>
          <w:kern w:val="0"/>
          <w:sz w:val="28"/>
          <w:szCs w:val="28"/>
        </w:rPr>
        <w:t>的公告</w:t>
      </w:r>
    </w:p>
    <w:p w:rsidR="00492E37" w:rsidRPr="000F68AF" w:rsidRDefault="00492E37" w:rsidP="00855ED3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color w:val="014E9E"/>
          <w:kern w:val="0"/>
          <w:sz w:val="24"/>
          <w:szCs w:val="24"/>
        </w:rPr>
      </w:pPr>
    </w:p>
    <w:p w:rsidR="004B5DBA" w:rsidRPr="000F68AF" w:rsidRDefault="004B5DBA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一、</w:t>
      </w:r>
      <w:r w:rsidR="00492E37" w:rsidRPr="000F68AF">
        <w:rPr>
          <w:rFonts w:ascii="Times New Roman" w:eastAsiaTheme="minorEastAsia" w:hAnsi="Times New Roman"/>
          <w:kern w:val="0"/>
          <w:sz w:val="24"/>
          <w:szCs w:val="24"/>
        </w:rPr>
        <w:t>根据海富通基金管理有限公司与</w:t>
      </w:r>
      <w:r w:rsidR="00EA25EB">
        <w:rPr>
          <w:rFonts w:ascii="Times New Roman" w:eastAsiaTheme="minorEastAsia" w:hAnsi="Times New Roman" w:hint="eastAsia"/>
          <w:sz w:val="24"/>
          <w:szCs w:val="24"/>
        </w:rPr>
        <w:t>江苏银行股份</w:t>
      </w:r>
      <w:r w:rsidR="00C70D29">
        <w:rPr>
          <w:rFonts w:ascii="Times New Roman" w:eastAsiaTheme="minorEastAsia" w:hAnsi="Times New Roman" w:hint="eastAsia"/>
          <w:sz w:val="24"/>
          <w:szCs w:val="24"/>
        </w:rPr>
        <w:t>有限</w:t>
      </w:r>
      <w:r w:rsidR="00AA4AEF" w:rsidRPr="000F68AF">
        <w:rPr>
          <w:rFonts w:ascii="Times New Roman" w:eastAsiaTheme="minorEastAsia" w:hAnsi="Times New Roman"/>
          <w:sz w:val="24"/>
          <w:szCs w:val="24"/>
        </w:rPr>
        <w:t>公司</w:t>
      </w:r>
      <w:r w:rsidR="00492E37" w:rsidRPr="000F68AF">
        <w:rPr>
          <w:rFonts w:ascii="Times New Roman" w:eastAsiaTheme="minorEastAsia" w:hAnsi="Times New Roman"/>
          <w:kern w:val="0"/>
          <w:sz w:val="24"/>
          <w:szCs w:val="24"/>
        </w:rPr>
        <w:t>签订的开放式证券投资基金销售协议，现增加</w:t>
      </w:r>
      <w:r w:rsidR="00EA25EB">
        <w:rPr>
          <w:rFonts w:ascii="Times New Roman" w:eastAsiaTheme="minorEastAsia" w:hAnsi="Times New Roman" w:hint="eastAsia"/>
          <w:sz w:val="24"/>
          <w:szCs w:val="24"/>
        </w:rPr>
        <w:t>江苏银行</w:t>
      </w:r>
      <w:r w:rsidR="004E6FEA">
        <w:rPr>
          <w:rFonts w:ascii="Times New Roman" w:eastAsiaTheme="minorEastAsia" w:hAnsi="Times New Roman" w:hint="eastAsia"/>
          <w:sz w:val="24"/>
          <w:szCs w:val="24"/>
        </w:rPr>
        <w:t>股份有限公司</w:t>
      </w:r>
      <w:r w:rsidR="00567B58">
        <w:rPr>
          <w:rFonts w:ascii="Times New Roman" w:eastAsiaTheme="minorEastAsia" w:hAnsi="Times New Roman" w:hint="eastAsia"/>
          <w:sz w:val="24"/>
          <w:szCs w:val="24"/>
        </w:rPr>
        <w:t>融联创同业交易平台</w:t>
      </w:r>
      <w:r w:rsidR="004E6FEA">
        <w:rPr>
          <w:rFonts w:ascii="Times New Roman" w:eastAsiaTheme="minorEastAsia" w:hAnsi="Times New Roman" w:hint="eastAsia"/>
          <w:sz w:val="24"/>
          <w:szCs w:val="24"/>
        </w:rPr>
        <w:t>（以下简称“融联创”同业交易平台）</w:t>
      </w:r>
      <w:r w:rsidR="004E6FEA">
        <w:rPr>
          <w:rFonts w:ascii="Times New Roman" w:eastAsiaTheme="minorEastAsia" w:hAnsi="Times New Roman" w:hint="eastAsia"/>
          <w:kern w:val="0"/>
          <w:sz w:val="24"/>
          <w:szCs w:val="24"/>
        </w:rPr>
        <w:t>销售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海富通</w:t>
      </w:r>
      <w:r w:rsidR="00EA25EB">
        <w:rPr>
          <w:rFonts w:ascii="Times New Roman" w:eastAsiaTheme="minorEastAsia" w:hAnsi="Times New Roman" w:hint="eastAsia"/>
          <w:kern w:val="0"/>
          <w:sz w:val="24"/>
          <w:szCs w:val="24"/>
        </w:rPr>
        <w:t>稳固收益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债券型证券投资基金</w:t>
      </w:r>
      <w:r w:rsidRPr="000F68AF">
        <w:rPr>
          <w:rFonts w:ascii="Times New Roman" w:hAnsi="Times New Roman"/>
          <w:sz w:val="24"/>
          <w:szCs w:val="28"/>
        </w:rPr>
        <w:t>（简称：海富通</w:t>
      </w:r>
      <w:r w:rsidR="00EA25EB">
        <w:rPr>
          <w:rFonts w:ascii="Times New Roman" w:hAnsi="Times New Roman" w:hint="eastAsia"/>
          <w:sz w:val="24"/>
          <w:szCs w:val="28"/>
        </w:rPr>
        <w:t>稳固收益</w:t>
      </w:r>
      <w:r w:rsidRPr="000F68AF">
        <w:rPr>
          <w:rFonts w:ascii="Times New Roman" w:hAnsi="Times New Roman"/>
          <w:sz w:val="24"/>
          <w:szCs w:val="28"/>
        </w:rPr>
        <w:t>债券</w:t>
      </w:r>
      <w:r w:rsidR="00EA25EB">
        <w:rPr>
          <w:rFonts w:ascii="Times New Roman" w:hAnsi="Times New Roman" w:hint="eastAsia"/>
          <w:sz w:val="24"/>
          <w:szCs w:val="28"/>
        </w:rPr>
        <w:t>A/</w:t>
      </w:r>
      <w:r w:rsidRPr="000F68AF">
        <w:rPr>
          <w:rFonts w:ascii="Times New Roman" w:hAnsi="Times New Roman"/>
          <w:sz w:val="24"/>
          <w:szCs w:val="28"/>
        </w:rPr>
        <w:t>C</w:t>
      </w:r>
      <w:r w:rsidRPr="000F68AF">
        <w:rPr>
          <w:rFonts w:ascii="Times New Roman" w:hAnsi="Times New Roman"/>
          <w:sz w:val="24"/>
          <w:szCs w:val="28"/>
        </w:rPr>
        <w:t>，代码：</w:t>
      </w:r>
      <w:r w:rsidR="00EA25EB">
        <w:rPr>
          <w:rFonts w:ascii="Times New Roman" w:hAnsi="Times New Roman" w:hint="eastAsia"/>
          <w:sz w:val="24"/>
          <w:szCs w:val="28"/>
        </w:rPr>
        <w:t>018042</w:t>
      </w:r>
      <w:r w:rsidR="00EA25EB">
        <w:rPr>
          <w:rFonts w:ascii="Times New Roman" w:hAnsi="Times New Roman" w:hint="eastAsia"/>
          <w:sz w:val="24"/>
          <w:szCs w:val="28"/>
        </w:rPr>
        <w:t>（</w:t>
      </w:r>
      <w:r w:rsidR="00EA25EB">
        <w:rPr>
          <w:rFonts w:ascii="Times New Roman" w:hAnsi="Times New Roman" w:hint="eastAsia"/>
          <w:sz w:val="24"/>
          <w:szCs w:val="28"/>
        </w:rPr>
        <w:t>A</w:t>
      </w:r>
      <w:r w:rsidR="00EA25EB">
        <w:rPr>
          <w:rFonts w:ascii="Times New Roman" w:hAnsi="Times New Roman" w:hint="eastAsia"/>
          <w:sz w:val="24"/>
          <w:szCs w:val="28"/>
        </w:rPr>
        <w:t>类）</w:t>
      </w:r>
      <w:r w:rsidR="00EA25EB">
        <w:rPr>
          <w:rFonts w:ascii="Times New Roman" w:hAnsi="Times New Roman" w:hint="eastAsia"/>
          <w:sz w:val="24"/>
          <w:szCs w:val="28"/>
        </w:rPr>
        <w:t>/519030</w:t>
      </w:r>
      <w:r w:rsidR="00EA25EB">
        <w:rPr>
          <w:rFonts w:ascii="Times New Roman" w:hAnsi="Times New Roman" w:hint="eastAsia"/>
          <w:sz w:val="24"/>
          <w:szCs w:val="28"/>
        </w:rPr>
        <w:t>（</w:t>
      </w:r>
      <w:r w:rsidR="00EA25EB">
        <w:rPr>
          <w:rFonts w:ascii="Times New Roman" w:hAnsi="Times New Roman" w:hint="eastAsia"/>
          <w:sz w:val="24"/>
          <w:szCs w:val="28"/>
        </w:rPr>
        <w:t>C</w:t>
      </w:r>
      <w:r w:rsidR="00EA25EB">
        <w:rPr>
          <w:rFonts w:ascii="Times New Roman" w:hAnsi="Times New Roman" w:hint="eastAsia"/>
          <w:sz w:val="24"/>
          <w:szCs w:val="28"/>
        </w:rPr>
        <w:t>类）</w:t>
      </w:r>
      <w:r w:rsidRPr="000F68AF">
        <w:rPr>
          <w:rFonts w:ascii="Times New Roman" w:hAnsi="Times New Roman"/>
          <w:sz w:val="24"/>
          <w:szCs w:val="28"/>
        </w:rPr>
        <w:t>）。</w:t>
      </w:r>
    </w:p>
    <w:p w:rsidR="000B5BDA" w:rsidRDefault="004B5DBA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hAnsi="Times New Roman"/>
          <w:sz w:val="24"/>
          <w:szCs w:val="28"/>
        </w:rPr>
        <w:t>投资者欲了解基金的详细信息，请仔细阅读《海富通</w:t>
      </w:r>
      <w:r w:rsidR="00EA25EB">
        <w:rPr>
          <w:rFonts w:ascii="Times New Roman" w:eastAsiaTheme="minorEastAsia" w:hAnsi="Times New Roman" w:hint="eastAsia"/>
          <w:kern w:val="0"/>
          <w:sz w:val="24"/>
          <w:szCs w:val="24"/>
        </w:rPr>
        <w:t>稳固收益</w:t>
      </w:r>
      <w:r w:rsidR="00AA4AEF" w:rsidRPr="000F68AF">
        <w:rPr>
          <w:rFonts w:ascii="Times New Roman" w:eastAsiaTheme="minorEastAsia" w:hAnsi="Times New Roman"/>
          <w:kern w:val="0"/>
          <w:sz w:val="24"/>
          <w:szCs w:val="24"/>
        </w:rPr>
        <w:t>债券型证券投资</w:t>
      </w:r>
      <w:r w:rsidRPr="000F68AF">
        <w:rPr>
          <w:rFonts w:ascii="Times New Roman" w:hAnsi="Times New Roman"/>
          <w:sz w:val="24"/>
          <w:szCs w:val="28"/>
        </w:rPr>
        <w:t>基金</w:t>
      </w:r>
      <w:r w:rsidR="00C70D29">
        <w:rPr>
          <w:rFonts w:ascii="Times New Roman" w:hAnsi="Times New Roman" w:hint="eastAsia"/>
          <w:sz w:val="24"/>
          <w:szCs w:val="28"/>
        </w:rPr>
        <w:t>基金</w:t>
      </w:r>
      <w:r w:rsidRPr="000F68AF">
        <w:rPr>
          <w:rFonts w:ascii="Times New Roman" w:hAnsi="Times New Roman"/>
          <w:sz w:val="24"/>
          <w:szCs w:val="28"/>
        </w:rPr>
        <w:t>合同》、《海富通</w:t>
      </w:r>
      <w:r w:rsidR="00EA25EB">
        <w:rPr>
          <w:rFonts w:ascii="Times New Roman" w:eastAsiaTheme="minorEastAsia" w:hAnsi="Times New Roman" w:hint="eastAsia"/>
          <w:kern w:val="0"/>
          <w:sz w:val="24"/>
          <w:szCs w:val="24"/>
        </w:rPr>
        <w:t>稳固收益</w:t>
      </w:r>
      <w:r w:rsidR="00AA4AEF" w:rsidRPr="000F68AF">
        <w:rPr>
          <w:rFonts w:ascii="Times New Roman" w:eastAsiaTheme="minorEastAsia" w:hAnsi="Times New Roman"/>
          <w:kern w:val="0"/>
          <w:sz w:val="24"/>
          <w:szCs w:val="24"/>
        </w:rPr>
        <w:t>债券型证券投资</w:t>
      </w:r>
      <w:r w:rsidRPr="000F68AF">
        <w:rPr>
          <w:rFonts w:ascii="Times New Roman" w:hAnsi="Times New Roman"/>
          <w:sz w:val="24"/>
          <w:szCs w:val="28"/>
        </w:rPr>
        <w:t>基金更新招募说明书》及相关法律文件。</w:t>
      </w:r>
    </w:p>
    <w:p w:rsidR="00C70D29" w:rsidRPr="00C70D29" w:rsidRDefault="00C70D29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</w:p>
    <w:p w:rsidR="00492E37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二、自</w:t>
      </w:r>
      <w:r w:rsidR="00BB4921"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202</w:t>
      </w:r>
      <w:r w:rsidR="00EA25EB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6</w:t>
      </w:r>
      <w:r w:rsidR="00BB4921" w:rsidRPr="000F68AF">
        <w:rPr>
          <w:rFonts w:ascii="Times New Roman" w:eastAsiaTheme="minorEastAsia" w:hAnsi="Times New Roman"/>
          <w:sz w:val="24"/>
          <w:szCs w:val="24"/>
        </w:rPr>
        <w:t>年</w:t>
      </w:r>
      <w:r w:rsidR="00EA25EB">
        <w:rPr>
          <w:rFonts w:ascii="Times New Roman" w:eastAsiaTheme="minorEastAsia" w:hAnsi="Times New Roman" w:hint="eastAsia"/>
          <w:sz w:val="24"/>
          <w:szCs w:val="24"/>
        </w:rPr>
        <w:t>2</w:t>
      </w:r>
      <w:r w:rsidR="00D450E4" w:rsidRPr="000F68AF">
        <w:rPr>
          <w:rFonts w:ascii="Times New Roman" w:eastAsiaTheme="minorEastAsia" w:hAnsi="Times New Roman"/>
          <w:sz w:val="24"/>
          <w:szCs w:val="24"/>
        </w:rPr>
        <w:t>月</w:t>
      </w:r>
      <w:r w:rsidR="00EA25EB">
        <w:rPr>
          <w:rFonts w:ascii="Times New Roman" w:eastAsiaTheme="minorEastAsia" w:hAnsi="Times New Roman" w:hint="eastAsia"/>
          <w:sz w:val="24"/>
          <w:szCs w:val="24"/>
        </w:rPr>
        <w:t>4</w:t>
      </w:r>
      <w:r w:rsidR="00B122FF" w:rsidRPr="000F68AF">
        <w:rPr>
          <w:rFonts w:ascii="Times New Roman" w:eastAsiaTheme="minorEastAsia" w:hAnsi="Times New Roman"/>
          <w:sz w:val="24"/>
          <w:szCs w:val="24"/>
        </w:rPr>
        <w:t>日</w:t>
      </w:r>
      <w:r w:rsidRPr="000F68AF">
        <w:rPr>
          <w:rFonts w:ascii="Times New Roman" w:eastAsiaTheme="minorEastAsia" w:hAnsi="Times New Roman"/>
          <w:sz w:val="24"/>
          <w:szCs w:val="24"/>
        </w:rPr>
        <w:t>起，投资者可在</w:t>
      </w:r>
      <w:r w:rsidR="004E6FEA">
        <w:rPr>
          <w:rFonts w:ascii="Times New Roman" w:eastAsiaTheme="minorEastAsia" w:hAnsi="Times New Roman" w:hint="eastAsia"/>
          <w:sz w:val="24"/>
          <w:szCs w:val="24"/>
        </w:rPr>
        <w:t>“融联创”同业交易平台</w:t>
      </w:r>
      <w:r w:rsidRPr="000F68AF">
        <w:rPr>
          <w:rFonts w:ascii="Times New Roman" w:eastAsiaTheme="minorEastAsia" w:hAnsi="Times New Roman"/>
          <w:sz w:val="24"/>
          <w:szCs w:val="24"/>
        </w:rPr>
        <w:t>办理上述开放式基金的开户、申购、赎回等业务。具体的</w:t>
      </w:r>
      <w:r w:rsidR="00F94CDE">
        <w:rPr>
          <w:rFonts w:ascii="Times New Roman" w:eastAsiaTheme="minorEastAsia" w:hAnsi="Times New Roman" w:hint="eastAsia"/>
          <w:sz w:val="24"/>
          <w:szCs w:val="24"/>
        </w:rPr>
        <w:t>购买端口、</w:t>
      </w:r>
      <w:r w:rsidRPr="000F68AF">
        <w:rPr>
          <w:rFonts w:ascii="Times New Roman" w:eastAsiaTheme="minorEastAsia" w:hAnsi="Times New Roman"/>
          <w:sz w:val="24"/>
          <w:szCs w:val="24"/>
        </w:rPr>
        <w:t>业务流程、办理方式和办理时间等以</w:t>
      </w:r>
      <w:r w:rsidR="00F94CDE">
        <w:rPr>
          <w:rFonts w:ascii="Times New Roman" w:eastAsiaTheme="minorEastAsia" w:hAnsi="Times New Roman" w:hint="eastAsia"/>
          <w:sz w:val="24"/>
          <w:szCs w:val="24"/>
        </w:rPr>
        <w:t>销售机构</w:t>
      </w:r>
      <w:r w:rsidRPr="000F68AF">
        <w:rPr>
          <w:rFonts w:ascii="Times New Roman" w:eastAsiaTheme="minorEastAsia" w:hAnsi="Times New Roman"/>
          <w:sz w:val="24"/>
          <w:szCs w:val="24"/>
        </w:rPr>
        <w:t>的规定为准。</w:t>
      </w:r>
    </w:p>
    <w:p w:rsidR="00C70D29" w:rsidRPr="000F68AF" w:rsidRDefault="00C70D29" w:rsidP="00855ED3">
      <w:pPr>
        <w:spacing w:line="360" w:lineRule="auto"/>
        <w:ind w:firstLine="420"/>
        <w:rPr>
          <w:rFonts w:ascii="Times New Roman" w:eastAsiaTheme="minorEastAsia" w:hAnsi="Times New Roman"/>
          <w:bCs/>
          <w:sz w:val="24"/>
          <w:szCs w:val="24"/>
        </w:rPr>
      </w:pPr>
    </w:p>
    <w:p w:rsidR="00492E37" w:rsidRPr="000F68AF" w:rsidRDefault="00D27A70" w:rsidP="00855ED3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三</w:t>
      </w:r>
      <w:r w:rsidR="00492E37"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、投资者可通过以下途径咨询有关详情：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1</w:t>
      </w: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、</w:t>
      </w:r>
      <w:r w:rsidR="00D828BE">
        <w:rPr>
          <w:rFonts w:ascii="Times New Roman" w:eastAsiaTheme="minorEastAsia" w:hAnsi="Times New Roman" w:hint="eastAsia"/>
          <w:color w:val="333333"/>
          <w:kern w:val="0"/>
          <w:sz w:val="24"/>
          <w:szCs w:val="24"/>
        </w:rPr>
        <w:t>江苏银行股份</w:t>
      </w:r>
      <w:r w:rsidR="00B122FF"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有限公司</w:t>
      </w:r>
      <w:r w:rsidR="00567B58">
        <w:rPr>
          <w:rFonts w:ascii="Times New Roman" w:eastAsiaTheme="minorEastAsia" w:hAnsi="Times New Roman" w:hint="eastAsia"/>
          <w:sz w:val="24"/>
          <w:szCs w:val="24"/>
        </w:rPr>
        <w:t>融联创同业交易平台</w:t>
      </w:r>
    </w:p>
    <w:p w:rsidR="00B122FF" w:rsidRPr="000F68AF" w:rsidRDefault="00B122FF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网站：</w:t>
      </w:r>
      <w:r w:rsidR="00567B58" w:rsidRPr="00567B58">
        <w:rPr>
          <w:rFonts w:ascii="Times New Roman" w:eastAsiaTheme="minorEastAsia" w:hAnsi="Times New Roman"/>
          <w:sz w:val="24"/>
          <w:szCs w:val="24"/>
        </w:rPr>
        <w:t>https://ronglianchuang.jsbchina.cn</w:t>
      </w:r>
    </w:p>
    <w:p w:rsidR="00B122FF" w:rsidRPr="000F68AF" w:rsidRDefault="00B122FF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客户服务电话：</w:t>
      </w:r>
      <w:r w:rsidR="001D68A7">
        <w:rPr>
          <w:rFonts w:ascii="Times New Roman" w:eastAsiaTheme="minorEastAsia" w:hAnsi="Times New Roman" w:hint="eastAsia"/>
          <w:sz w:val="24"/>
          <w:szCs w:val="24"/>
        </w:rPr>
        <w:t>95319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2</w:t>
      </w:r>
      <w:r w:rsidRPr="000F68AF">
        <w:rPr>
          <w:rFonts w:ascii="Times New Roman" w:eastAsiaTheme="minorEastAsia" w:hAnsi="Times New Roman"/>
          <w:sz w:val="24"/>
          <w:szCs w:val="24"/>
        </w:rPr>
        <w:t>、海富通基金管理有限公司</w:t>
      </w:r>
    </w:p>
    <w:p w:rsidR="00C70D29" w:rsidRPr="000F68AF" w:rsidRDefault="00C70D29" w:rsidP="00D7706B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hAnsi="Times New Roman"/>
          <w:sz w:val="24"/>
          <w:szCs w:val="28"/>
        </w:rPr>
        <w:t>网站：</w:t>
      </w:r>
      <w:r w:rsidRPr="000F68AF">
        <w:rPr>
          <w:rFonts w:ascii="Times New Roman" w:hAnsi="Times New Roman"/>
          <w:sz w:val="24"/>
          <w:szCs w:val="28"/>
        </w:rPr>
        <w:t>www.hftfund.com</w:t>
      </w:r>
    </w:p>
    <w:p w:rsidR="00D27A70" w:rsidRPr="000F68AF" w:rsidRDefault="00D27A70" w:rsidP="00D7706B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0F68AF">
        <w:rPr>
          <w:rFonts w:ascii="Times New Roman" w:hAnsi="Times New Roman"/>
          <w:sz w:val="24"/>
          <w:szCs w:val="28"/>
        </w:rPr>
        <w:t>客户服务电话：</w:t>
      </w:r>
      <w:r w:rsidRPr="000F68AF">
        <w:rPr>
          <w:rFonts w:ascii="Times New Roman" w:hAnsi="Times New Roman"/>
          <w:sz w:val="24"/>
          <w:szCs w:val="28"/>
        </w:rPr>
        <w:t>40088-40099</w:t>
      </w:r>
      <w:r w:rsidRPr="000F68AF">
        <w:rPr>
          <w:rFonts w:ascii="Times New Roman" w:hAnsi="Times New Roman"/>
          <w:sz w:val="24"/>
          <w:szCs w:val="28"/>
        </w:rPr>
        <w:t>（免长途话费）</w:t>
      </w:r>
    </w:p>
    <w:p w:rsidR="00D27A70" w:rsidRPr="000F68AF" w:rsidRDefault="00D27A70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本公告的解释权归海富通基金管理有限公司。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6159B9" w:rsidRPr="000F68AF" w:rsidRDefault="006159B9" w:rsidP="00855ED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F68AF">
        <w:rPr>
          <w:rFonts w:ascii="Times New Roman" w:hAnsi="Times New Roman"/>
          <w:sz w:val="24"/>
          <w:szCs w:val="24"/>
        </w:rPr>
        <w:t>风险提示：基金管理人承诺以诚实信用、勤勉尽责的原则管理和运用基金资产，但不保证基金一定盈利，也不保证最低收益。基金的过往业绩及其净值高低</w:t>
      </w:r>
      <w:r w:rsidRPr="000F68AF">
        <w:rPr>
          <w:rFonts w:ascii="Times New Roman" w:hAnsi="Times New Roman"/>
          <w:sz w:val="24"/>
          <w:szCs w:val="24"/>
        </w:rPr>
        <w:lastRenderedPageBreak/>
        <w:t>并不预示其未来业绩表现。基金管理人提醒投资者基金投资的</w:t>
      </w:r>
      <w:r w:rsidRPr="000F68AF">
        <w:rPr>
          <w:rFonts w:ascii="Times New Roman" w:hAnsi="Times New Roman"/>
          <w:sz w:val="24"/>
          <w:szCs w:val="24"/>
        </w:rPr>
        <w:t>“</w:t>
      </w:r>
      <w:r w:rsidRPr="000F68AF">
        <w:rPr>
          <w:rFonts w:ascii="Times New Roman" w:hAnsi="Times New Roman"/>
          <w:sz w:val="24"/>
          <w:szCs w:val="24"/>
        </w:rPr>
        <w:t>买者自负</w:t>
      </w:r>
      <w:r w:rsidRPr="000F68AF">
        <w:rPr>
          <w:rFonts w:ascii="Times New Roman" w:hAnsi="Times New Roman"/>
          <w:sz w:val="24"/>
          <w:szCs w:val="24"/>
        </w:rPr>
        <w:t>”</w:t>
      </w:r>
      <w:r w:rsidRPr="000F68AF">
        <w:rPr>
          <w:rFonts w:ascii="Times New Roman" w:hAnsi="Times New Roman"/>
          <w:sz w:val="24"/>
          <w:szCs w:val="24"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</w:p>
    <w:p w:rsidR="00492E37" w:rsidRPr="000F68AF" w:rsidRDefault="00492E37" w:rsidP="00855ED3">
      <w:pPr>
        <w:spacing w:line="360" w:lineRule="auto"/>
        <w:ind w:firstLine="420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sz w:val="24"/>
          <w:szCs w:val="24"/>
        </w:rPr>
        <w:t>特此公告。</w:t>
      </w:r>
    </w:p>
    <w:p w:rsidR="00492E37" w:rsidRDefault="00492E37" w:rsidP="00855ED3">
      <w:pPr>
        <w:widowControl/>
        <w:spacing w:line="36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C70D29" w:rsidRPr="000F68AF" w:rsidRDefault="00C70D29" w:rsidP="00855ED3">
      <w:pPr>
        <w:widowControl/>
        <w:spacing w:line="360" w:lineRule="auto"/>
        <w:ind w:right="960"/>
        <w:rPr>
          <w:rFonts w:ascii="Times New Roman" w:eastAsiaTheme="minorEastAsia" w:hAnsi="Times New Roman"/>
          <w:color w:val="333333"/>
          <w:kern w:val="0"/>
          <w:sz w:val="24"/>
          <w:szCs w:val="24"/>
        </w:rPr>
      </w:pPr>
    </w:p>
    <w:p w:rsidR="00492E37" w:rsidRPr="000F68AF" w:rsidRDefault="00492E37" w:rsidP="00855ED3">
      <w:pPr>
        <w:widowControl/>
        <w:spacing w:line="36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0F68AF">
        <w:rPr>
          <w:rFonts w:ascii="Times New Roman" w:eastAsiaTheme="minorEastAsia" w:hAnsi="Times New Roman"/>
          <w:color w:val="333333"/>
          <w:kern w:val="0"/>
          <w:sz w:val="24"/>
          <w:szCs w:val="24"/>
        </w:rPr>
        <w:t>    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海</w:t>
      </w:r>
      <w:r w:rsidRPr="000F68AF">
        <w:rPr>
          <w:rFonts w:ascii="Times New Roman" w:eastAsiaTheme="minorEastAsia" w:hAnsi="Times New Roman"/>
          <w:sz w:val="24"/>
          <w:szCs w:val="24"/>
        </w:rPr>
        <w:t>富通基金管理有限公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司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br/>
        <w:t>    202</w:t>
      </w:r>
      <w:r w:rsidR="00D828BE">
        <w:rPr>
          <w:rFonts w:ascii="Times New Roman" w:eastAsiaTheme="minorEastAsia" w:hAnsi="Times New Roman" w:hint="eastAsia"/>
          <w:kern w:val="0"/>
          <w:sz w:val="24"/>
          <w:szCs w:val="24"/>
        </w:rPr>
        <w:t>6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年</w:t>
      </w:r>
      <w:r w:rsidR="00D828BE">
        <w:rPr>
          <w:rFonts w:ascii="Times New Roman" w:eastAsiaTheme="minorEastAsia" w:hAnsi="Times New Roman" w:hint="eastAsia"/>
          <w:kern w:val="0"/>
          <w:sz w:val="24"/>
          <w:szCs w:val="24"/>
        </w:rPr>
        <w:t>2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月</w:t>
      </w:r>
      <w:r w:rsidR="00D828BE">
        <w:rPr>
          <w:rFonts w:ascii="Times New Roman" w:eastAsiaTheme="minorEastAsia" w:hAnsi="Times New Roman" w:hint="eastAsia"/>
          <w:kern w:val="0"/>
          <w:sz w:val="24"/>
          <w:szCs w:val="24"/>
        </w:rPr>
        <w:t>3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>日</w:t>
      </w:r>
      <w:r w:rsidRPr="000F68AF">
        <w:rPr>
          <w:rFonts w:ascii="Times New Roman" w:eastAsiaTheme="minorEastAsia" w:hAnsi="Times New Roman"/>
          <w:kern w:val="0"/>
          <w:sz w:val="24"/>
          <w:szCs w:val="24"/>
        </w:rPr>
        <w:t xml:space="preserve"> </w:t>
      </w:r>
    </w:p>
    <w:p w:rsidR="00A86218" w:rsidRPr="000F68AF" w:rsidRDefault="00A86218" w:rsidP="00855ED3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sectPr w:rsidR="00A86218" w:rsidRPr="000F68AF" w:rsidSect="001D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CDE" w:rsidRDefault="00F62CDE" w:rsidP="00BE65CE">
      <w:r>
        <w:separator/>
      </w:r>
    </w:p>
  </w:endnote>
  <w:endnote w:type="continuationSeparator" w:id="0">
    <w:p w:rsidR="00F62CDE" w:rsidRDefault="00F62CDE" w:rsidP="00BE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CDE" w:rsidRDefault="00F62CDE" w:rsidP="00BE65CE">
      <w:r>
        <w:separator/>
      </w:r>
    </w:p>
  </w:footnote>
  <w:footnote w:type="continuationSeparator" w:id="0">
    <w:p w:rsidR="00F62CDE" w:rsidRDefault="00F62CDE" w:rsidP="00BE6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30A"/>
    <w:multiLevelType w:val="hybridMultilevel"/>
    <w:tmpl w:val="5D04D222"/>
    <w:lvl w:ilvl="0" w:tplc="9788B326">
      <w:start w:val="1"/>
      <w:numFmt w:val="japaneseCounting"/>
      <w:lvlText w:val="%1、"/>
      <w:lvlJc w:val="left"/>
      <w:pPr>
        <w:ind w:left="8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31472"/>
    <w:rsid w:val="00077E74"/>
    <w:rsid w:val="000961BA"/>
    <w:rsid w:val="000A377F"/>
    <w:rsid w:val="000B5BDA"/>
    <w:rsid w:val="000C2B6E"/>
    <w:rsid w:val="000E23F5"/>
    <w:rsid w:val="000F406E"/>
    <w:rsid w:val="000F68AF"/>
    <w:rsid w:val="00115369"/>
    <w:rsid w:val="00115E98"/>
    <w:rsid w:val="00117EFF"/>
    <w:rsid w:val="00147B98"/>
    <w:rsid w:val="00151C0F"/>
    <w:rsid w:val="00184873"/>
    <w:rsid w:val="001901F0"/>
    <w:rsid w:val="001A2F6B"/>
    <w:rsid w:val="001D15E6"/>
    <w:rsid w:val="001D3462"/>
    <w:rsid w:val="001D68A7"/>
    <w:rsid w:val="001F16E2"/>
    <w:rsid w:val="00243E9F"/>
    <w:rsid w:val="00253884"/>
    <w:rsid w:val="00274A7C"/>
    <w:rsid w:val="00280CB2"/>
    <w:rsid w:val="002C1797"/>
    <w:rsid w:val="00327B91"/>
    <w:rsid w:val="003614B1"/>
    <w:rsid w:val="0036777F"/>
    <w:rsid w:val="003B5C3D"/>
    <w:rsid w:val="003C4EB0"/>
    <w:rsid w:val="003D2AF1"/>
    <w:rsid w:val="00400A94"/>
    <w:rsid w:val="00444C2A"/>
    <w:rsid w:val="00445C82"/>
    <w:rsid w:val="00451982"/>
    <w:rsid w:val="00456236"/>
    <w:rsid w:val="004761FC"/>
    <w:rsid w:val="00485A5C"/>
    <w:rsid w:val="00492E37"/>
    <w:rsid w:val="00496DAC"/>
    <w:rsid w:val="004A13A3"/>
    <w:rsid w:val="004B5DBA"/>
    <w:rsid w:val="004D2B0E"/>
    <w:rsid w:val="004D508D"/>
    <w:rsid w:val="004E6FEA"/>
    <w:rsid w:val="004F1D28"/>
    <w:rsid w:val="004F2837"/>
    <w:rsid w:val="005566F6"/>
    <w:rsid w:val="00567B58"/>
    <w:rsid w:val="005750D4"/>
    <w:rsid w:val="0058042B"/>
    <w:rsid w:val="00582957"/>
    <w:rsid w:val="005B5AE3"/>
    <w:rsid w:val="005B6057"/>
    <w:rsid w:val="005B620B"/>
    <w:rsid w:val="005F1FA3"/>
    <w:rsid w:val="00610FAA"/>
    <w:rsid w:val="006159B9"/>
    <w:rsid w:val="0061763F"/>
    <w:rsid w:val="00632703"/>
    <w:rsid w:val="00640072"/>
    <w:rsid w:val="0064500F"/>
    <w:rsid w:val="0065591E"/>
    <w:rsid w:val="00662B36"/>
    <w:rsid w:val="006931F1"/>
    <w:rsid w:val="006A3ADA"/>
    <w:rsid w:val="006D5656"/>
    <w:rsid w:val="00736098"/>
    <w:rsid w:val="007A20F0"/>
    <w:rsid w:val="007A65BB"/>
    <w:rsid w:val="007F7D08"/>
    <w:rsid w:val="0080344B"/>
    <w:rsid w:val="00803EF9"/>
    <w:rsid w:val="0080724A"/>
    <w:rsid w:val="00834FBD"/>
    <w:rsid w:val="00835526"/>
    <w:rsid w:val="0084506C"/>
    <w:rsid w:val="00855ED3"/>
    <w:rsid w:val="008D2299"/>
    <w:rsid w:val="008D3889"/>
    <w:rsid w:val="008E04C7"/>
    <w:rsid w:val="008F2280"/>
    <w:rsid w:val="008F5FC0"/>
    <w:rsid w:val="009144FB"/>
    <w:rsid w:val="00917382"/>
    <w:rsid w:val="00953FBE"/>
    <w:rsid w:val="00971831"/>
    <w:rsid w:val="009858DA"/>
    <w:rsid w:val="009A1E59"/>
    <w:rsid w:val="00A152B5"/>
    <w:rsid w:val="00A30414"/>
    <w:rsid w:val="00A81078"/>
    <w:rsid w:val="00A846B0"/>
    <w:rsid w:val="00A86218"/>
    <w:rsid w:val="00AA3215"/>
    <w:rsid w:val="00AA4AEF"/>
    <w:rsid w:val="00AA6D92"/>
    <w:rsid w:val="00AB2429"/>
    <w:rsid w:val="00AF7366"/>
    <w:rsid w:val="00B122FF"/>
    <w:rsid w:val="00B66234"/>
    <w:rsid w:val="00B9519C"/>
    <w:rsid w:val="00BB4921"/>
    <w:rsid w:val="00BE65CE"/>
    <w:rsid w:val="00BF1D9B"/>
    <w:rsid w:val="00BF511A"/>
    <w:rsid w:val="00C0685A"/>
    <w:rsid w:val="00C2119D"/>
    <w:rsid w:val="00C42FC7"/>
    <w:rsid w:val="00C55191"/>
    <w:rsid w:val="00C70D29"/>
    <w:rsid w:val="00C816E7"/>
    <w:rsid w:val="00C84E2B"/>
    <w:rsid w:val="00CB421B"/>
    <w:rsid w:val="00CC0D8A"/>
    <w:rsid w:val="00CE0139"/>
    <w:rsid w:val="00D27A70"/>
    <w:rsid w:val="00D27D5C"/>
    <w:rsid w:val="00D42D00"/>
    <w:rsid w:val="00D450E4"/>
    <w:rsid w:val="00D539D0"/>
    <w:rsid w:val="00D7706B"/>
    <w:rsid w:val="00D805B9"/>
    <w:rsid w:val="00D828BE"/>
    <w:rsid w:val="00D84BB5"/>
    <w:rsid w:val="00DB0847"/>
    <w:rsid w:val="00DB1D27"/>
    <w:rsid w:val="00E26A1E"/>
    <w:rsid w:val="00E33E69"/>
    <w:rsid w:val="00E754D3"/>
    <w:rsid w:val="00E838CD"/>
    <w:rsid w:val="00E970C9"/>
    <w:rsid w:val="00EA25EB"/>
    <w:rsid w:val="00EC311C"/>
    <w:rsid w:val="00EC67A7"/>
    <w:rsid w:val="00EF337C"/>
    <w:rsid w:val="00EF623B"/>
    <w:rsid w:val="00F06BE7"/>
    <w:rsid w:val="00F24695"/>
    <w:rsid w:val="00F62CDE"/>
    <w:rsid w:val="00F84BC9"/>
    <w:rsid w:val="00F94CDE"/>
    <w:rsid w:val="00FA274D"/>
    <w:rsid w:val="00FE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2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1D15E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18"/>
    <w:rPr>
      <w:color w:val="808080"/>
    </w:rPr>
  </w:style>
  <w:style w:type="paragraph" w:styleId="a4">
    <w:name w:val="Normal (Web)"/>
    <w:basedOn w:val="a"/>
    <w:uiPriority w:val="99"/>
    <w:unhideWhenUsed/>
    <w:rsid w:val="00492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D15E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0F406E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E6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E6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E65C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858D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8DA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144FB"/>
    <w:pPr>
      <w:ind w:firstLineChars="200" w:firstLine="420"/>
    </w:pPr>
  </w:style>
  <w:style w:type="table" w:styleId="aa">
    <w:name w:val="Table Grid"/>
    <w:basedOn w:val="a1"/>
    <w:uiPriority w:val="39"/>
    <w:rsid w:val="0091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a"/>
    <w:uiPriority w:val="39"/>
    <w:rsid w:val="008E0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55ED3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4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李仪</dc:creator>
  <cp:keywords/>
  <dc:description/>
  <cp:lastModifiedBy>ZHONGM</cp:lastModifiedBy>
  <cp:revision>2</cp:revision>
  <dcterms:created xsi:type="dcterms:W3CDTF">2026-02-02T16:01:00Z</dcterms:created>
  <dcterms:modified xsi:type="dcterms:W3CDTF">2026-02-02T16:01:00Z</dcterms:modified>
</cp:coreProperties>
</file>