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02" w:rsidRDefault="00F618D0" w:rsidP="00F618D0">
      <w:pPr>
        <w:autoSpaceDE w:val="0"/>
        <w:autoSpaceDN w:val="0"/>
        <w:adjustRightInd w:val="0"/>
        <w:spacing w:beforeLines="100" w:afterLines="100"/>
        <w:jc w:val="center"/>
        <w:rPr>
          <w:rFonts w:asciiTheme="minorEastAsia" w:hAnsiTheme="minorEastAsia" w:cs="MicrosoftYaHei-Bold"/>
          <w:b/>
          <w:bCs/>
          <w:color w:val="333333"/>
          <w:kern w:val="0"/>
          <w:sz w:val="28"/>
          <w:szCs w:val="30"/>
        </w:rPr>
      </w:pPr>
      <w:r>
        <w:rPr>
          <w:rFonts w:asciiTheme="minorEastAsia" w:hAnsiTheme="minorEastAsia" w:cs="MicrosoftYaHei-Bold" w:hint="eastAsia"/>
          <w:b/>
          <w:bCs/>
          <w:color w:val="333333"/>
          <w:kern w:val="0"/>
          <w:sz w:val="28"/>
          <w:szCs w:val="30"/>
        </w:rPr>
        <w:t>平安恒生港股通科技主题交易型开放式指数证券投资基金</w:t>
      </w:r>
    </w:p>
    <w:p w:rsidR="00941F02" w:rsidRDefault="00F618D0" w:rsidP="00F618D0">
      <w:pPr>
        <w:autoSpaceDE w:val="0"/>
        <w:autoSpaceDN w:val="0"/>
        <w:adjustRightInd w:val="0"/>
        <w:spacing w:beforeLines="100" w:afterLines="100"/>
        <w:jc w:val="center"/>
        <w:rPr>
          <w:rFonts w:asciiTheme="minorEastAsia" w:hAnsiTheme="minorEastAsia" w:cs="MicrosoftYaHei-Bold"/>
          <w:b/>
          <w:bCs/>
          <w:color w:val="333333"/>
          <w:kern w:val="0"/>
          <w:sz w:val="28"/>
          <w:szCs w:val="30"/>
        </w:rPr>
        <w:pPrChange w:id="0" w:author="ZHONGM" w:date="2026-02-03T00:01:00Z">
          <w:pPr>
            <w:autoSpaceDE w:val="0"/>
            <w:autoSpaceDN w:val="0"/>
            <w:adjustRightInd w:val="0"/>
            <w:spacing w:beforeLines="100" w:afterLines="100"/>
            <w:jc w:val="center"/>
          </w:pPr>
        </w:pPrChange>
      </w:pPr>
      <w:r>
        <w:rPr>
          <w:rFonts w:asciiTheme="minorEastAsia" w:hAnsiTheme="minorEastAsia" w:cs="MicrosoftYaHei-Bold" w:hint="eastAsia"/>
          <w:b/>
          <w:bCs/>
          <w:color w:val="333333"/>
          <w:kern w:val="0"/>
          <w:sz w:val="28"/>
          <w:szCs w:val="30"/>
        </w:rPr>
        <w:t>上市交易提示性公告</w:t>
      </w:r>
    </w:p>
    <w:p w:rsidR="00941F02" w:rsidRDefault="00F618D0">
      <w:pPr>
        <w:autoSpaceDE w:val="0"/>
        <w:autoSpaceDN w:val="0"/>
        <w:adjustRightInd w:val="0"/>
        <w:spacing w:line="360" w:lineRule="auto"/>
        <w:ind w:firstLine="480"/>
        <w:jc w:val="lef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平安恒生港股通科技主题交易型开放式</w:t>
      </w:r>
      <w:bookmarkStart w:id="1" w:name="_GoBack"/>
      <w:bookmarkEnd w:id="1"/>
      <w:r>
        <w:rPr>
          <w:rFonts w:asciiTheme="minorEastAsia" w:hAnsiTheme="minorEastAsia" w:cs="宋体" w:hint="eastAsia"/>
          <w:color w:val="2C2C2C"/>
          <w:kern w:val="0"/>
          <w:sz w:val="24"/>
          <w:szCs w:val="21"/>
        </w:rPr>
        <w:t>指数证券投资基金</w:t>
      </w:r>
      <w:r>
        <w:rPr>
          <w:rFonts w:asciiTheme="minorEastAsia" w:hAnsiTheme="minorEastAsia" w:cs="宋体" w:hint="eastAsia"/>
          <w:color w:val="2C2C2C"/>
          <w:kern w:val="0"/>
          <w:sz w:val="24"/>
          <w:szCs w:val="21"/>
        </w:rPr>
        <w:t>（以下简称“本基金”）于</w:t>
      </w:r>
      <w:r>
        <w:rPr>
          <w:rFonts w:asciiTheme="minorEastAsia" w:hAnsiTheme="minorEastAsia" w:cs="宋体"/>
          <w:color w:val="2C2C2C"/>
          <w:kern w:val="0"/>
          <w:sz w:val="24"/>
          <w:szCs w:val="21"/>
        </w:rPr>
        <w:t>202</w:t>
      </w:r>
      <w:r>
        <w:rPr>
          <w:rFonts w:asciiTheme="minorEastAsia" w:hAnsiTheme="minorEastAsia" w:cs="宋体" w:hint="eastAsia"/>
          <w:color w:val="2C2C2C"/>
          <w:kern w:val="0"/>
          <w:sz w:val="24"/>
          <w:szCs w:val="21"/>
        </w:rPr>
        <w:t>6</w:t>
      </w:r>
      <w:r>
        <w:rPr>
          <w:rFonts w:asciiTheme="minorEastAsia" w:hAnsiTheme="minorEastAsia" w:cs="宋体" w:hint="eastAsia"/>
          <w:color w:val="2C2C2C"/>
          <w:kern w:val="0"/>
          <w:sz w:val="24"/>
          <w:szCs w:val="21"/>
        </w:rPr>
        <w:t>年</w:t>
      </w:r>
      <w:r>
        <w:rPr>
          <w:rFonts w:asciiTheme="minorEastAsia" w:hAnsiTheme="minorEastAsia" w:cs="宋体" w:hint="eastAsia"/>
          <w:color w:val="2C2C2C"/>
          <w:kern w:val="0"/>
          <w:sz w:val="24"/>
          <w:szCs w:val="21"/>
        </w:rPr>
        <w:t>2</w:t>
      </w:r>
      <w:r>
        <w:rPr>
          <w:rFonts w:asciiTheme="minorEastAsia" w:hAnsiTheme="minorEastAsia" w:cs="宋体" w:hint="eastAsia"/>
          <w:color w:val="2C2C2C"/>
          <w:kern w:val="0"/>
          <w:sz w:val="24"/>
          <w:szCs w:val="21"/>
        </w:rPr>
        <w:t>月</w:t>
      </w:r>
      <w:r>
        <w:rPr>
          <w:rFonts w:asciiTheme="minorEastAsia" w:hAnsiTheme="minorEastAsia" w:cs="宋体" w:hint="eastAsia"/>
          <w:color w:val="2C2C2C"/>
          <w:kern w:val="0"/>
          <w:sz w:val="24"/>
          <w:szCs w:val="21"/>
        </w:rPr>
        <w:t>3</w:t>
      </w:r>
      <w:r>
        <w:rPr>
          <w:rFonts w:asciiTheme="minorEastAsia" w:hAnsiTheme="minorEastAsia" w:cs="宋体" w:hint="eastAsia"/>
          <w:color w:val="2C2C2C"/>
          <w:kern w:val="0"/>
          <w:sz w:val="24"/>
          <w:szCs w:val="21"/>
        </w:rPr>
        <w:t>日开始在深圳证券交易所上市交易</w:t>
      </w:r>
      <w:r>
        <w:rPr>
          <w:rFonts w:asciiTheme="minorEastAsia" w:hAnsiTheme="minorEastAsia" w:cs="宋体" w:hint="eastAsia"/>
          <w:color w:val="2C2C2C"/>
          <w:kern w:val="0"/>
          <w:sz w:val="24"/>
          <w:szCs w:val="21"/>
        </w:rPr>
        <w:t>，</w:t>
      </w:r>
      <w:r>
        <w:rPr>
          <w:rFonts w:asciiTheme="minorEastAsia" w:hAnsiTheme="minorEastAsia" w:cs="宋体" w:hint="eastAsia"/>
          <w:color w:val="2C2C2C"/>
          <w:kern w:val="0"/>
          <w:sz w:val="24"/>
          <w:szCs w:val="21"/>
        </w:rPr>
        <w:t>场内简称：</w:t>
      </w:r>
      <w:r>
        <w:rPr>
          <w:rFonts w:asciiTheme="minorEastAsia" w:hAnsiTheme="minorEastAsia" w:cs="宋体" w:hint="eastAsia"/>
          <w:color w:val="2C2C2C"/>
          <w:kern w:val="0"/>
          <w:sz w:val="24"/>
          <w:szCs w:val="21"/>
        </w:rPr>
        <w:t>港股通科技</w:t>
      </w:r>
      <w:r>
        <w:rPr>
          <w:rFonts w:asciiTheme="minorEastAsia" w:hAnsiTheme="minorEastAsia" w:cs="宋体" w:hint="eastAsia"/>
          <w:color w:val="2C2C2C"/>
          <w:kern w:val="0"/>
          <w:sz w:val="24"/>
          <w:szCs w:val="21"/>
        </w:rPr>
        <w:t>ETF</w:t>
      </w:r>
      <w:r>
        <w:rPr>
          <w:rFonts w:asciiTheme="minorEastAsia" w:hAnsiTheme="minorEastAsia" w:cs="宋体" w:hint="eastAsia"/>
          <w:color w:val="2C2C2C"/>
          <w:kern w:val="0"/>
          <w:sz w:val="24"/>
          <w:szCs w:val="21"/>
        </w:rPr>
        <w:t>平安</w:t>
      </w:r>
      <w:r>
        <w:rPr>
          <w:rFonts w:asciiTheme="minorEastAsia" w:hAnsiTheme="minorEastAsia" w:cs="宋体" w:hint="eastAsia"/>
          <w:color w:val="2C2C2C"/>
          <w:kern w:val="0"/>
          <w:sz w:val="24"/>
          <w:szCs w:val="21"/>
        </w:rPr>
        <w:t>，代码：</w:t>
      </w:r>
      <w:r>
        <w:rPr>
          <w:rFonts w:asciiTheme="minorEastAsia" w:hAnsiTheme="minorEastAsia" w:cs="宋体"/>
          <w:color w:val="2C2C2C"/>
          <w:kern w:val="0"/>
          <w:sz w:val="24"/>
          <w:szCs w:val="21"/>
        </w:rPr>
        <w:t>159</w:t>
      </w:r>
      <w:r>
        <w:rPr>
          <w:rFonts w:asciiTheme="minorEastAsia" w:hAnsiTheme="minorEastAsia" w:cs="宋体" w:hint="eastAsia"/>
          <w:color w:val="2C2C2C"/>
          <w:kern w:val="0"/>
          <w:sz w:val="24"/>
          <w:szCs w:val="21"/>
        </w:rPr>
        <w:t>152</w:t>
      </w:r>
      <w:r>
        <w:rPr>
          <w:rFonts w:asciiTheme="minorEastAsia" w:hAnsiTheme="minorEastAsia" w:cs="宋体" w:hint="eastAsia"/>
          <w:color w:val="2C2C2C"/>
          <w:kern w:val="0"/>
          <w:sz w:val="24"/>
          <w:szCs w:val="21"/>
        </w:rPr>
        <w:t>。上市首日以该基金份额参考净值</w:t>
      </w:r>
      <w:r>
        <w:rPr>
          <w:rFonts w:asciiTheme="minorEastAsia" w:hAnsiTheme="minorEastAsia" w:cs="宋体" w:hint="eastAsia"/>
          <w:color w:val="2C2C2C"/>
          <w:kern w:val="0"/>
          <w:sz w:val="24"/>
          <w:szCs w:val="21"/>
        </w:rPr>
        <w:t>0.963</w:t>
      </w:r>
      <w:r>
        <w:rPr>
          <w:rFonts w:asciiTheme="minorEastAsia" w:hAnsiTheme="minorEastAsia" w:cs="宋体" w:hint="eastAsia"/>
          <w:color w:val="2C2C2C"/>
          <w:kern w:val="0"/>
          <w:sz w:val="24"/>
          <w:szCs w:val="21"/>
        </w:rPr>
        <w:t>元为开盘参考价。</w:t>
      </w:r>
    </w:p>
    <w:p w:rsidR="00941F02" w:rsidRDefault="00F618D0">
      <w:pPr>
        <w:autoSpaceDE w:val="0"/>
        <w:autoSpaceDN w:val="0"/>
        <w:adjustRightInd w:val="0"/>
        <w:spacing w:line="360" w:lineRule="auto"/>
        <w:ind w:firstLine="480"/>
        <w:jc w:val="lef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截至</w:t>
      </w:r>
      <w:r>
        <w:rPr>
          <w:rFonts w:asciiTheme="minorEastAsia" w:hAnsiTheme="minorEastAsia" w:cs="宋体" w:hint="eastAsia"/>
          <w:color w:val="2C2C2C"/>
          <w:kern w:val="0"/>
          <w:sz w:val="24"/>
          <w:szCs w:val="21"/>
        </w:rPr>
        <w:t>202</w:t>
      </w:r>
      <w:r>
        <w:rPr>
          <w:rFonts w:asciiTheme="minorEastAsia" w:hAnsiTheme="minorEastAsia" w:cs="宋体" w:hint="eastAsia"/>
          <w:color w:val="2C2C2C"/>
          <w:kern w:val="0"/>
          <w:sz w:val="24"/>
          <w:szCs w:val="21"/>
        </w:rPr>
        <w:t>6</w:t>
      </w:r>
      <w:r>
        <w:rPr>
          <w:rFonts w:asciiTheme="minorEastAsia" w:hAnsiTheme="minorEastAsia" w:cs="宋体" w:hint="eastAsia"/>
          <w:color w:val="2C2C2C"/>
          <w:kern w:val="0"/>
          <w:sz w:val="24"/>
          <w:szCs w:val="21"/>
        </w:rPr>
        <w:t>年</w:t>
      </w:r>
      <w:r>
        <w:rPr>
          <w:rFonts w:asciiTheme="minorEastAsia" w:hAnsiTheme="minorEastAsia" w:cs="宋体" w:hint="eastAsia"/>
          <w:color w:val="2C2C2C"/>
          <w:kern w:val="0"/>
          <w:sz w:val="24"/>
          <w:szCs w:val="21"/>
        </w:rPr>
        <w:t>2</w:t>
      </w:r>
      <w:r>
        <w:rPr>
          <w:rFonts w:asciiTheme="minorEastAsia" w:hAnsiTheme="minorEastAsia" w:cs="宋体" w:hint="eastAsia"/>
          <w:color w:val="2C2C2C"/>
          <w:kern w:val="0"/>
          <w:sz w:val="24"/>
          <w:szCs w:val="21"/>
        </w:rPr>
        <w:t>月</w:t>
      </w:r>
      <w:r>
        <w:rPr>
          <w:rFonts w:asciiTheme="minorEastAsia" w:hAnsiTheme="minorEastAsia" w:cs="宋体" w:hint="eastAsia"/>
          <w:color w:val="2C2C2C"/>
          <w:kern w:val="0"/>
          <w:sz w:val="24"/>
          <w:szCs w:val="21"/>
        </w:rPr>
        <w:t>2</w:t>
      </w:r>
      <w:r>
        <w:rPr>
          <w:rFonts w:asciiTheme="minorEastAsia" w:hAnsiTheme="minorEastAsia" w:cs="宋体" w:hint="eastAsia"/>
          <w:color w:val="2C2C2C"/>
          <w:kern w:val="0"/>
          <w:sz w:val="24"/>
          <w:szCs w:val="21"/>
        </w:rPr>
        <w:t>日，本基金投资于标的指数成份股和备选成份股的资产比例为基金资产净值的</w:t>
      </w:r>
      <w:r>
        <w:rPr>
          <w:rFonts w:asciiTheme="minorEastAsia" w:hAnsiTheme="minorEastAsia" w:cs="宋体" w:hint="eastAsia"/>
          <w:color w:val="2C2C2C"/>
          <w:kern w:val="0"/>
          <w:sz w:val="24"/>
          <w:szCs w:val="21"/>
        </w:rPr>
        <w:t>91.60</w:t>
      </w:r>
      <w:r>
        <w:rPr>
          <w:rFonts w:asciiTheme="minorEastAsia" w:hAnsiTheme="minorEastAsia" w:cs="宋体"/>
          <w:color w:val="2C2C2C"/>
          <w:kern w:val="0"/>
          <w:sz w:val="24"/>
          <w:szCs w:val="21"/>
        </w:rPr>
        <w:t>%</w:t>
      </w:r>
      <w:r>
        <w:rPr>
          <w:rFonts w:asciiTheme="minorEastAsia" w:hAnsiTheme="minorEastAsia" w:cs="宋体" w:hint="eastAsia"/>
          <w:color w:val="2C2C2C"/>
          <w:kern w:val="0"/>
          <w:sz w:val="24"/>
          <w:szCs w:val="21"/>
        </w:rPr>
        <w:t>。投资组合比例符合有关法律法规、部门规章、规范性文件的规定和基金合同的有关约定。</w:t>
      </w:r>
    </w:p>
    <w:p w:rsidR="00941F02" w:rsidRDefault="00F618D0">
      <w:pPr>
        <w:autoSpaceDE w:val="0"/>
        <w:autoSpaceDN w:val="0"/>
        <w:adjustRightInd w:val="0"/>
        <w:spacing w:line="360" w:lineRule="auto"/>
        <w:ind w:firstLine="480"/>
        <w:jc w:val="lef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投资者可拨打基金管理人客户服务电话</w:t>
      </w:r>
      <w:r>
        <w:rPr>
          <w:rFonts w:asciiTheme="minorEastAsia" w:hAnsiTheme="minorEastAsia" w:cs="宋体" w:hint="eastAsia"/>
          <w:color w:val="2C2C2C"/>
          <w:kern w:val="0"/>
          <w:sz w:val="24"/>
          <w:szCs w:val="21"/>
        </w:rPr>
        <w:t>400-800-4800</w:t>
      </w:r>
      <w:r>
        <w:rPr>
          <w:rFonts w:asciiTheme="minorEastAsia" w:hAnsiTheme="minorEastAsia" w:cs="宋体" w:hint="eastAsia"/>
          <w:color w:val="2C2C2C"/>
          <w:kern w:val="0"/>
          <w:sz w:val="24"/>
          <w:szCs w:val="21"/>
        </w:rPr>
        <w:t>或登录网站</w:t>
      </w:r>
      <w:r>
        <w:rPr>
          <w:rFonts w:asciiTheme="minorEastAsia" w:hAnsiTheme="minorEastAsia" w:cs="宋体" w:hint="eastAsia"/>
          <w:color w:val="2C2C2C"/>
          <w:kern w:val="0"/>
          <w:sz w:val="24"/>
          <w:szCs w:val="21"/>
        </w:rPr>
        <w:t>fund.pingan.com</w:t>
      </w:r>
      <w:r>
        <w:rPr>
          <w:rFonts w:asciiTheme="minorEastAsia" w:hAnsiTheme="minorEastAsia" w:cs="宋体" w:hint="eastAsia"/>
          <w:color w:val="2C2C2C"/>
          <w:kern w:val="0"/>
          <w:sz w:val="24"/>
          <w:szCs w:val="21"/>
        </w:rPr>
        <w:t>咨询、了解相关情况。</w:t>
      </w:r>
    </w:p>
    <w:p w:rsidR="00941F02" w:rsidRDefault="00F618D0">
      <w:pPr>
        <w:autoSpaceDE w:val="0"/>
        <w:autoSpaceDN w:val="0"/>
        <w:adjustRightInd w:val="0"/>
        <w:spacing w:line="360" w:lineRule="auto"/>
        <w:ind w:firstLine="480"/>
        <w:jc w:val="lef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风险提示：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941F02" w:rsidRDefault="00F618D0">
      <w:pPr>
        <w:autoSpaceDE w:val="0"/>
        <w:autoSpaceDN w:val="0"/>
        <w:adjustRightInd w:val="0"/>
        <w:spacing w:line="360" w:lineRule="auto"/>
        <w:ind w:firstLine="480"/>
        <w:jc w:val="lef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特此公告。</w:t>
      </w:r>
    </w:p>
    <w:p w:rsidR="00941F02" w:rsidRDefault="00941F02">
      <w:pPr>
        <w:autoSpaceDE w:val="0"/>
        <w:autoSpaceDN w:val="0"/>
        <w:adjustRightInd w:val="0"/>
        <w:spacing w:line="360" w:lineRule="auto"/>
        <w:jc w:val="left"/>
        <w:rPr>
          <w:rFonts w:asciiTheme="minorEastAsia" w:hAnsiTheme="minorEastAsia" w:cs="宋体"/>
          <w:color w:val="2C2C2C"/>
          <w:kern w:val="0"/>
          <w:sz w:val="24"/>
          <w:szCs w:val="21"/>
        </w:rPr>
      </w:pPr>
    </w:p>
    <w:p w:rsidR="00941F02" w:rsidRDefault="00941F02">
      <w:pPr>
        <w:autoSpaceDE w:val="0"/>
        <w:autoSpaceDN w:val="0"/>
        <w:adjustRightInd w:val="0"/>
        <w:spacing w:line="360" w:lineRule="auto"/>
        <w:jc w:val="left"/>
        <w:rPr>
          <w:rFonts w:asciiTheme="minorEastAsia" w:hAnsiTheme="minorEastAsia" w:cs="宋体"/>
          <w:color w:val="2C2C2C"/>
          <w:kern w:val="0"/>
          <w:sz w:val="24"/>
          <w:szCs w:val="21"/>
        </w:rPr>
      </w:pPr>
    </w:p>
    <w:p w:rsidR="00941F02" w:rsidRDefault="00F618D0">
      <w:pPr>
        <w:autoSpaceDE w:val="0"/>
        <w:autoSpaceDN w:val="0"/>
        <w:adjustRightInd w:val="0"/>
        <w:spacing w:line="360" w:lineRule="auto"/>
        <w:jc w:val="right"/>
        <w:rPr>
          <w:rFonts w:asciiTheme="minorEastAsia" w:hAnsiTheme="minorEastAsia" w:cs="宋体"/>
          <w:color w:val="2C2C2C"/>
          <w:kern w:val="0"/>
          <w:sz w:val="24"/>
          <w:szCs w:val="21"/>
        </w:rPr>
      </w:pPr>
      <w:r>
        <w:rPr>
          <w:rFonts w:asciiTheme="minorEastAsia" w:hAnsiTheme="minorEastAsia" w:cs="宋体" w:hint="eastAsia"/>
          <w:color w:val="2C2C2C"/>
          <w:kern w:val="0"/>
          <w:sz w:val="24"/>
          <w:szCs w:val="21"/>
        </w:rPr>
        <w:t>平安基金管理有限公司</w:t>
      </w:r>
    </w:p>
    <w:p w:rsidR="00941F02" w:rsidRDefault="00F618D0">
      <w:pPr>
        <w:spacing w:line="360" w:lineRule="auto"/>
        <w:jc w:val="right"/>
        <w:rPr>
          <w:rFonts w:asciiTheme="minorEastAsia" w:hAnsiTheme="minorEastAsia"/>
          <w:sz w:val="24"/>
        </w:rPr>
      </w:pPr>
      <w:r>
        <w:rPr>
          <w:rFonts w:asciiTheme="minorEastAsia" w:hAnsiTheme="minorEastAsia" w:cs="宋体"/>
          <w:color w:val="2C2C2C"/>
          <w:kern w:val="0"/>
          <w:sz w:val="24"/>
          <w:szCs w:val="21"/>
        </w:rPr>
        <w:t>202</w:t>
      </w:r>
      <w:r>
        <w:rPr>
          <w:rFonts w:asciiTheme="minorEastAsia" w:hAnsiTheme="minorEastAsia" w:cs="宋体" w:hint="eastAsia"/>
          <w:color w:val="2C2C2C"/>
          <w:kern w:val="0"/>
          <w:sz w:val="24"/>
          <w:szCs w:val="21"/>
        </w:rPr>
        <w:t>6</w:t>
      </w:r>
      <w:r>
        <w:rPr>
          <w:rFonts w:asciiTheme="minorEastAsia" w:hAnsiTheme="minorEastAsia" w:cs="宋体" w:hint="eastAsia"/>
          <w:color w:val="2C2C2C"/>
          <w:kern w:val="0"/>
          <w:sz w:val="24"/>
          <w:szCs w:val="21"/>
        </w:rPr>
        <w:t>年</w:t>
      </w:r>
      <w:r>
        <w:rPr>
          <w:rFonts w:asciiTheme="minorEastAsia" w:hAnsiTheme="minorEastAsia" w:cs="宋体" w:hint="eastAsia"/>
          <w:color w:val="2C2C2C"/>
          <w:kern w:val="0"/>
          <w:sz w:val="24"/>
          <w:szCs w:val="21"/>
        </w:rPr>
        <w:t>2</w:t>
      </w:r>
      <w:r>
        <w:rPr>
          <w:rFonts w:asciiTheme="minorEastAsia" w:hAnsiTheme="minorEastAsia" w:cs="宋体" w:hint="eastAsia"/>
          <w:color w:val="2C2C2C"/>
          <w:kern w:val="0"/>
          <w:sz w:val="24"/>
          <w:szCs w:val="21"/>
        </w:rPr>
        <w:t>月</w:t>
      </w:r>
      <w:r>
        <w:rPr>
          <w:rFonts w:asciiTheme="minorEastAsia" w:hAnsiTheme="minorEastAsia" w:cs="宋体" w:hint="eastAsia"/>
          <w:color w:val="2C2C2C"/>
          <w:kern w:val="0"/>
          <w:sz w:val="24"/>
          <w:szCs w:val="21"/>
        </w:rPr>
        <w:t>3</w:t>
      </w:r>
      <w:r>
        <w:rPr>
          <w:rFonts w:asciiTheme="minorEastAsia" w:hAnsiTheme="minorEastAsia" w:cs="宋体" w:hint="eastAsia"/>
          <w:color w:val="2C2C2C"/>
          <w:kern w:val="0"/>
          <w:sz w:val="24"/>
          <w:szCs w:val="21"/>
        </w:rPr>
        <w:t>日</w:t>
      </w:r>
    </w:p>
    <w:sectPr w:rsidR="00941F02" w:rsidSect="00941F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YaHei-Bold">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4B6C"/>
    <w:rsid w:val="00036C96"/>
    <w:rsid w:val="00084DCF"/>
    <w:rsid w:val="000B05A7"/>
    <w:rsid w:val="000C3A35"/>
    <w:rsid w:val="000C7928"/>
    <w:rsid w:val="00120D10"/>
    <w:rsid w:val="00125237"/>
    <w:rsid w:val="0014139A"/>
    <w:rsid w:val="00167749"/>
    <w:rsid w:val="00185274"/>
    <w:rsid w:val="00203D90"/>
    <w:rsid w:val="00223300"/>
    <w:rsid w:val="0023193E"/>
    <w:rsid w:val="002A4592"/>
    <w:rsid w:val="002E1E01"/>
    <w:rsid w:val="002F1C1B"/>
    <w:rsid w:val="003046B3"/>
    <w:rsid w:val="00340F74"/>
    <w:rsid w:val="003611C2"/>
    <w:rsid w:val="00394900"/>
    <w:rsid w:val="003A6693"/>
    <w:rsid w:val="00427832"/>
    <w:rsid w:val="00447479"/>
    <w:rsid w:val="004B1CF4"/>
    <w:rsid w:val="004B4A92"/>
    <w:rsid w:val="004C0585"/>
    <w:rsid w:val="004D75B7"/>
    <w:rsid w:val="004F3293"/>
    <w:rsid w:val="00515A38"/>
    <w:rsid w:val="0052377C"/>
    <w:rsid w:val="005413C1"/>
    <w:rsid w:val="00546F82"/>
    <w:rsid w:val="00552BC3"/>
    <w:rsid w:val="00563571"/>
    <w:rsid w:val="005C1064"/>
    <w:rsid w:val="005E2D12"/>
    <w:rsid w:val="005F2C76"/>
    <w:rsid w:val="0064400A"/>
    <w:rsid w:val="00650AA6"/>
    <w:rsid w:val="00672FFB"/>
    <w:rsid w:val="00696CC7"/>
    <w:rsid w:val="006B5030"/>
    <w:rsid w:val="006D5E92"/>
    <w:rsid w:val="006F6B04"/>
    <w:rsid w:val="007033BC"/>
    <w:rsid w:val="00711321"/>
    <w:rsid w:val="00791D7E"/>
    <w:rsid w:val="0079770A"/>
    <w:rsid w:val="007A0221"/>
    <w:rsid w:val="007C553B"/>
    <w:rsid w:val="007F3B2A"/>
    <w:rsid w:val="00815388"/>
    <w:rsid w:val="008A4B6C"/>
    <w:rsid w:val="008D701F"/>
    <w:rsid w:val="008D73F5"/>
    <w:rsid w:val="008E1EE6"/>
    <w:rsid w:val="00941F02"/>
    <w:rsid w:val="009817B3"/>
    <w:rsid w:val="009A4F3D"/>
    <w:rsid w:val="009B0304"/>
    <w:rsid w:val="009B18CA"/>
    <w:rsid w:val="00A23A67"/>
    <w:rsid w:val="00A47BEF"/>
    <w:rsid w:val="00A55F35"/>
    <w:rsid w:val="00A631C6"/>
    <w:rsid w:val="00A87D66"/>
    <w:rsid w:val="00AA47AD"/>
    <w:rsid w:val="00AB37F6"/>
    <w:rsid w:val="00AF64D8"/>
    <w:rsid w:val="00B01E14"/>
    <w:rsid w:val="00B27B40"/>
    <w:rsid w:val="00B342AD"/>
    <w:rsid w:val="00B4262F"/>
    <w:rsid w:val="00B46BE6"/>
    <w:rsid w:val="00B573A6"/>
    <w:rsid w:val="00B771E4"/>
    <w:rsid w:val="00BA01E0"/>
    <w:rsid w:val="00BD3271"/>
    <w:rsid w:val="00C307F0"/>
    <w:rsid w:val="00C3138D"/>
    <w:rsid w:val="00C34670"/>
    <w:rsid w:val="00C51867"/>
    <w:rsid w:val="00C53CC7"/>
    <w:rsid w:val="00C57FF0"/>
    <w:rsid w:val="00C93DDE"/>
    <w:rsid w:val="00CB3050"/>
    <w:rsid w:val="00CC02BF"/>
    <w:rsid w:val="00CC57B6"/>
    <w:rsid w:val="00D244CE"/>
    <w:rsid w:val="00D8500D"/>
    <w:rsid w:val="00DC3833"/>
    <w:rsid w:val="00E03F2A"/>
    <w:rsid w:val="00E42814"/>
    <w:rsid w:val="00E83526"/>
    <w:rsid w:val="00E83FAB"/>
    <w:rsid w:val="00F1677C"/>
    <w:rsid w:val="00F618D0"/>
    <w:rsid w:val="00F678AF"/>
    <w:rsid w:val="00F77FDF"/>
    <w:rsid w:val="00FE6405"/>
    <w:rsid w:val="00FF6621"/>
    <w:rsid w:val="4F063322"/>
    <w:rsid w:val="52353901"/>
    <w:rsid w:val="54C03EE9"/>
    <w:rsid w:val="560C5AAF"/>
    <w:rsid w:val="57A02CEB"/>
    <w:rsid w:val="5D245401"/>
    <w:rsid w:val="60EE7AA6"/>
    <w:rsid w:val="780708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41F02"/>
    <w:pPr>
      <w:jc w:val="left"/>
    </w:pPr>
  </w:style>
  <w:style w:type="paragraph" w:styleId="a4">
    <w:name w:val="Balloon Text"/>
    <w:basedOn w:val="a"/>
    <w:link w:val="Char0"/>
    <w:uiPriority w:val="99"/>
    <w:semiHidden/>
    <w:unhideWhenUsed/>
    <w:qFormat/>
    <w:rsid w:val="00941F02"/>
    <w:rPr>
      <w:sz w:val="18"/>
      <w:szCs w:val="18"/>
    </w:rPr>
  </w:style>
  <w:style w:type="paragraph" w:styleId="a5">
    <w:name w:val="footer"/>
    <w:basedOn w:val="a"/>
    <w:link w:val="Char1"/>
    <w:uiPriority w:val="99"/>
    <w:unhideWhenUsed/>
    <w:qFormat/>
    <w:rsid w:val="00941F0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41F0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41F02"/>
    <w:rPr>
      <w:b/>
      <w:bCs/>
    </w:rPr>
  </w:style>
  <w:style w:type="character" w:styleId="a8">
    <w:name w:val="annotation reference"/>
    <w:basedOn w:val="a0"/>
    <w:uiPriority w:val="99"/>
    <w:semiHidden/>
    <w:unhideWhenUsed/>
    <w:qFormat/>
    <w:rsid w:val="00941F02"/>
    <w:rPr>
      <w:sz w:val="21"/>
      <w:szCs w:val="21"/>
    </w:rPr>
  </w:style>
  <w:style w:type="character" w:customStyle="1" w:styleId="Char2">
    <w:name w:val="页眉 Char"/>
    <w:basedOn w:val="a0"/>
    <w:link w:val="a6"/>
    <w:uiPriority w:val="99"/>
    <w:qFormat/>
    <w:rsid w:val="00941F02"/>
    <w:rPr>
      <w:sz w:val="18"/>
      <w:szCs w:val="18"/>
    </w:rPr>
  </w:style>
  <w:style w:type="character" w:customStyle="1" w:styleId="Char1">
    <w:name w:val="页脚 Char"/>
    <w:basedOn w:val="a0"/>
    <w:link w:val="a5"/>
    <w:uiPriority w:val="99"/>
    <w:qFormat/>
    <w:rsid w:val="00941F02"/>
    <w:rPr>
      <w:sz w:val="18"/>
      <w:szCs w:val="18"/>
    </w:rPr>
  </w:style>
  <w:style w:type="character" w:customStyle="1" w:styleId="Char">
    <w:name w:val="批注文字 Char"/>
    <w:basedOn w:val="a0"/>
    <w:link w:val="a3"/>
    <w:uiPriority w:val="99"/>
    <w:semiHidden/>
    <w:qFormat/>
    <w:rsid w:val="00941F02"/>
  </w:style>
  <w:style w:type="character" w:customStyle="1" w:styleId="Char3">
    <w:name w:val="批注主题 Char"/>
    <w:basedOn w:val="Char"/>
    <w:link w:val="a7"/>
    <w:uiPriority w:val="99"/>
    <w:semiHidden/>
    <w:qFormat/>
    <w:rsid w:val="00941F02"/>
    <w:rPr>
      <w:b/>
      <w:bCs/>
    </w:rPr>
  </w:style>
  <w:style w:type="character" w:customStyle="1" w:styleId="Char0">
    <w:name w:val="批注框文本 Char"/>
    <w:basedOn w:val="a0"/>
    <w:link w:val="a4"/>
    <w:uiPriority w:val="99"/>
    <w:semiHidden/>
    <w:qFormat/>
    <w:rsid w:val="00941F0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4</DocSecurity>
  <Lines>3</Lines>
  <Paragraphs>1</Paragraphs>
  <ScaleCrop>false</ScaleCrop>
  <Company>中国平安保险(集团)股份有限公司</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刘雪1609</dc:creator>
  <cp:lastModifiedBy>ZHONGM</cp:lastModifiedBy>
  <cp:revision>2</cp:revision>
  <cp:lastPrinted>2023-08-29T06:31:00Z</cp:lastPrinted>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5137C7A0EA514E049D158CA81AB03546</vt:lpwstr>
  </property>
</Properties>
</file>