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6D9" w:rsidRDefault="002A5AD5">
      <w:pPr>
        <w:pStyle w:val="2"/>
        <w:keepNext w:val="0"/>
        <w:spacing w:before="0" w:after="232"/>
        <w:jc w:val="center"/>
        <w:rPr>
          <w:rFonts w:ascii="Times New Roman" w:hAnsi="Times New Roman" w:cs="Times New Roman"/>
        </w:rPr>
      </w:pPr>
      <w:r>
        <w:rPr>
          <w:rFonts w:ascii="宋体" w:eastAsia="宋体" w:hAnsi="宋体" w:cs="宋体"/>
          <w:i w:val="0"/>
          <w:iCs w:val="0"/>
        </w:rPr>
        <w:t>华宝基金关于华宝中证港股通信息技术综合交易型开放式指数证券投资基金发起式联接基金新增代销机构的公告</w:t>
      </w:r>
    </w:p>
    <w:p w:rsidR="000616D9" w:rsidRDefault="002A5AD5">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）与国信证券股份有限公司（以下简称</w:t>
      </w:r>
      <w:r>
        <w:rPr>
          <w:rFonts w:ascii="宋体" w:eastAsia="宋体" w:hAnsi="宋体" w:cs="宋体"/>
          <w:sz w:val="21"/>
          <w:szCs w:val="21"/>
        </w:rPr>
        <w:t>“</w:t>
      </w:r>
      <w:r>
        <w:rPr>
          <w:rFonts w:ascii="宋体" w:eastAsia="宋体" w:hAnsi="宋体" w:cs="宋体"/>
          <w:sz w:val="21"/>
          <w:szCs w:val="21"/>
        </w:rPr>
        <w:t>国信证券</w:t>
      </w:r>
      <w:r>
        <w:rPr>
          <w:rFonts w:ascii="宋体" w:eastAsia="宋体" w:hAnsi="宋体" w:cs="宋体"/>
          <w:sz w:val="21"/>
          <w:szCs w:val="21"/>
        </w:rPr>
        <w:t>”</w:t>
      </w:r>
      <w:r>
        <w:rPr>
          <w:rFonts w:ascii="宋体" w:eastAsia="宋体" w:hAnsi="宋体" w:cs="宋体"/>
          <w:sz w:val="21"/>
          <w:szCs w:val="21"/>
        </w:rPr>
        <w:t>）、中国银河证券股份有限公司（以下简称</w:t>
      </w:r>
      <w:r>
        <w:rPr>
          <w:rFonts w:ascii="宋体" w:eastAsia="宋体" w:hAnsi="宋体" w:cs="宋体"/>
          <w:sz w:val="21"/>
          <w:szCs w:val="21"/>
        </w:rPr>
        <w:t>“</w:t>
      </w:r>
      <w:r>
        <w:rPr>
          <w:rFonts w:ascii="宋体" w:eastAsia="宋体" w:hAnsi="宋体" w:cs="宋体"/>
          <w:sz w:val="21"/>
          <w:szCs w:val="21"/>
        </w:rPr>
        <w:t>银河证券</w:t>
      </w:r>
      <w:r>
        <w:rPr>
          <w:rFonts w:ascii="宋体" w:eastAsia="宋体" w:hAnsi="宋体" w:cs="宋体"/>
          <w:sz w:val="21"/>
          <w:szCs w:val="21"/>
        </w:rPr>
        <w:t>”</w:t>
      </w:r>
      <w:r>
        <w:rPr>
          <w:rFonts w:ascii="宋体" w:eastAsia="宋体" w:hAnsi="宋体" w:cs="宋体"/>
          <w:sz w:val="21"/>
          <w:szCs w:val="21"/>
        </w:rPr>
        <w:t>）、东吴证券股份有限公司（以下简称</w:t>
      </w:r>
      <w:r>
        <w:rPr>
          <w:rFonts w:ascii="宋体" w:eastAsia="宋体" w:hAnsi="宋体" w:cs="宋体"/>
          <w:sz w:val="21"/>
          <w:szCs w:val="21"/>
        </w:rPr>
        <w:t>“</w:t>
      </w:r>
      <w:r>
        <w:rPr>
          <w:rFonts w:ascii="宋体" w:eastAsia="宋体" w:hAnsi="宋体" w:cs="宋体"/>
          <w:sz w:val="21"/>
          <w:szCs w:val="21"/>
        </w:rPr>
        <w:t>东吴证券</w:t>
      </w:r>
      <w:r>
        <w:rPr>
          <w:rFonts w:ascii="宋体" w:eastAsia="宋体" w:hAnsi="宋体" w:cs="宋体"/>
          <w:sz w:val="21"/>
          <w:szCs w:val="21"/>
        </w:rPr>
        <w:t>”</w:t>
      </w:r>
      <w:r>
        <w:rPr>
          <w:rFonts w:ascii="宋体" w:eastAsia="宋体" w:hAnsi="宋体" w:cs="宋体"/>
          <w:sz w:val="21"/>
          <w:szCs w:val="21"/>
        </w:rPr>
        <w:t>）、东北证券股份有限公司（以下简称</w:t>
      </w:r>
      <w:r>
        <w:rPr>
          <w:rFonts w:ascii="宋体" w:eastAsia="宋体" w:hAnsi="宋体" w:cs="宋体"/>
          <w:sz w:val="21"/>
          <w:szCs w:val="21"/>
        </w:rPr>
        <w:t>“</w:t>
      </w:r>
      <w:r>
        <w:rPr>
          <w:rFonts w:ascii="宋体" w:eastAsia="宋体" w:hAnsi="宋体" w:cs="宋体"/>
          <w:sz w:val="21"/>
          <w:szCs w:val="21"/>
        </w:rPr>
        <w:t>东北证券</w:t>
      </w:r>
      <w:r>
        <w:rPr>
          <w:rFonts w:ascii="宋体" w:eastAsia="宋体" w:hAnsi="宋体" w:cs="宋体"/>
          <w:sz w:val="21"/>
          <w:szCs w:val="21"/>
        </w:rPr>
        <w:t>”</w:t>
      </w:r>
      <w:r>
        <w:rPr>
          <w:rFonts w:ascii="宋体" w:eastAsia="宋体" w:hAnsi="宋体" w:cs="宋体"/>
          <w:sz w:val="21"/>
          <w:szCs w:val="21"/>
        </w:rPr>
        <w:t>）、南京证券股份有限公司（以下简称</w:t>
      </w:r>
      <w:r>
        <w:rPr>
          <w:rFonts w:ascii="宋体" w:eastAsia="宋体" w:hAnsi="宋体" w:cs="宋体"/>
          <w:sz w:val="21"/>
          <w:szCs w:val="21"/>
        </w:rPr>
        <w:t>“</w:t>
      </w:r>
      <w:r>
        <w:rPr>
          <w:rFonts w:ascii="宋体" w:eastAsia="宋体" w:hAnsi="宋体" w:cs="宋体"/>
          <w:sz w:val="21"/>
          <w:szCs w:val="21"/>
        </w:rPr>
        <w:t>南京证券</w:t>
      </w:r>
      <w:r>
        <w:rPr>
          <w:rFonts w:ascii="宋体" w:eastAsia="宋体" w:hAnsi="宋体" w:cs="宋体"/>
          <w:sz w:val="21"/>
          <w:szCs w:val="21"/>
        </w:rPr>
        <w:t>”</w:t>
      </w:r>
      <w:r>
        <w:rPr>
          <w:rFonts w:ascii="宋体" w:eastAsia="宋体" w:hAnsi="宋体" w:cs="宋体"/>
          <w:sz w:val="21"/>
          <w:szCs w:val="21"/>
        </w:rPr>
        <w:t>）、上海证券有限责任公司（以下简称</w:t>
      </w:r>
      <w:r>
        <w:rPr>
          <w:rFonts w:ascii="宋体" w:eastAsia="宋体" w:hAnsi="宋体" w:cs="宋体"/>
          <w:sz w:val="21"/>
          <w:szCs w:val="21"/>
        </w:rPr>
        <w:t>“</w:t>
      </w:r>
      <w:r>
        <w:rPr>
          <w:rFonts w:ascii="宋体" w:eastAsia="宋体" w:hAnsi="宋体" w:cs="宋体"/>
          <w:sz w:val="21"/>
          <w:szCs w:val="21"/>
        </w:rPr>
        <w:t>上海证券</w:t>
      </w:r>
      <w:r>
        <w:rPr>
          <w:rFonts w:ascii="宋体" w:eastAsia="宋体" w:hAnsi="宋体" w:cs="宋体"/>
          <w:sz w:val="21"/>
          <w:szCs w:val="21"/>
        </w:rPr>
        <w:t>”</w:t>
      </w:r>
      <w:r>
        <w:rPr>
          <w:rFonts w:ascii="宋体" w:eastAsia="宋体" w:hAnsi="宋体" w:cs="宋体"/>
          <w:sz w:val="21"/>
          <w:szCs w:val="21"/>
        </w:rPr>
        <w:t>）、国都证券股份有限公司（以下简称</w:t>
      </w:r>
      <w:r>
        <w:rPr>
          <w:rFonts w:ascii="宋体" w:eastAsia="宋体" w:hAnsi="宋体" w:cs="宋体"/>
          <w:sz w:val="21"/>
          <w:szCs w:val="21"/>
        </w:rPr>
        <w:t>“</w:t>
      </w:r>
      <w:r>
        <w:rPr>
          <w:rFonts w:ascii="宋体" w:eastAsia="宋体" w:hAnsi="宋体" w:cs="宋体"/>
          <w:sz w:val="21"/>
          <w:szCs w:val="21"/>
        </w:rPr>
        <w:t>国都证券</w:t>
      </w:r>
      <w:r>
        <w:rPr>
          <w:rFonts w:ascii="宋体" w:eastAsia="宋体" w:hAnsi="宋体" w:cs="宋体"/>
          <w:sz w:val="21"/>
          <w:szCs w:val="21"/>
        </w:rPr>
        <w:t>”</w:t>
      </w:r>
      <w:r>
        <w:rPr>
          <w:rFonts w:ascii="宋体" w:eastAsia="宋体" w:hAnsi="宋体" w:cs="宋体"/>
          <w:sz w:val="21"/>
          <w:szCs w:val="21"/>
        </w:rPr>
        <w:t>）、第一创业证券股份有限公司（以下简称</w:t>
      </w:r>
      <w:r>
        <w:rPr>
          <w:rFonts w:ascii="宋体" w:eastAsia="宋体" w:hAnsi="宋体" w:cs="宋体"/>
          <w:sz w:val="21"/>
          <w:szCs w:val="21"/>
        </w:rPr>
        <w:t>“</w:t>
      </w:r>
      <w:r>
        <w:rPr>
          <w:rFonts w:ascii="宋体" w:eastAsia="宋体" w:hAnsi="宋体" w:cs="宋体"/>
          <w:sz w:val="21"/>
          <w:szCs w:val="21"/>
        </w:rPr>
        <w:t>第一创业</w:t>
      </w:r>
      <w:r>
        <w:rPr>
          <w:rFonts w:ascii="宋体" w:eastAsia="宋体" w:hAnsi="宋体" w:cs="宋体"/>
          <w:sz w:val="21"/>
          <w:szCs w:val="21"/>
        </w:rPr>
        <w:t>”</w:t>
      </w:r>
      <w:r>
        <w:rPr>
          <w:rFonts w:ascii="宋体" w:eastAsia="宋体" w:hAnsi="宋体" w:cs="宋体"/>
          <w:sz w:val="21"/>
          <w:szCs w:val="21"/>
        </w:rPr>
        <w:t>）、华福证券有限责任公司（以下简称</w:t>
      </w:r>
      <w:r>
        <w:rPr>
          <w:rFonts w:ascii="宋体" w:eastAsia="宋体" w:hAnsi="宋体" w:cs="宋体"/>
          <w:sz w:val="21"/>
          <w:szCs w:val="21"/>
        </w:rPr>
        <w:t>“</w:t>
      </w:r>
      <w:r>
        <w:rPr>
          <w:rFonts w:ascii="宋体" w:eastAsia="宋体" w:hAnsi="宋体" w:cs="宋体"/>
          <w:sz w:val="21"/>
          <w:szCs w:val="21"/>
        </w:rPr>
        <w:t>华福证券</w:t>
      </w:r>
      <w:r>
        <w:rPr>
          <w:rFonts w:ascii="宋体" w:eastAsia="宋体" w:hAnsi="宋体" w:cs="宋体"/>
          <w:sz w:val="21"/>
          <w:szCs w:val="21"/>
        </w:rPr>
        <w:t>”</w:t>
      </w:r>
      <w:r>
        <w:rPr>
          <w:rFonts w:ascii="宋体" w:eastAsia="宋体" w:hAnsi="宋体" w:cs="宋体"/>
          <w:sz w:val="21"/>
          <w:szCs w:val="21"/>
        </w:rPr>
        <w:t>）、财通证券股份有限公司（以下简称</w:t>
      </w:r>
      <w:r>
        <w:rPr>
          <w:rFonts w:ascii="宋体" w:eastAsia="宋体" w:hAnsi="宋体" w:cs="宋体"/>
          <w:sz w:val="21"/>
          <w:szCs w:val="21"/>
        </w:rPr>
        <w:t>“</w:t>
      </w:r>
      <w:r>
        <w:rPr>
          <w:rFonts w:ascii="宋体" w:eastAsia="宋体" w:hAnsi="宋体" w:cs="宋体"/>
          <w:sz w:val="21"/>
          <w:szCs w:val="21"/>
        </w:rPr>
        <w:t>财通证券</w:t>
      </w:r>
      <w:r>
        <w:rPr>
          <w:rFonts w:ascii="宋体" w:eastAsia="宋体" w:hAnsi="宋体" w:cs="宋体"/>
          <w:sz w:val="21"/>
          <w:szCs w:val="21"/>
        </w:rPr>
        <w:t>”</w:t>
      </w:r>
      <w:r>
        <w:rPr>
          <w:rFonts w:ascii="宋体" w:eastAsia="宋体" w:hAnsi="宋体" w:cs="宋体"/>
          <w:sz w:val="21"/>
          <w:szCs w:val="21"/>
        </w:rPr>
        <w:t>）、万和证券股份有限公司（以下简称</w:t>
      </w:r>
      <w:r>
        <w:rPr>
          <w:rFonts w:ascii="宋体" w:eastAsia="宋体" w:hAnsi="宋体" w:cs="宋体"/>
          <w:sz w:val="21"/>
          <w:szCs w:val="21"/>
        </w:rPr>
        <w:t>“</w:t>
      </w:r>
      <w:r>
        <w:rPr>
          <w:rFonts w:ascii="宋体" w:eastAsia="宋体" w:hAnsi="宋体" w:cs="宋体"/>
          <w:sz w:val="21"/>
          <w:szCs w:val="21"/>
        </w:rPr>
        <w:t>万和证券</w:t>
      </w:r>
      <w:r>
        <w:rPr>
          <w:rFonts w:ascii="宋体" w:eastAsia="宋体" w:hAnsi="宋体" w:cs="宋体"/>
          <w:sz w:val="21"/>
          <w:szCs w:val="21"/>
        </w:rPr>
        <w:t>”</w:t>
      </w:r>
      <w:r>
        <w:rPr>
          <w:rFonts w:ascii="宋体" w:eastAsia="宋体" w:hAnsi="宋体" w:cs="宋体"/>
          <w:sz w:val="21"/>
          <w:szCs w:val="21"/>
        </w:rPr>
        <w:t>）、开源证券股份有限公司（以下简称</w:t>
      </w:r>
      <w:r>
        <w:rPr>
          <w:rFonts w:ascii="宋体" w:eastAsia="宋体" w:hAnsi="宋体" w:cs="宋体"/>
          <w:sz w:val="21"/>
          <w:szCs w:val="21"/>
        </w:rPr>
        <w:t>“</w:t>
      </w:r>
      <w:r>
        <w:rPr>
          <w:rFonts w:ascii="宋体" w:eastAsia="宋体" w:hAnsi="宋体" w:cs="宋体"/>
          <w:sz w:val="21"/>
          <w:szCs w:val="21"/>
        </w:rPr>
        <w:t>开源证券</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2026</w:t>
      </w:r>
      <w:r>
        <w:rPr>
          <w:rFonts w:ascii="宋体" w:eastAsia="宋体" w:hAnsi="宋体" w:cs="宋体"/>
          <w:sz w:val="21"/>
          <w:szCs w:val="21"/>
        </w:rPr>
        <w:t>年</w:t>
      </w:r>
      <w:r>
        <w:rPr>
          <w:rFonts w:ascii="宋体" w:eastAsia="宋体" w:hAnsi="宋体" w:cs="宋体"/>
          <w:sz w:val="21"/>
          <w:szCs w:val="21"/>
        </w:rPr>
        <w:t>02</w:t>
      </w:r>
      <w:r>
        <w:rPr>
          <w:rFonts w:ascii="宋体" w:eastAsia="宋体" w:hAnsi="宋体" w:cs="宋体"/>
          <w:sz w:val="21"/>
          <w:szCs w:val="21"/>
        </w:rPr>
        <w:t>月</w:t>
      </w:r>
      <w:r>
        <w:rPr>
          <w:rFonts w:ascii="宋体" w:eastAsia="宋体" w:hAnsi="宋体" w:cs="宋体"/>
          <w:sz w:val="21"/>
          <w:szCs w:val="21"/>
        </w:rPr>
        <w:t>02</w:t>
      </w:r>
      <w:r>
        <w:rPr>
          <w:rFonts w:ascii="宋体" w:eastAsia="宋体" w:hAnsi="宋体" w:cs="宋体"/>
          <w:sz w:val="21"/>
          <w:szCs w:val="21"/>
        </w:rPr>
        <w:t>日起增加国信证券、银河证券、东吴证券、东北证券、南京证券、上海证券、国都证券、第一创业、华福证券、财通证券、万和证券、开源证券为华宝中证港股通信息技术综合交易型开放式指数证券投资基金发起式联接基金（华宝中证港股通信息技术</w:t>
      </w:r>
      <w:r>
        <w:rPr>
          <w:rFonts w:ascii="宋体" w:eastAsia="宋体" w:hAnsi="宋体" w:cs="宋体"/>
          <w:sz w:val="21"/>
          <w:szCs w:val="21"/>
        </w:rPr>
        <w:t>ETF</w:t>
      </w:r>
      <w:r>
        <w:rPr>
          <w:rFonts w:ascii="宋体" w:eastAsia="宋体" w:hAnsi="宋体" w:cs="宋体"/>
          <w:sz w:val="21"/>
          <w:szCs w:val="21"/>
        </w:rPr>
        <w:t>发起联接</w:t>
      </w:r>
      <w:r>
        <w:rPr>
          <w:rFonts w:ascii="宋体" w:eastAsia="宋体" w:hAnsi="宋体" w:cs="宋体"/>
          <w:sz w:val="21"/>
          <w:szCs w:val="21"/>
        </w:rPr>
        <w:t>:026755</w:t>
      </w:r>
      <w:r>
        <w:rPr>
          <w:rFonts w:ascii="宋体" w:eastAsia="宋体" w:hAnsi="宋体" w:cs="宋体"/>
          <w:sz w:val="21"/>
          <w:szCs w:val="21"/>
        </w:rPr>
        <w:t>）的</w:t>
      </w:r>
      <w:r>
        <w:rPr>
          <w:rFonts w:ascii="宋体" w:eastAsia="宋体" w:hAnsi="宋体" w:cs="宋体"/>
          <w:sz w:val="21"/>
          <w:szCs w:val="21"/>
        </w:rPr>
        <w:t>代销机构。投资者可通过上述代销机构办理华宝中证港股通信息技术综合交易型开放式指数证券投资基金发起式联接基金的开户、认购、申赎及其他业务。</w:t>
      </w:r>
      <w:r>
        <w:rPr>
          <w:rFonts w:ascii="宋体" w:eastAsia="宋体" w:hAnsi="宋体" w:cs="宋体"/>
          <w:sz w:val="21"/>
          <w:szCs w:val="21"/>
        </w:rPr>
        <w:t xml:space="preserve"> </w:t>
      </w:r>
    </w:p>
    <w:p w:rsidR="000616D9" w:rsidRDefault="002A5AD5">
      <w:pPr>
        <w:spacing w:before="210" w:after="210" w:line="560" w:lineRule="atLeast"/>
        <w:ind w:left="420"/>
        <w:rPr>
          <w:sz w:val="21"/>
          <w:szCs w:val="21"/>
        </w:rPr>
      </w:pPr>
      <w:r>
        <w:rPr>
          <w:rFonts w:ascii="宋体" w:eastAsia="宋体" w:hAnsi="宋体" w:cs="宋体"/>
          <w:sz w:val="21"/>
          <w:szCs w:val="21"/>
        </w:rPr>
        <w:t>投资者可通过以下途径咨询具体业务：</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）国信证券股份有限公司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95536</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www.guosen.com.cn</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）中国银河证券股份有限公司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4008888888</w:t>
      </w:r>
      <w:r>
        <w:rPr>
          <w:rFonts w:ascii="宋体" w:eastAsia="宋体" w:hAnsi="宋体" w:cs="宋体"/>
          <w:sz w:val="21"/>
          <w:szCs w:val="21"/>
        </w:rPr>
        <w:t>或</w:t>
      </w:r>
      <w:r>
        <w:rPr>
          <w:rFonts w:ascii="宋体" w:eastAsia="宋体" w:hAnsi="宋体" w:cs="宋体"/>
          <w:sz w:val="21"/>
          <w:szCs w:val="21"/>
        </w:rPr>
        <w:t>95551</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www.chinastock.com.cn</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3</w:t>
      </w:r>
      <w:r>
        <w:rPr>
          <w:rFonts w:ascii="宋体" w:eastAsia="宋体" w:hAnsi="宋体" w:cs="宋体"/>
          <w:sz w:val="21"/>
          <w:szCs w:val="21"/>
        </w:rPr>
        <w:t>）东吴证券股份有限公司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95330</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www.dwz</w:t>
      </w:r>
      <w:r>
        <w:rPr>
          <w:rFonts w:ascii="宋体" w:eastAsia="宋体" w:hAnsi="宋体" w:cs="宋体"/>
          <w:sz w:val="21"/>
          <w:szCs w:val="21"/>
        </w:rPr>
        <w:t>q.com.cn</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4</w:t>
      </w:r>
      <w:r>
        <w:rPr>
          <w:rFonts w:ascii="宋体" w:eastAsia="宋体" w:hAnsi="宋体" w:cs="宋体"/>
          <w:sz w:val="21"/>
          <w:szCs w:val="21"/>
        </w:rPr>
        <w:t>）东北证券股份有限公司</w:t>
      </w:r>
      <w:r>
        <w:rPr>
          <w:rFonts w:ascii="宋体" w:eastAsia="宋体" w:hAnsi="宋体" w:cs="宋体"/>
          <w:sz w:val="21"/>
          <w:szCs w:val="21"/>
        </w:rPr>
        <w:br/>
      </w:r>
      <w:r>
        <w:rPr>
          <w:rFonts w:ascii="宋体" w:eastAsia="宋体" w:hAnsi="宋体" w:cs="宋体"/>
          <w:sz w:val="21"/>
          <w:szCs w:val="21"/>
        </w:rPr>
        <w:lastRenderedPageBreak/>
        <w:t>  </w:t>
      </w:r>
      <w:r>
        <w:rPr>
          <w:rFonts w:ascii="宋体" w:eastAsia="宋体" w:hAnsi="宋体" w:cs="宋体"/>
          <w:sz w:val="21"/>
          <w:szCs w:val="21"/>
        </w:rPr>
        <w:t>客户服务电话：</w:t>
      </w:r>
      <w:r>
        <w:rPr>
          <w:rFonts w:ascii="宋体" w:eastAsia="宋体" w:hAnsi="宋体" w:cs="宋体"/>
          <w:sz w:val="21"/>
          <w:szCs w:val="21"/>
        </w:rPr>
        <w:t>95360</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www.nesc.cn</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5</w:t>
      </w:r>
      <w:r>
        <w:rPr>
          <w:rFonts w:ascii="宋体" w:eastAsia="宋体" w:hAnsi="宋体" w:cs="宋体"/>
          <w:sz w:val="21"/>
          <w:szCs w:val="21"/>
        </w:rPr>
        <w:t>）南京证券股份有限公司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95386</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www.njzq.com.cn</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6</w:t>
      </w:r>
      <w:r>
        <w:rPr>
          <w:rFonts w:ascii="宋体" w:eastAsia="宋体" w:hAnsi="宋体" w:cs="宋体"/>
          <w:sz w:val="21"/>
          <w:szCs w:val="21"/>
        </w:rPr>
        <w:t>）上海证券有限责任公司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4008918918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www.shzq.com</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7</w:t>
      </w:r>
      <w:r>
        <w:rPr>
          <w:rFonts w:ascii="宋体" w:eastAsia="宋体" w:hAnsi="宋体" w:cs="宋体"/>
          <w:sz w:val="21"/>
          <w:szCs w:val="21"/>
        </w:rPr>
        <w:t>）国都证券股份有限公司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400-818-8118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www.guodu.com</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8</w:t>
      </w:r>
      <w:r>
        <w:rPr>
          <w:rFonts w:ascii="宋体" w:eastAsia="宋体" w:hAnsi="宋体" w:cs="宋体"/>
          <w:sz w:val="21"/>
          <w:szCs w:val="21"/>
        </w:rPr>
        <w:t>）第一创业证券股份有限公司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95358</w:t>
      </w:r>
      <w:r>
        <w:rPr>
          <w:rFonts w:ascii="宋体" w:eastAsia="宋体" w:hAnsi="宋体" w:cs="宋体"/>
          <w:sz w:val="21"/>
          <w:szCs w:val="21"/>
        </w:rPr>
        <w:br/>
        <w:t>  </w:t>
      </w:r>
      <w:r>
        <w:rPr>
          <w:rFonts w:ascii="宋体" w:eastAsia="宋体" w:hAnsi="宋体" w:cs="宋体"/>
          <w:sz w:val="21"/>
          <w:szCs w:val="21"/>
        </w:rPr>
        <w:t>公司网</w:t>
      </w:r>
      <w:r>
        <w:rPr>
          <w:rFonts w:ascii="宋体" w:eastAsia="宋体" w:hAnsi="宋体" w:cs="宋体"/>
          <w:sz w:val="21"/>
          <w:szCs w:val="21"/>
        </w:rPr>
        <w:t>址：</w:t>
      </w:r>
      <w:r>
        <w:rPr>
          <w:rFonts w:ascii="宋体" w:eastAsia="宋体" w:hAnsi="宋体" w:cs="宋体"/>
          <w:sz w:val="21"/>
          <w:szCs w:val="21"/>
        </w:rPr>
        <w:t>www.firstcapital.com.cn</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9</w:t>
      </w:r>
      <w:r>
        <w:rPr>
          <w:rFonts w:ascii="宋体" w:eastAsia="宋体" w:hAnsi="宋体" w:cs="宋体"/>
          <w:sz w:val="21"/>
          <w:szCs w:val="21"/>
        </w:rPr>
        <w:t>）华福证券有限责任公司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95547</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 xml:space="preserve">www.hfzq.com.cn </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10</w:t>
      </w:r>
      <w:r>
        <w:rPr>
          <w:rFonts w:ascii="宋体" w:eastAsia="宋体" w:hAnsi="宋体" w:cs="宋体"/>
          <w:sz w:val="21"/>
          <w:szCs w:val="21"/>
        </w:rPr>
        <w:t>）财通证券股份有限公司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95336</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www.ctsec.com</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11</w:t>
      </w:r>
      <w:r>
        <w:rPr>
          <w:rFonts w:ascii="宋体" w:eastAsia="宋体" w:hAnsi="宋体" w:cs="宋体"/>
          <w:sz w:val="21"/>
          <w:szCs w:val="21"/>
        </w:rPr>
        <w:t>）万和证券股份有限公司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4008-882-882</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http://www.vanho.cn/main/views/index/index.html</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12</w:t>
      </w:r>
      <w:r>
        <w:rPr>
          <w:rFonts w:ascii="宋体" w:eastAsia="宋体" w:hAnsi="宋体" w:cs="宋体"/>
          <w:sz w:val="21"/>
          <w:szCs w:val="21"/>
        </w:rPr>
        <w:t>）开源证券股份有限公司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95325</w:t>
      </w:r>
      <w:r>
        <w:rPr>
          <w:rFonts w:ascii="宋体" w:eastAsia="宋体" w:hAnsi="宋体" w:cs="宋体"/>
          <w:sz w:val="21"/>
          <w:szCs w:val="21"/>
        </w:rPr>
        <w:br/>
      </w:r>
      <w:r>
        <w:rPr>
          <w:rFonts w:ascii="宋体" w:eastAsia="宋体" w:hAnsi="宋体" w:cs="宋体"/>
          <w:sz w:val="21"/>
          <w:szCs w:val="21"/>
        </w:rPr>
        <w:lastRenderedPageBreak/>
        <w:t>  </w:t>
      </w:r>
      <w:r>
        <w:rPr>
          <w:rFonts w:ascii="宋体" w:eastAsia="宋体" w:hAnsi="宋体" w:cs="宋体"/>
          <w:sz w:val="21"/>
          <w:szCs w:val="21"/>
        </w:rPr>
        <w:t>公司</w:t>
      </w:r>
      <w:r>
        <w:rPr>
          <w:rFonts w:ascii="宋体" w:eastAsia="宋体" w:hAnsi="宋体" w:cs="宋体"/>
          <w:sz w:val="21"/>
          <w:szCs w:val="21"/>
        </w:rPr>
        <w:t>网址：</w:t>
      </w:r>
      <w:r>
        <w:rPr>
          <w:rFonts w:ascii="宋体" w:eastAsia="宋体" w:hAnsi="宋体" w:cs="宋体"/>
          <w:sz w:val="21"/>
          <w:szCs w:val="21"/>
        </w:rPr>
        <w:t>www.kysec.cn</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13</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0616D9" w:rsidRDefault="002A5AD5">
      <w:pPr>
        <w:spacing w:before="210" w:after="210" w:line="560" w:lineRule="atLeast"/>
        <w:ind w:firstLine="420"/>
        <w:rPr>
          <w:sz w:val="21"/>
          <w:szCs w:val="21"/>
        </w:rPr>
      </w:pPr>
      <w:r>
        <w:rPr>
          <w:rFonts w:ascii="宋体" w:eastAsia="宋体" w:hAnsi="宋体" w:cs="宋体"/>
          <w:sz w:val="21"/>
          <w:szCs w:val="21"/>
        </w:rPr>
        <w:t>风险提示：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w:t>
      </w:r>
      <w:r>
        <w:rPr>
          <w:rFonts w:ascii="宋体" w:eastAsia="宋体" w:hAnsi="宋体" w:cs="宋体"/>
          <w:sz w:val="21"/>
          <w:szCs w:val="21"/>
        </w:rPr>
        <w:t xml:space="preserve"> </w:t>
      </w:r>
    </w:p>
    <w:p w:rsidR="000616D9" w:rsidRDefault="002A5AD5">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0616D9" w:rsidRDefault="002A5AD5">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2026</w:t>
      </w:r>
      <w:r>
        <w:rPr>
          <w:rFonts w:ascii="宋体" w:eastAsia="宋体" w:hAnsi="宋体" w:cs="宋体"/>
          <w:sz w:val="21"/>
          <w:szCs w:val="21"/>
        </w:rPr>
        <w:t>年</w:t>
      </w:r>
      <w:r>
        <w:rPr>
          <w:rFonts w:ascii="宋体" w:eastAsia="宋体" w:hAnsi="宋体" w:cs="宋体"/>
          <w:sz w:val="21"/>
          <w:szCs w:val="21"/>
        </w:rPr>
        <w:t>02</w:t>
      </w:r>
      <w:r>
        <w:rPr>
          <w:rFonts w:ascii="宋体" w:eastAsia="宋体" w:hAnsi="宋体" w:cs="宋体"/>
          <w:sz w:val="21"/>
          <w:szCs w:val="21"/>
        </w:rPr>
        <w:t>月</w:t>
      </w:r>
      <w:r>
        <w:rPr>
          <w:rFonts w:ascii="宋体" w:eastAsia="宋体" w:hAnsi="宋体" w:cs="宋体"/>
          <w:sz w:val="21"/>
          <w:szCs w:val="21"/>
        </w:rPr>
        <w:t>02</w:t>
      </w:r>
      <w:r>
        <w:rPr>
          <w:rFonts w:ascii="宋体" w:eastAsia="宋体" w:hAnsi="宋体" w:cs="宋体"/>
          <w:sz w:val="21"/>
          <w:szCs w:val="21"/>
        </w:rPr>
        <w:t>日</w:t>
      </w:r>
      <w:r>
        <w:rPr>
          <w:rFonts w:ascii="宋体" w:eastAsia="宋体" w:hAnsi="宋体" w:cs="宋体"/>
          <w:sz w:val="21"/>
          <w:szCs w:val="21"/>
        </w:rPr>
        <w:t xml:space="preserve"> </w:t>
      </w:r>
    </w:p>
    <w:p w:rsidR="000616D9" w:rsidRDefault="000616D9">
      <w:pPr>
        <w:spacing w:before="240" w:after="240"/>
      </w:pPr>
    </w:p>
    <w:sectPr w:rsidR="000616D9" w:rsidSect="000616D9">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6D9" w:rsidRDefault="000616D9" w:rsidP="000616D9">
      <w:r>
        <w:separator/>
      </w:r>
    </w:p>
  </w:endnote>
  <w:endnote w:type="continuationSeparator" w:id="0">
    <w:p w:rsidR="000616D9" w:rsidRDefault="000616D9" w:rsidP="000616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6D9" w:rsidRDefault="000616D9">
    <w:pPr>
      <w:jc w:val="center"/>
      <w:rPr>
        <w:sz w:val="20"/>
      </w:rPr>
    </w:pPr>
    <w:r>
      <w:rPr>
        <w:sz w:val="20"/>
      </w:rPr>
      <w:fldChar w:fldCharType="begin"/>
    </w:r>
    <w:r w:rsidR="002A5AD5">
      <w:rPr>
        <w:rFonts w:ascii="宋体" w:eastAsia="宋体" w:hAnsi="宋体" w:cs="宋体"/>
        <w:sz w:val="20"/>
      </w:rPr>
      <w:instrText>PAGE</w:instrText>
    </w:r>
    <w:r>
      <w:rPr>
        <w:sz w:val="20"/>
      </w:rPr>
      <w:fldChar w:fldCharType="separate"/>
    </w:r>
    <w:r w:rsidR="002A5AD5">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6D9" w:rsidRDefault="000616D9" w:rsidP="000616D9">
      <w:r>
        <w:separator/>
      </w:r>
    </w:p>
  </w:footnote>
  <w:footnote w:type="continuationSeparator" w:id="0">
    <w:p w:rsidR="000616D9" w:rsidRDefault="000616D9" w:rsidP="000616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616D9"/>
    <w:rsid w:val="002A5AD5"/>
    <w:rsid w:val="00A77B3E"/>
    <w:rsid w:val="00CA2A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16D9"/>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226</Words>
  <Characters>1289</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2026-02-01T16:00:00Z</dcterms:created>
  <dcterms:modified xsi:type="dcterms:W3CDTF">2026-02-01T16:00:00Z</dcterms:modified>
</cp:coreProperties>
</file>