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EE" w:rsidRDefault="00472C46">
      <w:pPr>
        <w:widowControl/>
        <w:spacing w:before="100" w:beforeAutospacing="1" w:after="375" w:line="360" w:lineRule="atLeast"/>
        <w:jc w:val="center"/>
        <w:rPr>
          <w:rFonts w:ascii="Times New Roman" w:eastAsia="宋体" w:hAnsi="Times New Roman" w:cs="Arial"/>
          <w:b/>
          <w:color w:val="2B2B2B"/>
          <w:kern w:val="0"/>
          <w:sz w:val="30"/>
          <w:szCs w:val="30"/>
        </w:rPr>
      </w:pP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博时基金管理有限公司</w:t>
      </w:r>
      <w:r>
        <w:rPr>
          <w:rFonts w:ascii="Times New Roman" w:eastAsia="宋体" w:hAnsi="Times New Roman" w:cs="Arial"/>
          <w:b/>
          <w:color w:val="2B2B2B"/>
          <w:kern w:val="0"/>
          <w:sz w:val="30"/>
          <w:szCs w:val="30"/>
        </w:rPr>
        <w:t>关于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旗下部分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深交所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ETF</w:t>
      </w:r>
      <w:r>
        <w:rPr>
          <w:rFonts w:ascii="Times New Roman" w:eastAsia="宋体" w:hAnsi="Times New Roman" w:cs="Arial" w:hint="eastAsia"/>
          <w:b/>
          <w:color w:val="2B2B2B"/>
          <w:kern w:val="0"/>
          <w:sz w:val="30"/>
          <w:szCs w:val="30"/>
        </w:rPr>
        <w:t>变更场内简称</w:t>
      </w:r>
      <w:r>
        <w:rPr>
          <w:rFonts w:ascii="Times New Roman" w:eastAsia="宋体" w:hAnsi="Times New Roman" w:cs="Arial"/>
          <w:b/>
          <w:color w:val="2B2B2B"/>
          <w:kern w:val="0"/>
          <w:sz w:val="30"/>
          <w:szCs w:val="30"/>
        </w:rPr>
        <w:t>的公告</w:t>
      </w:r>
    </w:p>
    <w:p w:rsidR="00256BEE" w:rsidRDefault="00472C46">
      <w:pPr>
        <w:widowControl/>
        <w:spacing w:before="100" w:beforeAutospacing="1" w:after="240" w:line="360" w:lineRule="auto"/>
        <w:ind w:firstLine="420"/>
        <w:jc w:val="left"/>
        <w:rPr>
          <w:rFonts w:ascii="Times New Roman" w:eastAsia="宋体" w:hAnsi="Times New Roman" w:cs="Arial"/>
          <w:color w:val="2B2B2B"/>
          <w:kern w:val="0"/>
          <w:szCs w:val="21"/>
        </w:rPr>
      </w:pP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经向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深圳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证券交易所申请，博时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基金管理有限公司（以下简称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“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本公司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”或“本基金管理人”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>决定自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2026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年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月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4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>起变更</w:t>
      </w:r>
      <w:r>
        <w:rPr>
          <w:rFonts w:ascii="宋体" w:eastAsia="宋体" w:hAnsi="宋体" w:cs="宋体" w:hint="eastAsia"/>
          <w:kern w:val="0"/>
          <w:szCs w:val="21"/>
        </w:rPr>
        <w:t>旗下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部分深交所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ETF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的</w:t>
      </w:r>
      <w:r>
        <w:rPr>
          <w:rFonts w:ascii="宋体" w:eastAsia="宋体" w:hAnsi="宋体" w:cs="宋体" w:hint="eastAsia"/>
          <w:kern w:val="0"/>
          <w:szCs w:val="21"/>
        </w:rPr>
        <w:t>场内证券简称，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涉及基金及变更情况如下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：</w:t>
      </w:r>
    </w:p>
    <w:tbl>
      <w:tblPr>
        <w:tblW w:w="9253" w:type="dxa"/>
        <w:jc w:val="center"/>
        <w:tblLayout w:type="fixed"/>
        <w:tblLook w:val="04A0"/>
      </w:tblPr>
      <w:tblGrid>
        <w:gridCol w:w="1149"/>
        <w:gridCol w:w="3924"/>
        <w:gridCol w:w="2021"/>
        <w:gridCol w:w="2159"/>
      </w:tblGrid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EE" w:rsidRDefault="00472C4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基金代码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EE" w:rsidRDefault="00472C4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基金名称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EE" w:rsidRDefault="00472C4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原场内简称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EE" w:rsidRDefault="00472C4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变更后场内简称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159108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博时国证工业软件主题交易型开放式指数证券投资基金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工业软件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工业软件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159824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博时中证新能源汽车交易型开放式指数证券投资基金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新能车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新能源车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159582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博时中证半导体产业交易型开放式指数证券投资基金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半导体产业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半导体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159838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博时中证医药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医药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医药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159203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博时国证大盘成长交易型开放式指数证券投资基金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大盘成长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大盘成长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159623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博时中证成渝地区双城经济圈成份交易型开放式指数证券投资基金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成渝经济圈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成渝经济圈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159811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产业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5G50ETF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5GETF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159743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博时中证湖北新旧动能转换交易型开放式指数证券投资基金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湖北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湖北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159672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博时中证主要消费交易型开放式指数证券投资基金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主要消费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消费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159678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增强策略交易型开放式指数证券投资基金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增强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增强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159730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博时国证龙头家电交易型开放式指数证券投资基金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龙头家电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家电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159533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256BEE">
        <w:trPr>
          <w:trHeight w:val="28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159505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BEE" w:rsidRDefault="00472C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</w:tbl>
    <w:p w:rsidR="00256BEE" w:rsidRDefault="00472C46">
      <w:pPr>
        <w:adjustRightInd w:val="0"/>
        <w:spacing w:before="240" w:line="360" w:lineRule="auto"/>
        <w:ind w:firstLineChars="200" w:firstLine="420"/>
        <w:rPr>
          <w:rFonts w:ascii="Times New Roman" w:eastAsia="宋体" w:hAnsi="Times New Roman" w:cs="Arial"/>
          <w:szCs w:val="21"/>
        </w:rPr>
      </w:pPr>
      <w:r>
        <w:rPr>
          <w:rFonts w:ascii="Times New Roman" w:eastAsia="宋体" w:hAnsi="Times New Roman" w:cs="Arial" w:hint="eastAsia"/>
          <w:szCs w:val="21"/>
        </w:rPr>
        <w:t>基金代码、基金名称等其他事项保持不变。</w:t>
      </w:r>
    </w:p>
    <w:p w:rsidR="00256BEE" w:rsidRDefault="00472C46">
      <w:pPr>
        <w:widowControl/>
        <w:shd w:val="clear" w:color="auto" w:fill="FFFFFF"/>
        <w:spacing w:line="420" w:lineRule="atLeas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本次变更</w:t>
      </w:r>
      <w:r>
        <w:rPr>
          <w:rFonts w:ascii="宋体" w:eastAsia="宋体" w:hAnsi="宋体" w:cs="宋体" w:hint="eastAsia"/>
          <w:kern w:val="0"/>
          <w:szCs w:val="21"/>
        </w:rPr>
        <w:t>上述</w:t>
      </w:r>
      <w:r>
        <w:rPr>
          <w:rFonts w:ascii="宋体" w:eastAsia="宋体" w:hAnsi="宋体" w:cs="宋体" w:hint="eastAsia"/>
          <w:kern w:val="0"/>
          <w:szCs w:val="21"/>
        </w:rPr>
        <w:t>基金的</w:t>
      </w:r>
      <w:r>
        <w:rPr>
          <w:rFonts w:ascii="宋体" w:eastAsia="宋体" w:hAnsi="宋体" w:cs="宋体" w:hint="eastAsia"/>
          <w:kern w:val="0"/>
          <w:szCs w:val="21"/>
        </w:rPr>
        <w:t>场内</w:t>
      </w:r>
      <w:r>
        <w:rPr>
          <w:rFonts w:ascii="宋体" w:eastAsia="宋体" w:hAnsi="宋体" w:cs="宋体" w:hint="eastAsia"/>
          <w:kern w:val="0"/>
          <w:szCs w:val="21"/>
        </w:rPr>
        <w:t>证券</w:t>
      </w:r>
      <w:r>
        <w:rPr>
          <w:rFonts w:ascii="宋体" w:eastAsia="宋体" w:hAnsi="宋体" w:cs="宋体" w:hint="eastAsia"/>
          <w:kern w:val="0"/>
          <w:szCs w:val="21"/>
        </w:rPr>
        <w:t>简称对基金份额持有人利益无实质性不利影响，且不涉及基金合同当事人权利义务关系发生变化，无需召开基金份额持有人大会。</w:t>
      </w:r>
    </w:p>
    <w:p w:rsidR="00256BEE" w:rsidRDefault="00472C46">
      <w:pPr>
        <w:widowControl/>
        <w:shd w:val="clear" w:color="auto" w:fill="FFFFFF"/>
        <w:wordWrap w:val="0"/>
        <w:spacing w:line="420" w:lineRule="atLeas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如有疑问，请拨打博时一线通：</w:t>
      </w:r>
      <w:r>
        <w:rPr>
          <w:rFonts w:ascii="宋体" w:eastAsia="宋体" w:hAnsi="宋体" w:cs="宋体"/>
          <w:kern w:val="0"/>
          <w:szCs w:val="21"/>
        </w:rPr>
        <w:t>95105568</w:t>
      </w:r>
      <w:r>
        <w:rPr>
          <w:rFonts w:ascii="宋体" w:eastAsia="宋体" w:hAnsi="宋体" w:cs="宋体"/>
          <w:kern w:val="0"/>
          <w:szCs w:val="21"/>
        </w:rPr>
        <w:t>（免长途话费）或登录本公司网站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/>
          <w:kern w:val="0"/>
          <w:szCs w:val="21"/>
        </w:rPr>
        <w:t>www.bosera.com</w:t>
      </w:r>
      <w:r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/>
          <w:kern w:val="0"/>
          <w:szCs w:val="21"/>
        </w:rPr>
        <w:t>获取相关信息。</w:t>
      </w:r>
    </w:p>
    <w:p w:rsidR="00256BEE" w:rsidRDefault="00472C46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风险提示：基金管理人承诺以诚实信用、勤勉尽责的原则管理和运用基金资产，但不保证基金一定盈利，也不保证最低收益。基金的过往</w:t>
      </w:r>
      <w:bookmarkStart w:id="0" w:name="_GoBack"/>
      <w:bookmarkEnd w:id="0"/>
      <w:r>
        <w:rPr>
          <w:rFonts w:ascii="宋体" w:eastAsia="宋体" w:hAnsi="宋体" w:cs="宋体"/>
          <w:kern w:val="0"/>
          <w:szCs w:val="21"/>
        </w:rPr>
        <w:t>业绩并不代表其将来表现。投资有风险，投资者投资于本公司旗下基金前应认真阅读各基金的基金合同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/>
          <w:kern w:val="0"/>
          <w:szCs w:val="21"/>
        </w:rPr>
        <w:t>招募说明书</w:t>
      </w:r>
      <w:r>
        <w:rPr>
          <w:rFonts w:ascii="宋体" w:eastAsia="宋体" w:hAnsi="宋体" w:cs="宋体" w:hint="eastAsia"/>
          <w:kern w:val="0"/>
          <w:szCs w:val="21"/>
        </w:rPr>
        <w:t>和基金产品资料概要等文件</w:t>
      </w:r>
      <w:r>
        <w:rPr>
          <w:rFonts w:ascii="宋体" w:eastAsia="宋体" w:hAnsi="宋体" w:cs="宋体"/>
          <w:kern w:val="0"/>
          <w:szCs w:val="21"/>
        </w:rPr>
        <w:t>，并选择适合自身风险承受能力的投资品种进行投资。</w:t>
      </w:r>
    </w:p>
    <w:p w:rsidR="00256BEE" w:rsidRDefault="00472C46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特此公告。</w:t>
      </w:r>
    </w:p>
    <w:p w:rsidR="00256BEE" w:rsidRDefault="00256BEE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</w:p>
    <w:p w:rsidR="00256BEE" w:rsidRDefault="00472C46">
      <w:pPr>
        <w:widowControl/>
        <w:spacing w:line="360" w:lineRule="auto"/>
        <w:ind w:firstLine="420"/>
        <w:jc w:val="right"/>
        <w:rPr>
          <w:rFonts w:ascii="Times New Roman" w:eastAsia="宋体" w:hAnsi="Times New Roman" w:cs="Arial"/>
          <w:color w:val="2B2B2B"/>
          <w:kern w:val="0"/>
          <w:szCs w:val="21"/>
        </w:rPr>
      </w:pP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博时</w:t>
      </w:r>
      <w:r>
        <w:rPr>
          <w:rFonts w:ascii="Times New Roman" w:eastAsia="宋体" w:hAnsi="Times New Roman" w:cs="Arial"/>
          <w:color w:val="2B2B2B"/>
          <w:kern w:val="0"/>
          <w:szCs w:val="21"/>
        </w:rPr>
        <w:t>基金管理有限公司</w:t>
      </w:r>
    </w:p>
    <w:p w:rsidR="00256BEE" w:rsidRDefault="00472C46">
      <w:pPr>
        <w:widowControl/>
        <w:spacing w:line="360" w:lineRule="auto"/>
        <w:ind w:firstLine="420"/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202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6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年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月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2</w:t>
      </w:r>
      <w:r>
        <w:rPr>
          <w:rFonts w:ascii="Times New Roman" w:eastAsia="宋体" w:hAnsi="Times New Roman" w:cs="Arial" w:hint="eastAsia"/>
          <w:color w:val="2B2B2B"/>
          <w:kern w:val="0"/>
          <w:szCs w:val="21"/>
        </w:rPr>
        <w:t>日</w:t>
      </w:r>
    </w:p>
    <w:sectPr w:rsidR="00256BEE" w:rsidSect="00256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02A00"/>
    <w:rsid w:val="000019D7"/>
    <w:rsid w:val="00030C1F"/>
    <w:rsid w:val="00037D08"/>
    <w:rsid w:val="00065F60"/>
    <w:rsid w:val="000C0283"/>
    <w:rsid w:val="00162122"/>
    <w:rsid w:val="001B071C"/>
    <w:rsid w:val="001B43AC"/>
    <w:rsid w:val="00204D61"/>
    <w:rsid w:val="00216CA1"/>
    <w:rsid w:val="00256BEE"/>
    <w:rsid w:val="002A4C9F"/>
    <w:rsid w:val="002C563E"/>
    <w:rsid w:val="002D16BE"/>
    <w:rsid w:val="00302A00"/>
    <w:rsid w:val="0032089B"/>
    <w:rsid w:val="00326877"/>
    <w:rsid w:val="00365CAA"/>
    <w:rsid w:val="00442C08"/>
    <w:rsid w:val="00457291"/>
    <w:rsid w:val="00472C46"/>
    <w:rsid w:val="00531E1E"/>
    <w:rsid w:val="005A3140"/>
    <w:rsid w:val="00623983"/>
    <w:rsid w:val="006271DC"/>
    <w:rsid w:val="00631AF3"/>
    <w:rsid w:val="00672E84"/>
    <w:rsid w:val="006772EB"/>
    <w:rsid w:val="006D608F"/>
    <w:rsid w:val="006F18A9"/>
    <w:rsid w:val="006F585C"/>
    <w:rsid w:val="00756527"/>
    <w:rsid w:val="0076318B"/>
    <w:rsid w:val="007637C6"/>
    <w:rsid w:val="007F05C2"/>
    <w:rsid w:val="00821717"/>
    <w:rsid w:val="008419EB"/>
    <w:rsid w:val="00870181"/>
    <w:rsid w:val="00891B66"/>
    <w:rsid w:val="00892752"/>
    <w:rsid w:val="008B4188"/>
    <w:rsid w:val="008B6E49"/>
    <w:rsid w:val="008C40FE"/>
    <w:rsid w:val="008C640B"/>
    <w:rsid w:val="008F0E65"/>
    <w:rsid w:val="00911F8E"/>
    <w:rsid w:val="009440F3"/>
    <w:rsid w:val="009F02AA"/>
    <w:rsid w:val="00A53A1A"/>
    <w:rsid w:val="00A71FD6"/>
    <w:rsid w:val="00AD7DB9"/>
    <w:rsid w:val="00B14468"/>
    <w:rsid w:val="00BA4E3D"/>
    <w:rsid w:val="00BD6ADE"/>
    <w:rsid w:val="00C40DE4"/>
    <w:rsid w:val="00C46725"/>
    <w:rsid w:val="00CB6655"/>
    <w:rsid w:val="00CC0A29"/>
    <w:rsid w:val="00CC259C"/>
    <w:rsid w:val="00D176C9"/>
    <w:rsid w:val="00D602BD"/>
    <w:rsid w:val="00E10E9A"/>
    <w:rsid w:val="00E8192E"/>
    <w:rsid w:val="00F36F15"/>
    <w:rsid w:val="00F57285"/>
    <w:rsid w:val="00F9783D"/>
    <w:rsid w:val="00FA3DF7"/>
    <w:rsid w:val="00FA4254"/>
    <w:rsid w:val="00FE5EE9"/>
    <w:rsid w:val="07005D82"/>
    <w:rsid w:val="22BC661B"/>
    <w:rsid w:val="31E032E3"/>
    <w:rsid w:val="381F744E"/>
    <w:rsid w:val="3DD32339"/>
    <w:rsid w:val="3EC25181"/>
    <w:rsid w:val="3EC910FD"/>
    <w:rsid w:val="4220578D"/>
    <w:rsid w:val="426370E8"/>
    <w:rsid w:val="48313CDE"/>
    <w:rsid w:val="55637919"/>
    <w:rsid w:val="592D40F9"/>
    <w:rsid w:val="5A161B66"/>
    <w:rsid w:val="5DEF7320"/>
    <w:rsid w:val="5FA74045"/>
    <w:rsid w:val="641738E9"/>
    <w:rsid w:val="6E3164E6"/>
    <w:rsid w:val="72F4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56BE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56B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56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56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56BEE"/>
    <w:rPr>
      <w:b/>
      <w:bCs/>
    </w:rPr>
  </w:style>
  <w:style w:type="table" w:styleId="a8">
    <w:name w:val="Table Grid"/>
    <w:basedOn w:val="a1"/>
    <w:uiPriority w:val="59"/>
    <w:qFormat/>
    <w:rsid w:val="00256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256BE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256BE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56BEE"/>
    <w:rPr>
      <w:sz w:val="18"/>
      <w:szCs w:val="18"/>
    </w:rPr>
  </w:style>
  <w:style w:type="paragraph" w:styleId="aa">
    <w:name w:val="List Paragraph"/>
    <w:basedOn w:val="a"/>
    <w:uiPriority w:val="34"/>
    <w:qFormat/>
    <w:rsid w:val="00256BEE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256BEE"/>
  </w:style>
  <w:style w:type="character" w:customStyle="1" w:styleId="Char3">
    <w:name w:val="批注主题 Char"/>
    <w:basedOn w:val="Char"/>
    <w:link w:val="a7"/>
    <w:uiPriority w:val="99"/>
    <w:semiHidden/>
    <w:qFormat/>
    <w:rsid w:val="00256BEE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56B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4</DocSecurity>
  <Lines>8</Lines>
  <Paragraphs>2</Paragraphs>
  <ScaleCrop>false</ScaleCrop>
  <Company>CNSTOCK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宁成龙</dc:creator>
  <cp:lastModifiedBy>ZHONGM</cp:lastModifiedBy>
  <cp:revision>2</cp:revision>
  <dcterms:created xsi:type="dcterms:W3CDTF">2026-02-01T16:01:00Z</dcterms:created>
  <dcterms:modified xsi:type="dcterms:W3CDTF">2026-02-01T16:01:00Z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8BA7A6D5B6124FBB8B924B6F84344FF6</vt:lpwstr>
  </property>
</Properties>
</file>