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24E89" w:rsidRDefault="00C164AC">
      <w:pPr>
        <w:spacing w:line="360" w:lineRule="auto"/>
        <w:jc w:val="center"/>
        <w:rPr>
          <w:b/>
          <w:sz w:val="28"/>
          <w:szCs w:val="28"/>
        </w:rPr>
      </w:pPr>
      <w:bookmarkStart w:id="0" w:name="_GoBack"/>
      <w:bookmarkEnd w:id="0"/>
      <w:r>
        <w:rPr>
          <w:b/>
          <w:sz w:val="28"/>
          <w:szCs w:val="28"/>
        </w:rPr>
        <w:t>关于</w:t>
      </w:r>
      <w:r>
        <w:rPr>
          <w:rFonts w:hint="eastAsia"/>
          <w:b/>
          <w:sz w:val="28"/>
          <w:szCs w:val="28"/>
        </w:rPr>
        <w:t>嘉合磐立一年定期开放纯债债券型发起式证券投资基金</w:t>
      </w:r>
    </w:p>
    <w:p w:rsidR="00024E89" w:rsidRDefault="00C164AC">
      <w:pPr>
        <w:spacing w:line="360" w:lineRule="auto"/>
        <w:jc w:val="center"/>
        <w:rPr>
          <w:b/>
          <w:sz w:val="28"/>
          <w:szCs w:val="28"/>
        </w:rPr>
      </w:pPr>
      <w:r>
        <w:rPr>
          <w:b/>
          <w:sz w:val="28"/>
          <w:szCs w:val="28"/>
        </w:rPr>
        <w:t>第</w:t>
      </w:r>
      <w:r>
        <w:rPr>
          <w:rFonts w:hint="eastAsia"/>
          <w:b/>
          <w:sz w:val="28"/>
          <w:szCs w:val="28"/>
        </w:rPr>
        <w:t>四</w:t>
      </w:r>
      <w:r>
        <w:rPr>
          <w:b/>
          <w:sz w:val="28"/>
          <w:szCs w:val="28"/>
        </w:rPr>
        <w:t>个开放期开放申购、</w:t>
      </w:r>
      <w:r>
        <w:rPr>
          <w:rFonts w:hint="eastAsia"/>
          <w:b/>
          <w:sz w:val="28"/>
          <w:szCs w:val="28"/>
        </w:rPr>
        <w:t>赎回及转换业务</w:t>
      </w:r>
      <w:r>
        <w:rPr>
          <w:b/>
          <w:sz w:val="28"/>
          <w:szCs w:val="28"/>
        </w:rPr>
        <w:t>的公告</w:t>
      </w:r>
    </w:p>
    <w:p w:rsidR="00024E89" w:rsidRDefault="00C164AC">
      <w:pPr>
        <w:spacing w:line="360" w:lineRule="auto"/>
        <w:ind w:left="2100" w:firstLine="420"/>
        <w:rPr>
          <w:b/>
          <w:sz w:val="24"/>
          <w:szCs w:val="24"/>
        </w:rPr>
      </w:pPr>
      <w:r>
        <w:rPr>
          <w:b/>
          <w:sz w:val="24"/>
          <w:szCs w:val="24"/>
        </w:rPr>
        <w:t>公告送出日期：</w:t>
      </w:r>
      <w:bookmarkStart w:id="1" w:name="t_2_0_0003_a1_fm1"/>
      <w:bookmarkEnd w:id="1"/>
      <w:r>
        <w:rPr>
          <w:b/>
          <w:sz w:val="24"/>
          <w:szCs w:val="24"/>
        </w:rPr>
        <w:t>202</w:t>
      </w:r>
      <w:r>
        <w:rPr>
          <w:rFonts w:hint="eastAsia"/>
          <w:b/>
          <w:sz w:val="24"/>
          <w:szCs w:val="24"/>
        </w:rPr>
        <w:t>6</w:t>
      </w:r>
      <w:r>
        <w:rPr>
          <w:b/>
          <w:sz w:val="24"/>
          <w:szCs w:val="24"/>
        </w:rPr>
        <w:t>年</w:t>
      </w:r>
      <w:r>
        <w:rPr>
          <w:rFonts w:hint="eastAsia"/>
          <w:b/>
          <w:sz w:val="24"/>
          <w:szCs w:val="24"/>
        </w:rPr>
        <w:t>2</w:t>
      </w:r>
      <w:r>
        <w:rPr>
          <w:b/>
          <w:sz w:val="24"/>
          <w:szCs w:val="24"/>
        </w:rPr>
        <w:t>月</w:t>
      </w:r>
      <w:r>
        <w:rPr>
          <w:rFonts w:hint="eastAsia"/>
          <w:b/>
          <w:sz w:val="24"/>
          <w:szCs w:val="24"/>
        </w:rPr>
        <w:t>2</w:t>
      </w:r>
      <w:r>
        <w:rPr>
          <w:b/>
          <w:sz w:val="24"/>
          <w:szCs w:val="24"/>
        </w:rPr>
        <w:t>日</w:t>
      </w:r>
    </w:p>
    <w:p w:rsidR="00024E89" w:rsidRDefault="00C164AC" w:rsidP="00C164AC">
      <w:pPr>
        <w:pStyle w:val="2"/>
        <w:spacing w:beforeLines="50" w:afterLines="50" w:line="360" w:lineRule="auto"/>
        <w:rPr>
          <w:rFonts w:ascii="Times New Roman" w:hAnsi="Times New Roman"/>
          <w:sz w:val="24"/>
          <w:szCs w:val="24"/>
        </w:rPr>
      </w:pPr>
      <w:r>
        <w:rPr>
          <w:rFonts w:ascii="Times New Roman" w:hAnsi="Times New Roman"/>
          <w:sz w:val="24"/>
          <w:szCs w:val="24"/>
        </w:rPr>
        <w:t>1</w:t>
      </w:r>
      <w:bookmarkStart w:id="2" w:name="t_2_1_table"/>
      <w:bookmarkEnd w:id="2"/>
      <w:r>
        <w:rPr>
          <w:rFonts w:ascii="Times New Roman" w:hAnsi="Times New Roman"/>
          <w:sz w:val="24"/>
          <w:szCs w:val="24"/>
        </w:rPr>
        <w:t xml:space="preserve"> </w:t>
      </w:r>
      <w:r>
        <w:rPr>
          <w:rFonts w:ascii="Times New Roman" w:eastAsiaTheme="minorEastAsia" w:hAnsi="Times New Roman" w:hint="eastAsia"/>
          <w:sz w:val="24"/>
          <w:szCs w:val="24"/>
        </w:rPr>
        <w:t>公告基本信息</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7"/>
        <w:gridCol w:w="6095"/>
      </w:tblGrid>
      <w:tr w:rsidR="00024E89">
        <w:tc>
          <w:tcPr>
            <w:tcW w:w="2977" w:type="dxa"/>
          </w:tcPr>
          <w:p w:rsidR="00024E89" w:rsidRDefault="00C164AC">
            <w:pPr>
              <w:spacing w:line="360" w:lineRule="auto"/>
              <w:rPr>
                <w:sz w:val="24"/>
                <w:szCs w:val="24"/>
              </w:rPr>
            </w:pPr>
            <w:r>
              <w:rPr>
                <w:sz w:val="24"/>
                <w:szCs w:val="24"/>
              </w:rPr>
              <w:t>基金名称</w:t>
            </w:r>
          </w:p>
        </w:tc>
        <w:tc>
          <w:tcPr>
            <w:tcW w:w="6095" w:type="dxa"/>
          </w:tcPr>
          <w:p w:rsidR="00024E89" w:rsidRDefault="00C164AC">
            <w:pPr>
              <w:spacing w:line="360" w:lineRule="auto"/>
              <w:rPr>
                <w:sz w:val="24"/>
                <w:szCs w:val="24"/>
              </w:rPr>
            </w:pPr>
            <w:bookmarkStart w:id="3" w:name="t_2_1_0009_a1_fm1"/>
            <w:bookmarkEnd w:id="3"/>
            <w:r>
              <w:rPr>
                <w:rFonts w:hint="eastAsia"/>
                <w:sz w:val="24"/>
                <w:szCs w:val="24"/>
              </w:rPr>
              <w:t>嘉合磐立一年定期开放纯债债券型发起式证券投资基金</w:t>
            </w:r>
          </w:p>
        </w:tc>
      </w:tr>
      <w:tr w:rsidR="00024E89">
        <w:tc>
          <w:tcPr>
            <w:tcW w:w="2977" w:type="dxa"/>
          </w:tcPr>
          <w:p w:rsidR="00024E89" w:rsidRDefault="00C164AC">
            <w:pPr>
              <w:spacing w:line="360" w:lineRule="auto"/>
              <w:rPr>
                <w:sz w:val="24"/>
                <w:szCs w:val="24"/>
              </w:rPr>
            </w:pPr>
            <w:r>
              <w:rPr>
                <w:sz w:val="24"/>
                <w:szCs w:val="24"/>
              </w:rPr>
              <w:t>基金简称</w:t>
            </w:r>
          </w:p>
        </w:tc>
        <w:tc>
          <w:tcPr>
            <w:tcW w:w="6095" w:type="dxa"/>
          </w:tcPr>
          <w:p w:rsidR="00024E89" w:rsidRDefault="00C164AC">
            <w:pPr>
              <w:spacing w:line="360" w:lineRule="auto"/>
              <w:rPr>
                <w:sz w:val="24"/>
                <w:szCs w:val="24"/>
              </w:rPr>
            </w:pPr>
            <w:bookmarkStart w:id="4" w:name="t_2_1_0011_a1_fm1"/>
            <w:bookmarkEnd w:id="4"/>
            <w:r>
              <w:rPr>
                <w:rFonts w:hint="eastAsia"/>
                <w:sz w:val="24"/>
                <w:szCs w:val="24"/>
              </w:rPr>
              <w:t>嘉合磐立一年定开纯债债券发起式</w:t>
            </w:r>
          </w:p>
        </w:tc>
      </w:tr>
      <w:tr w:rsidR="00024E89">
        <w:tc>
          <w:tcPr>
            <w:tcW w:w="2977" w:type="dxa"/>
          </w:tcPr>
          <w:p w:rsidR="00024E89" w:rsidRDefault="00C164AC">
            <w:pPr>
              <w:spacing w:line="360" w:lineRule="auto"/>
              <w:rPr>
                <w:sz w:val="24"/>
                <w:szCs w:val="24"/>
              </w:rPr>
            </w:pPr>
            <w:r>
              <w:rPr>
                <w:sz w:val="24"/>
                <w:szCs w:val="24"/>
              </w:rPr>
              <w:t>基金主代码</w:t>
            </w:r>
          </w:p>
        </w:tc>
        <w:tc>
          <w:tcPr>
            <w:tcW w:w="6095" w:type="dxa"/>
          </w:tcPr>
          <w:p w:rsidR="00024E89" w:rsidRDefault="00C164AC">
            <w:pPr>
              <w:spacing w:line="360" w:lineRule="auto"/>
              <w:rPr>
                <w:sz w:val="24"/>
                <w:szCs w:val="24"/>
              </w:rPr>
            </w:pPr>
            <w:bookmarkStart w:id="5" w:name="t_2_1_0012_a1_fm1"/>
            <w:bookmarkEnd w:id="5"/>
            <w:r>
              <w:rPr>
                <w:sz w:val="24"/>
                <w:szCs w:val="24"/>
              </w:rPr>
              <w:t>013</w:t>
            </w:r>
            <w:r>
              <w:rPr>
                <w:rFonts w:hint="eastAsia"/>
                <w:sz w:val="24"/>
                <w:szCs w:val="24"/>
              </w:rPr>
              <w:t>982</w:t>
            </w:r>
          </w:p>
        </w:tc>
      </w:tr>
      <w:tr w:rsidR="00024E89">
        <w:tc>
          <w:tcPr>
            <w:tcW w:w="2977" w:type="dxa"/>
          </w:tcPr>
          <w:p w:rsidR="00024E89" w:rsidRDefault="00C164AC">
            <w:pPr>
              <w:spacing w:line="360" w:lineRule="auto"/>
              <w:rPr>
                <w:sz w:val="24"/>
                <w:szCs w:val="24"/>
              </w:rPr>
            </w:pPr>
            <w:r>
              <w:rPr>
                <w:sz w:val="24"/>
                <w:szCs w:val="24"/>
              </w:rPr>
              <w:t>基金运作方式</w:t>
            </w:r>
          </w:p>
        </w:tc>
        <w:tc>
          <w:tcPr>
            <w:tcW w:w="6095" w:type="dxa"/>
          </w:tcPr>
          <w:p w:rsidR="00024E89" w:rsidRDefault="00C164AC">
            <w:pPr>
              <w:spacing w:line="360" w:lineRule="auto"/>
              <w:rPr>
                <w:sz w:val="24"/>
                <w:szCs w:val="24"/>
              </w:rPr>
            </w:pPr>
            <w:bookmarkStart w:id="6" w:name="t_2_1_0017_a1_fm1"/>
            <w:bookmarkEnd w:id="6"/>
            <w:r>
              <w:rPr>
                <w:rFonts w:hint="eastAsia"/>
                <w:sz w:val="24"/>
                <w:szCs w:val="24"/>
              </w:rPr>
              <w:t>契约型定期开放式</w:t>
            </w:r>
          </w:p>
        </w:tc>
      </w:tr>
      <w:tr w:rsidR="00024E89">
        <w:tc>
          <w:tcPr>
            <w:tcW w:w="2977" w:type="dxa"/>
          </w:tcPr>
          <w:p w:rsidR="00024E89" w:rsidRDefault="00C164AC">
            <w:pPr>
              <w:spacing w:line="360" w:lineRule="auto"/>
              <w:rPr>
                <w:sz w:val="24"/>
                <w:szCs w:val="24"/>
              </w:rPr>
            </w:pPr>
            <w:r>
              <w:rPr>
                <w:sz w:val="24"/>
                <w:szCs w:val="24"/>
              </w:rPr>
              <w:t>基金合同生效日</w:t>
            </w:r>
          </w:p>
        </w:tc>
        <w:tc>
          <w:tcPr>
            <w:tcW w:w="6095" w:type="dxa"/>
          </w:tcPr>
          <w:p w:rsidR="00024E89" w:rsidRDefault="00C164AC">
            <w:pPr>
              <w:spacing w:line="360" w:lineRule="auto"/>
              <w:rPr>
                <w:sz w:val="24"/>
                <w:szCs w:val="24"/>
              </w:rPr>
            </w:pPr>
            <w:bookmarkStart w:id="7" w:name="t_2_1_0018_a1_fm1"/>
            <w:bookmarkEnd w:id="7"/>
            <w:r>
              <w:rPr>
                <w:sz w:val="24"/>
                <w:szCs w:val="24"/>
              </w:rPr>
              <w:t>2021</w:t>
            </w:r>
            <w:r>
              <w:rPr>
                <w:rFonts w:hint="eastAsia"/>
                <w:sz w:val="24"/>
                <w:szCs w:val="24"/>
              </w:rPr>
              <w:t>年</w:t>
            </w:r>
            <w:r>
              <w:rPr>
                <w:rFonts w:hint="eastAsia"/>
                <w:sz w:val="24"/>
                <w:szCs w:val="24"/>
              </w:rPr>
              <w:t>12</w:t>
            </w:r>
            <w:r>
              <w:rPr>
                <w:rFonts w:hint="eastAsia"/>
                <w:sz w:val="24"/>
                <w:szCs w:val="24"/>
              </w:rPr>
              <w:t>月</w:t>
            </w:r>
            <w:r>
              <w:rPr>
                <w:rFonts w:hint="eastAsia"/>
                <w:sz w:val="24"/>
                <w:szCs w:val="24"/>
              </w:rPr>
              <w:t>23</w:t>
            </w:r>
            <w:r>
              <w:rPr>
                <w:sz w:val="24"/>
                <w:szCs w:val="24"/>
              </w:rPr>
              <w:t>日</w:t>
            </w:r>
          </w:p>
        </w:tc>
      </w:tr>
      <w:tr w:rsidR="00024E89">
        <w:tc>
          <w:tcPr>
            <w:tcW w:w="2977" w:type="dxa"/>
          </w:tcPr>
          <w:p w:rsidR="00024E89" w:rsidRDefault="00C164AC">
            <w:pPr>
              <w:spacing w:line="360" w:lineRule="auto"/>
              <w:rPr>
                <w:sz w:val="24"/>
                <w:szCs w:val="24"/>
              </w:rPr>
            </w:pPr>
            <w:r>
              <w:rPr>
                <w:sz w:val="24"/>
                <w:szCs w:val="24"/>
              </w:rPr>
              <w:t>基金管理人名称</w:t>
            </w:r>
          </w:p>
        </w:tc>
        <w:tc>
          <w:tcPr>
            <w:tcW w:w="6095" w:type="dxa"/>
          </w:tcPr>
          <w:p w:rsidR="00024E89" w:rsidRDefault="00C164AC">
            <w:pPr>
              <w:spacing w:line="360" w:lineRule="auto"/>
              <w:rPr>
                <w:sz w:val="24"/>
                <w:szCs w:val="24"/>
              </w:rPr>
            </w:pPr>
            <w:bookmarkStart w:id="8" w:name="t_2_1_0186_a1_fm1"/>
            <w:bookmarkEnd w:id="8"/>
            <w:r>
              <w:rPr>
                <w:sz w:val="24"/>
                <w:szCs w:val="24"/>
              </w:rPr>
              <w:t>嘉合基金管理有限公司</w:t>
            </w:r>
          </w:p>
        </w:tc>
      </w:tr>
      <w:tr w:rsidR="00024E89">
        <w:tc>
          <w:tcPr>
            <w:tcW w:w="2977" w:type="dxa"/>
          </w:tcPr>
          <w:p w:rsidR="00024E89" w:rsidRDefault="00C164AC">
            <w:pPr>
              <w:spacing w:line="360" w:lineRule="auto"/>
              <w:rPr>
                <w:sz w:val="24"/>
                <w:szCs w:val="24"/>
              </w:rPr>
            </w:pPr>
            <w:r>
              <w:rPr>
                <w:sz w:val="24"/>
                <w:szCs w:val="24"/>
              </w:rPr>
              <w:t>基金托管人名称</w:t>
            </w:r>
          </w:p>
        </w:tc>
        <w:tc>
          <w:tcPr>
            <w:tcW w:w="6095" w:type="dxa"/>
          </w:tcPr>
          <w:p w:rsidR="00024E89" w:rsidRDefault="00C164AC">
            <w:pPr>
              <w:spacing w:line="360" w:lineRule="auto"/>
              <w:rPr>
                <w:sz w:val="24"/>
                <w:szCs w:val="24"/>
              </w:rPr>
            </w:pPr>
            <w:bookmarkStart w:id="9" w:name="t_2_1_0213_a1_fm1"/>
            <w:bookmarkEnd w:id="9"/>
            <w:r>
              <w:rPr>
                <w:rFonts w:hint="eastAsia"/>
                <w:sz w:val="24"/>
                <w:szCs w:val="24"/>
              </w:rPr>
              <w:t>中国邮政储蓄银行股份有限公司</w:t>
            </w:r>
          </w:p>
        </w:tc>
      </w:tr>
      <w:tr w:rsidR="00024E89">
        <w:tc>
          <w:tcPr>
            <w:tcW w:w="2977" w:type="dxa"/>
          </w:tcPr>
          <w:p w:rsidR="00024E89" w:rsidRDefault="00C164AC">
            <w:pPr>
              <w:spacing w:line="360" w:lineRule="auto"/>
              <w:rPr>
                <w:sz w:val="24"/>
                <w:szCs w:val="24"/>
              </w:rPr>
            </w:pPr>
            <w:r>
              <w:rPr>
                <w:sz w:val="24"/>
                <w:szCs w:val="24"/>
              </w:rPr>
              <w:t>基金注册登记机构名称</w:t>
            </w:r>
          </w:p>
        </w:tc>
        <w:tc>
          <w:tcPr>
            <w:tcW w:w="6095" w:type="dxa"/>
          </w:tcPr>
          <w:p w:rsidR="00024E89" w:rsidRDefault="00C164AC">
            <w:pPr>
              <w:spacing w:line="360" w:lineRule="auto"/>
              <w:rPr>
                <w:sz w:val="24"/>
                <w:szCs w:val="24"/>
              </w:rPr>
            </w:pPr>
            <w:bookmarkStart w:id="10" w:name="t_2_1_0310_a1_fm1"/>
            <w:bookmarkEnd w:id="10"/>
            <w:r>
              <w:rPr>
                <w:sz w:val="24"/>
                <w:szCs w:val="24"/>
              </w:rPr>
              <w:t>嘉合基金管理有限公司</w:t>
            </w:r>
          </w:p>
        </w:tc>
      </w:tr>
      <w:tr w:rsidR="00024E89">
        <w:tc>
          <w:tcPr>
            <w:tcW w:w="2977" w:type="dxa"/>
          </w:tcPr>
          <w:p w:rsidR="00024E89" w:rsidRDefault="00C164AC">
            <w:pPr>
              <w:spacing w:line="360" w:lineRule="auto"/>
              <w:rPr>
                <w:sz w:val="24"/>
                <w:szCs w:val="24"/>
              </w:rPr>
            </w:pPr>
            <w:r>
              <w:rPr>
                <w:sz w:val="24"/>
                <w:szCs w:val="24"/>
              </w:rPr>
              <w:t>公告依据</w:t>
            </w:r>
          </w:p>
        </w:tc>
        <w:tc>
          <w:tcPr>
            <w:tcW w:w="6095" w:type="dxa"/>
          </w:tcPr>
          <w:p w:rsidR="00024E89" w:rsidRDefault="00C164AC">
            <w:pPr>
              <w:spacing w:line="360" w:lineRule="auto"/>
              <w:rPr>
                <w:sz w:val="24"/>
                <w:szCs w:val="24"/>
              </w:rPr>
            </w:pPr>
            <w:bookmarkStart w:id="11" w:name="t_2_1_2631_a1_fm1"/>
            <w:bookmarkEnd w:id="11"/>
            <w:r>
              <w:rPr>
                <w:sz w:val="24"/>
                <w:szCs w:val="24"/>
              </w:rPr>
              <w:t>根据《中华人民共和国证券投资基金法》</w:t>
            </w:r>
            <w:r>
              <w:rPr>
                <w:rFonts w:hint="eastAsia"/>
                <w:sz w:val="24"/>
                <w:szCs w:val="24"/>
              </w:rPr>
              <w:t>、《公开募集证券投资基金运作管理办法》、</w:t>
            </w:r>
            <w:r>
              <w:rPr>
                <w:sz w:val="24"/>
                <w:szCs w:val="24"/>
              </w:rPr>
              <w:t>《</w:t>
            </w:r>
            <w:r>
              <w:rPr>
                <w:rFonts w:hint="eastAsia"/>
                <w:sz w:val="24"/>
                <w:szCs w:val="24"/>
              </w:rPr>
              <w:t>公开募集</w:t>
            </w:r>
            <w:r>
              <w:rPr>
                <w:sz w:val="24"/>
                <w:szCs w:val="24"/>
              </w:rPr>
              <w:t>证券投资基金信息披露管理办法》</w:t>
            </w:r>
            <w:r>
              <w:rPr>
                <w:rFonts w:hint="eastAsia"/>
                <w:sz w:val="24"/>
                <w:szCs w:val="24"/>
              </w:rPr>
              <w:t>（以下简称“</w:t>
            </w:r>
            <w:r>
              <w:rPr>
                <w:rFonts w:hint="eastAsia"/>
                <w:bCs/>
                <w:sz w:val="24"/>
              </w:rPr>
              <w:t>《信息披露办法》”）</w:t>
            </w:r>
            <w:r>
              <w:rPr>
                <w:rFonts w:hint="eastAsia"/>
                <w:sz w:val="24"/>
                <w:szCs w:val="24"/>
              </w:rPr>
              <w:t>等法律法规以及</w:t>
            </w:r>
            <w:r>
              <w:rPr>
                <w:sz w:val="24"/>
                <w:szCs w:val="24"/>
              </w:rPr>
              <w:t>《</w:t>
            </w:r>
            <w:r>
              <w:rPr>
                <w:rFonts w:hint="eastAsia"/>
                <w:sz w:val="24"/>
                <w:szCs w:val="24"/>
              </w:rPr>
              <w:t>嘉合磐立一年定期开放纯债债券型发起式证券投资基金基金合同</w:t>
            </w:r>
            <w:r>
              <w:rPr>
                <w:sz w:val="24"/>
                <w:szCs w:val="24"/>
              </w:rPr>
              <w:t>》</w:t>
            </w:r>
            <w:r>
              <w:rPr>
                <w:rFonts w:hint="eastAsia"/>
                <w:sz w:val="24"/>
                <w:szCs w:val="24"/>
              </w:rPr>
              <w:t>（以下简称“《基金合同》”）</w:t>
            </w:r>
            <w:r>
              <w:rPr>
                <w:sz w:val="24"/>
                <w:szCs w:val="24"/>
              </w:rPr>
              <w:t>及</w:t>
            </w:r>
            <w:r>
              <w:rPr>
                <w:rFonts w:hint="eastAsia"/>
                <w:sz w:val="24"/>
                <w:szCs w:val="24"/>
              </w:rPr>
              <w:t>《嘉合磐立一年定期开放纯债债券型发起式证券投资基金招募说明书（更新）》（以下简称“《招募说明书》”）</w:t>
            </w:r>
            <w:r>
              <w:rPr>
                <w:sz w:val="24"/>
                <w:szCs w:val="24"/>
              </w:rPr>
              <w:t>的有关规定。</w:t>
            </w:r>
          </w:p>
        </w:tc>
      </w:tr>
      <w:tr w:rsidR="00024E89">
        <w:tc>
          <w:tcPr>
            <w:tcW w:w="2977" w:type="dxa"/>
          </w:tcPr>
          <w:p w:rsidR="00024E89" w:rsidRDefault="00C164AC">
            <w:pPr>
              <w:spacing w:line="360" w:lineRule="auto"/>
              <w:rPr>
                <w:sz w:val="24"/>
                <w:szCs w:val="24"/>
              </w:rPr>
            </w:pPr>
            <w:r>
              <w:rPr>
                <w:sz w:val="24"/>
                <w:szCs w:val="24"/>
              </w:rPr>
              <w:t>申购起始日</w:t>
            </w:r>
          </w:p>
        </w:tc>
        <w:tc>
          <w:tcPr>
            <w:tcW w:w="6095" w:type="dxa"/>
          </w:tcPr>
          <w:p w:rsidR="00024E89" w:rsidRDefault="00C164AC">
            <w:pPr>
              <w:spacing w:line="360" w:lineRule="auto"/>
              <w:rPr>
                <w:sz w:val="24"/>
                <w:szCs w:val="24"/>
              </w:rPr>
            </w:pPr>
            <w:bookmarkStart w:id="12" w:name="t_2_1_2660_a1_fm1"/>
            <w:bookmarkEnd w:id="12"/>
            <w:r>
              <w:rPr>
                <w:sz w:val="24"/>
                <w:szCs w:val="24"/>
              </w:rPr>
              <w:t>202</w:t>
            </w:r>
            <w:r>
              <w:rPr>
                <w:rFonts w:hint="eastAsia"/>
                <w:sz w:val="24"/>
                <w:szCs w:val="24"/>
              </w:rPr>
              <w:t>6</w:t>
            </w:r>
            <w:r>
              <w:rPr>
                <w:sz w:val="24"/>
                <w:szCs w:val="24"/>
              </w:rPr>
              <w:t>年</w:t>
            </w:r>
            <w:r>
              <w:rPr>
                <w:rFonts w:hint="eastAsia"/>
                <w:sz w:val="24"/>
                <w:szCs w:val="24"/>
              </w:rPr>
              <w:t>2</w:t>
            </w:r>
            <w:r>
              <w:rPr>
                <w:sz w:val="24"/>
                <w:szCs w:val="24"/>
              </w:rPr>
              <w:t>月</w:t>
            </w:r>
            <w:r>
              <w:rPr>
                <w:rFonts w:hint="eastAsia"/>
                <w:sz w:val="24"/>
                <w:szCs w:val="24"/>
              </w:rPr>
              <w:t>24</w:t>
            </w:r>
            <w:r>
              <w:rPr>
                <w:sz w:val="24"/>
                <w:szCs w:val="24"/>
              </w:rPr>
              <w:t>日</w:t>
            </w:r>
          </w:p>
        </w:tc>
      </w:tr>
      <w:tr w:rsidR="00024E89">
        <w:tc>
          <w:tcPr>
            <w:tcW w:w="2977" w:type="dxa"/>
          </w:tcPr>
          <w:p w:rsidR="00024E89" w:rsidRDefault="00C164AC">
            <w:pPr>
              <w:spacing w:line="360" w:lineRule="auto"/>
              <w:rPr>
                <w:sz w:val="24"/>
                <w:szCs w:val="24"/>
              </w:rPr>
            </w:pPr>
            <w:r>
              <w:rPr>
                <w:rFonts w:hint="eastAsia"/>
                <w:sz w:val="24"/>
                <w:szCs w:val="24"/>
              </w:rPr>
              <w:t>赎回</w:t>
            </w:r>
            <w:r>
              <w:rPr>
                <w:sz w:val="24"/>
                <w:szCs w:val="24"/>
              </w:rPr>
              <w:t>起始日</w:t>
            </w:r>
          </w:p>
        </w:tc>
        <w:tc>
          <w:tcPr>
            <w:tcW w:w="6095" w:type="dxa"/>
          </w:tcPr>
          <w:p w:rsidR="00024E89" w:rsidRDefault="00C164AC">
            <w:pPr>
              <w:spacing w:line="360" w:lineRule="auto"/>
              <w:rPr>
                <w:sz w:val="24"/>
                <w:szCs w:val="24"/>
              </w:rPr>
            </w:pPr>
            <w:r>
              <w:rPr>
                <w:sz w:val="24"/>
                <w:szCs w:val="24"/>
              </w:rPr>
              <w:t>202</w:t>
            </w:r>
            <w:r>
              <w:rPr>
                <w:rFonts w:hint="eastAsia"/>
                <w:sz w:val="24"/>
                <w:szCs w:val="24"/>
              </w:rPr>
              <w:t>6</w:t>
            </w:r>
            <w:r>
              <w:rPr>
                <w:sz w:val="24"/>
                <w:szCs w:val="24"/>
              </w:rPr>
              <w:t>年</w:t>
            </w:r>
            <w:r>
              <w:rPr>
                <w:rFonts w:hint="eastAsia"/>
                <w:sz w:val="24"/>
                <w:szCs w:val="24"/>
              </w:rPr>
              <w:t>2</w:t>
            </w:r>
            <w:r>
              <w:rPr>
                <w:sz w:val="24"/>
                <w:szCs w:val="24"/>
              </w:rPr>
              <w:t>月</w:t>
            </w:r>
            <w:r>
              <w:rPr>
                <w:rFonts w:hint="eastAsia"/>
                <w:sz w:val="24"/>
                <w:szCs w:val="24"/>
              </w:rPr>
              <w:t>24</w:t>
            </w:r>
            <w:r>
              <w:rPr>
                <w:sz w:val="24"/>
                <w:szCs w:val="24"/>
              </w:rPr>
              <w:t>日</w:t>
            </w:r>
          </w:p>
        </w:tc>
      </w:tr>
      <w:tr w:rsidR="00024E89">
        <w:tc>
          <w:tcPr>
            <w:tcW w:w="2977" w:type="dxa"/>
          </w:tcPr>
          <w:p w:rsidR="00024E89" w:rsidRDefault="00C164AC">
            <w:pPr>
              <w:spacing w:line="360" w:lineRule="auto"/>
              <w:rPr>
                <w:sz w:val="24"/>
                <w:szCs w:val="24"/>
              </w:rPr>
            </w:pPr>
            <w:r>
              <w:rPr>
                <w:rFonts w:hint="eastAsia"/>
                <w:sz w:val="24"/>
                <w:szCs w:val="24"/>
              </w:rPr>
              <w:t>转换转入起始日</w:t>
            </w:r>
          </w:p>
        </w:tc>
        <w:tc>
          <w:tcPr>
            <w:tcW w:w="6095" w:type="dxa"/>
          </w:tcPr>
          <w:p w:rsidR="00024E89" w:rsidRDefault="00C164AC">
            <w:pPr>
              <w:spacing w:line="360" w:lineRule="auto"/>
              <w:rPr>
                <w:sz w:val="24"/>
                <w:szCs w:val="24"/>
              </w:rPr>
            </w:pPr>
            <w:r>
              <w:rPr>
                <w:sz w:val="24"/>
                <w:szCs w:val="24"/>
              </w:rPr>
              <w:t>202</w:t>
            </w:r>
            <w:r>
              <w:rPr>
                <w:rFonts w:hint="eastAsia"/>
                <w:sz w:val="24"/>
                <w:szCs w:val="24"/>
              </w:rPr>
              <w:t>6</w:t>
            </w:r>
            <w:r>
              <w:rPr>
                <w:sz w:val="24"/>
                <w:szCs w:val="24"/>
              </w:rPr>
              <w:t>年</w:t>
            </w:r>
            <w:r>
              <w:rPr>
                <w:rFonts w:hint="eastAsia"/>
                <w:sz w:val="24"/>
                <w:szCs w:val="24"/>
              </w:rPr>
              <w:t>2</w:t>
            </w:r>
            <w:r>
              <w:rPr>
                <w:sz w:val="24"/>
                <w:szCs w:val="24"/>
              </w:rPr>
              <w:t>月</w:t>
            </w:r>
            <w:r>
              <w:rPr>
                <w:rFonts w:hint="eastAsia"/>
                <w:sz w:val="24"/>
                <w:szCs w:val="24"/>
              </w:rPr>
              <w:t>24</w:t>
            </w:r>
            <w:r>
              <w:rPr>
                <w:sz w:val="24"/>
                <w:szCs w:val="24"/>
              </w:rPr>
              <w:t>日</w:t>
            </w:r>
          </w:p>
        </w:tc>
      </w:tr>
      <w:tr w:rsidR="00024E89">
        <w:tc>
          <w:tcPr>
            <w:tcW w:w="2977" w:type="dxa"/>
          </w:tcPr>
          <w:p w:rsidR="00024E89" w:rsidRDefault="00C164AC">
            <w:pPr>
              <w:spacing w:line="360" w:lineRule="auto"/>
              <w:rPr>
                <w:sz w:val="24"/>
                <w:szCs w:val="24"/>
              </w:rPr>
            </w:pPr>
            <w:r>
              <w:rPr>
                <w:rFonts w:hint="eastAsia"/>
                <w:sz w:val="24"/>
                <w:szCs w:val="24"/>
              </w:rPr>
              <w:t>转换转出起始日</w:t>
            </w:r>
          </w:p>
        </w:tc>
        <w:tc>
          <w:tcPr>
            <w:tcW w:w="6095" w:type="dxa"/>
          </w:tcPr>
          <w:p w:rsidR="00024E89" w:rsidRDefault="00C164AC">
            <w:pPr>
              <w:spacing w:line="360" w:lineRule="auto"/>
              <w:rPr>
                <w:sz w:val="24"/>
                <w:szCs w:val="24"/>
              </w:rPr>
            </w:pPr>
            <w:r>
              <w:rPr>
                <w:sz w:val="24"/>
                <w:szCs w:val="24"/>
              </w:rPr>
              <w:t>202</w:t>
            </w:r>
            <w:r>
              <w:rPr>
                <w:rFonts w:hint="eastAsia"/>
                <w:sz w:val="24"/>
                <w:szCs w:val="24"/>
              </w:rPr>
              <w:t>6</w:t>
            </w:r>
            <w:r>
              <w:rPr>
                <w:sz w:val="24"/>
                <w:szCs w:val="24"/>
              </w:rPr>
              <w:t>年</w:t>
            </w:r>
            <w:r>
              <w:rPr>
                <w:rFonts w:hint="eastAsia"/>
                <w:sz w:val="24"/>
                <w:szCs w:val="24"/>
              </w:rPr>
              <w:t>2</w:t>
            </w:r>
            <w:r>
              <w:rPr>
                <w:sz w:val="24"/>
                <w:szCs w:val="24"/>
              </w:rPr>
              <w:t>月</w:t>
            </w:r>
            <w:r>
              <w:rPr>
                <w:rFonts w:hint="eastAsia"/>
                <w:sz w:val="24"/>
                <w:szCs w:val="24"/>
              </w:rPr>
              <w:t>24</w:t>
            </w:r>
            <w:r>
              <w:rPr>
                <w:sz w:val="24"/>
                <w:szCs w:val="24"/>
              </w:rPr>
              <w:t>日</w:t>
            </w:r>
          </w:p>
        </w:tc>
      </w:tr>
    </w:tbl>
    <w:p w:rsidR="00024E89" w:rsidRDefault="00C164AC" w:rsidP="00C164AC">
      <w:pPr>
        <w:ind w:firstLineChars="59" w:firstLine="142"/>
        <w:rPr>
          <w:bCs/>
          <w:sz w:val="24"/>
        </w:rPr>
      </w:pPr>
      <w:r>
        <w:rPr>
          <w:rFonts w:hint="eastAsia"/>
          <w:bCs/>
          <w:sz w:val="24"/>
        </w:rPr>
        <w:t>注：本基金不向个人投资者公开发售。</w:t>
      </w:r>
    </w:p>
    <w:p w:rsidR="00024E89" w:rsidRDefault="00C164AC" w:rsidP="00C164AC">
      <w:pPr>
        <w:pStyle w:val="2"/>
        <w:spacing w:beforeLines="50" w:afterLines="50" w:line="360" w:lineRule="auto"/>
        <w:rPr>
          <w:rFonts w:ascii="Times New Roman" w:eastAsia="宋体" w:hAnsi="Times New Roman"/>
          <w:sz w:val="24"/>
          <w:szCs w:val="24"/>
        </w:rPr>
        <w:pPrChange w:id="13" w:author="ZHONGM" w:date="2026-02-02T00:00:00Z">
          <w:pPr>
            <w:pStyle w:val="2"/>
            <w:spacing w:beforeLines="50" w:afterLines="50" w:line="360" w:lineRule="auto"/>
          </w:pPr>
        </w:pPrChange>
      </w:pPr>
      <w:r>
        <w:rPr>
          <w:rFonts w:ascii="Times New Roman" w:hAnsi="Times New Roman"/>
          <w:sz w:val="24"/>
          <w:szCs w:val="24"/>
        </w:rPr>
        <w:t xml:space="preserve">2 </w:t>
      </w:r>
      <w:bookmarkStart w:id="14" w:name="t_2_2_table"/>
      <w:bookmarkEnd w:id="14"/>
      <w:r>
        <w:rPr>
          <w:rFonts w:ascii="Times New Roman" w:eastAsia="宋体" w:hAnsi="Times New Roman" w:hint="eastAsia"/>
          <w:sz w:val="24"/>
          <w:szCs w:val="24"/>
        </w:rPr>
        <w:t>日常申购、赎回、转换业务的办理时间</w:t>
      </w:r>
    </w:p>
    <w:p w:rsidR="00024E89" w:rsidRDefault="00C164AC" w:rsidP="00C164AC">
      <w:pPr>
        <w:spacing w:beforeLines="50" w:afterLines="50" w:line="360" w:lineRule="auto"/>
        <w:ind w:firstLineChars="200" w:firstLine="482"/>
        <w:rPr>
          <w:b/>
          <w:sz w:val="24"/>
          <w:szCs w:val="24"/>
        </w:rPr>
        <w:pPrChange w:id="15" w:author="ZHONGM" w:date="2026-02-02T00:00:00Z">
          <w:pPr>
            <w:spacing w:beforeLines="50" w:afterLines="50" w:line="360" w:lineRule="auto"/>
            <w:ind w:firstLineChars="200" w:firstLine="482"/>
          </w:pPr>
        </w:pPrChange>
      </w:pPr>
      <w:bookmarkStart w:id="16" w:name="t_2_2_2819_a1_fm1"/>
      <w:bookmarkEnd w:id="16"/>
      <w:r>
        <w:rPr>
          <w:rFonts w:hint="eastAsia"/>
          <w:b/>
          <w:sz w:val="24"/>
          <w:szCs w:val="24"/>
        </w:rPr>
        <w:t>2</w:t>
      </w:r>
      <w:r>
        <w:rPr>
          <w:b/>
          <w:sz w:val="24"/>
          <w:szCs w:val="24"/>
        </w:rPr>
        <w:t>.1</w:t>
      </w:r>
      <w:r>
        <w:rPr>
          <w:rFonts w:hint="eastAsia"/>
          <w:b/>
          <w:sz w:val="24"/>
          <w:szCs w:val="24"/>
        </w:rPr>
        <w:t>开放日及开放时间</w:t>
      </w:r>
    </w:p>
    <w:p w:rsidR="00024E89" w:rsidRDefault="00C164AC">
      <w:pPr>
        <w:spacing w:line="360" w:lineRule="auto"/>
        <w:ind w:firstLineChars="200" w:firstLine="480"/>
        <w:rPr>
          <w:bCs/>
          <w:sz w:val="24"/>
        </w:rPr>
      </w:pPr>
      <w:r>
        <w:rPr>
          <w:rFonts w:hint="eastAsia"/>
          <w:bCs/>
          <w:sz w:val="24"/>
        </w:rPr>
        <w:lastRenderedPageBreak/>
        <w:t>本基金办理基金份额的申购和赎回的开放日为开放期内的每个工作日</w:t>
      </w:r>
      <w:r>
        <w:rPr>
          <w:bCs/>
          <w:sz w:val="24"/>
        </w:rPr>
        <w:t>，具体办理时间为上海证券交易所、深圳证券交易所的正常交易日的交易时间，但基金管理人根据法律法规、中国证监会的要求或基金合同的规定公告暂停申购</w:t>
      </w:r>
      <w:r>
        <w:rPr>
          <w:rFonts w:hint="eastAsia"/>
          <w:bCs/>
          <w:sz w:val="24"/>
        </w:rPr>
        <w:t>、赎回</w:t>
      </w:r>
      <w:r>
        <w:rPr>
          <w:bCs/>
          <w:sz w:val="24"/>
        </w:rPr>
        <w:t>时除外。</w:t>
      </w:r>
      <w:r>
        <w:rPr>
          <w:rFonts w:hint="eastAsia"/>
          <w:bCs/>
          <w:sz w:val="24"/>
        </w:rPr>
        <w:t>封闭期内，本基金不办理申购、赎回业务，也不上市交易。</w:t>
      </w:r>
    </w:p>
    <w:p w:rsidR="00024E89" w:rsidRDefault="00C164AC">
      <w:pPr>
        <w:spacing w:line="360" w:lineRule="auto"/>
        <w:ind w:firstLineChars="200" w:firstLine="480"/>
        <w:rPr>
          <w:bCs/>
          <w:sz w:val="24"/>
        </w:rPr>
      </w:pPr>
      <w:r>
        <w:rPr>
          <w:bCs/>
          <w:sz w:val="24"/>
        </w:rPr>
        <w:t>基金合同生效后，若出现新的证券交易市场、证券交易所交易时间变更或其他特殊情况，基金管理人将视情况对前述开放日及开放时间进行相应的调整，但应在实施日前依照《信息披露办法》的有关规定在规定媒介上公告</w:t>
      </w:r>
      <w:r>
        <w:rPr>
          <w:rFonts w:hint="eastAsia"/>
          <w:bCs/>
          <w:sz w:val="24"/>
        </w:rPr>
        <w:t>。</w:t>
      </w:r>
    </w:p>
    <w:p w:rsidR="00024E89" w:rsidRDefault="00C164AC" w:rsidP="00C164AC">
      <w:pPr>
        <w:spacing w:beforeLines="50" w:afterLines="50" w:line="360" w:lineRule="auto"/>
        <w:ind w:firstLineChars="200" w:firstLine="482"/>
        <w:rPr>
          <w:b/>
          <w:sz w:val="24"/>
          <w:szCs w:val="24"/>
        </w:rPr>
      </w:pPr>
      <w:r>
        <w:rPr>
          <w:rFonts w:hint="eastAsia"/>
          <w:b/>
          <w:sz w:val="24"/>
          <w:szCs w:val="24"/>
        </w:rPr>
        <w:t>2</w:t>
      </w:r>
      <w:r>
        <w:rPr>
          <w:b/>
          <w:sz w:val="24"/>
          <w:szCs w:val="24"/>
        </w:rPr>
        <w:t>.2</w:t>
      </w:r>
      <w:r>
        <w:rPr>
          <w:rFonts w:hint="eastAsia"/>
          <w:b/>
          <w:sz w:val="24"/>
          <w:szCs w:val="24"/>
        </w:rPr>
        <w:t>申购、赎回、转换开始日及业务办理时间</w:t>
      </w:r>
    </w:p>
    <w:p w:rsidR="00024E89" w:rsidRDefault="00C164AC">
      <w:pPr>
        <w:spacing w:line="360" w:lineRule="auto"/>
        <w:ind w:firstLineChars="200" w:firstLine="480"/>
        <w:rPr>
          <w:bCs/>
          <w:sz w:val="24"/>
        </w:rPr>
      </w:pPr>
      <w:r>
        <w:rPr>
          <w:rFonts w:hint="eastAsia"/>
          <w:bCs/>
          <w:sz w:val="24"/>
        </w:rPr>
        <w:t>本基金在开放期内办理申购与赎回业务。本基金的封闭期为自基金合同生效之日（含当日）起或自每一开放期结束之日次日（含当日）起，至该日一年后的年度对应日的前一日止。年度对应日指某一个特定日期在后续年度中的对应日期，如该对应日为非工作日或没有对应的日历日期，则顺延至下一个工作日。本基金在封闭期内不办理申购、赎回等业务，也不上市交易。</w:t>
      </w:r>
    </w:p>
    <w:p w:rsidR="00024E89" w:rsidRDefault="00C164AC">
      <w:pPr>
        <w:spacing w:line="360" w:lineRule="auto"/>
        <w:ind w:firstLineChars="200" w:firstLine="480"/>
        <w:rPr>
          <w:bCs/>
          <w:sz w:val="24"/>
        </w:rPr>
      </w:pPr>
      <w:r>
        <w:rPr>
          <w:rFonts w:hint="eastAsia"/>
          <w:bCs/>
          <w:sz w:val="24"/>
        </w:rPr>
        <w:t>每个封闭期结束日的下一工作日（含）起，本基金进入开放期，开放期不少于</w:t>
      </w:r>
      <w:r>
        <w:rPr>
          <w:rFonts w:hint="eastAsia"/>
          <w:bCs/>
          <w:sz w:val="24"/>
        </w:rPr>
        <w:t>2</w:t>
      </w:r>
      <w:r>
        <w:rPr>
          <w:rFonts w:hint="eastAsia"/>
          <w:bCs/>
          <w:sz w:val="24"/>
        </w:rPr>
        <w:t>个工作日且不超过</w:t>
      </w:r>
      <w:r>
        <w:rPr>
          <w:rFonts w:hint="eastAsia"/>
          <w:bCs/>
          <w:sz w:val="24"/>
        </w:rPr>
        <w:t>20</w:t>
      </w:r>
      <w:r>
        <w:rPr>
          <w:rFonts w:hint="eastAsia"/>
          <w:bCs/>
          <w:sz w:val="24"/>
        </w:rPr>
        <w:t>个工作日，具体时间由基金管理人在当期封闭期结束前公告。投资者可在开放期内办理本基金的申购、赎回</w:t>
      </w:r>
      <w:r>
        <w:rPr>
          <w:rFonts w:hint="eastAsia"/>
          <w:bCs/>
          <w:sz w:val="24"/>
        </w:rPr>
        <w:t>或其他业务。</w:t>
      </w:r>
    </w:p>
    <w:p w:rsidR="00024E89" w:rsidRDefault="00C164AC">
      <w:pPr>
        <w:spacing w:line="360" w:lineRule="auto"/>
        <w:ind w:firstLineChars="200" w:firstLine="480"/>
        <w:rPr>
          <w:bCs/>
          <w:sz w:val="24"/>
        </w:rPr>
      </w:pPr>
      <w:r>
        <w:rPr>
          <w:rFonts w:hint="eastAsia"/>
          <w:bCs/>
          <w:sz w:val="24"/>
        </w:rPr>
        <w:t>本基金第四个开放期时间为</w:t>
      </w:r>
      <w:r>
        <w:rPr>
          <w:rFonts w:hint="eastAsia"/>
          <w:bCs/>
          <w:sz w:val="24"/>
        </w:rPr>
        <w:t>2026</w:t>
      </w:r>
      <w:r>
        <w:rPr>
          <w:rFonts w:hint="eastAsia"/>
          <w:bCs/>
          <w:sz w:val="24"/>
        </w:rPr>
        <w:t>年</w:t>
      </w:r>
      <w:r>
        <w:rPr>
          <w:rFonts w:hint="eastAsia"/>
          <w:bCs/>
          <w:sz w:val="24"/>
        </w:rPr>
        <w:t>2</w:t>
      </w:r>
      <w:r>
        <w:rPr>
          <w:rFonts w:hint="eastAsia"/>
          <w:bCs/>
          <w:sz w:val="24"/>
        </w:rPr>
        <w:t>月</w:t>
      </w:r>
      <w:r>
        <w:rPr>
          <w:rFonts w:hint="eastAsia"/>
          <w:bCs/>
          <w:sz w:val="24"/>
        </w:rPr>
        <w:t>24</w:t>
      </w:r>
      <w:r>
        <w:rPr>
          <w:rFonts w:hint="eastAsia"/>
          <w:bCs/>
          <w:sz w:val="24"/>
        </w:rPr>
        <w:t>日至</w:t>
      </w:r>
      <w:r>
        <w:rPr>
          <w:rFonts w:hint="eastAsia"/>
          <w:bCs/>
          <w:sz w:val="24"/>
        </w:rPr>
        <w:t>2026</w:t>
      </w:r>
      <w:r>
        <w:rPr>
          <w:rFonts w:hint="eastAsia"/>
          <w:bCs/>
          <w:sz w:val="24"/>
        </w:rPr>
        <w:t>年</w:t>
      </w:r>
      <w:r>
        <w:rPr>
          <w:rFonts w:hint="eastAsia"/>
          <w:bCs/>
          <w:sz w:val="24"/>
        </w:rPr>
        <w:t>3</w:t>
      </w:r>
      <w:r>
        <w:rPr>
          <w:rFonts w:hint="eastAsia"/>
          <w:bCs/>
          <w:sz w:val="24"/>
        </w:rPr>
        <w:t>月</w:t>
      </w:r>
      <w:r>
        <w:rPr>
          <w:rFonts w:hint="eastAsia"/>
          <w:bCs/>
          <w:sz w:val="24"/>
        </w:rPr>
        <w:t>23</w:t>
      </w:r>
      <w:r>
        <w:rPr>
          <w:rFonts w:hint="eastAsia"/>
          <w:bCs/>
          <w:sz w:val="24"/>
        </w:rPr>
        <w:t>日，开放期内本基金接受申购、赎回或转换申请。如第四个开放期未发生不可抗力或其他情形致使基金无法按时开放申购、赎回或转换业务，本基金自</w:t>
      </w:r>
      <w:r>
        <w:rPr>
          <w:rFonts w:hint="eastAsia"/>
          <w:bCs/>
          <w:sz w:val="24"/>
        </w:rPr>
        <w:t>2026</w:t>
      </w:r>
      <w:r>
        <w:rPr>
          <w:rFonts w:hint="eastAsia"/>
          <w:bCs/>
          <w:sz w:val="24"/>
        </w:rPr>
        <w:t>年</w:t>
      </w:r>
      <w:r>
        <w:rPr>
          <w:rFonts w:hint="eastAsia"/>
          <w:bCs/>
          <w:sz w:val="24"/>
        </w:rPr>
        <w:t>3</w:t>
      </w:r>
      <w:r>
        <w:rPr>
          <w:rFonts w:hint="eastAsia"/>
          <w:bCs/>
          <w:sz w:val="24"/>
        </w:rPr>
        <w:t>月</w:t>
      </w:r>
      <w:r>
        <w:rPr>
          <w:rFonts w:hint="eastAsia"/>
          <w:bCs/>
          <w:sz w:val="24"/>
        </w:rPr>
        <w:t>2</w:t>
      </w:r>
      <w:r>
        <w:rPr>
          <w:bCs/>
          <w:sz w:val="24"/>
        </w:rPr>
        <w:t>4</w:t>
      </w:r>
      <w:r>
        <w:rPr>
          <w:rFonts w:hint="eastAsia"/>
          <w:bCs/>
          <w:sz w:val="24"/>
        </w:rPr>
        <w:t>日起将进入第五个封闭期。如封闭期结束后或在开放期内发生不可抗力或其他情形致使基金无法按时开放申购、赎回或转换业务，开放期时间顺延，直至满足开放期的时间要求，具体时间以基金管理人届时公告为准。</w:t>
      </w:r>
    </w:p>
    <w:p w:rsidR="00024E89" w:rsidRDefault="00C164AC">
      <w:pPr>
        <w:spacing w:line="360" w:lineRule="auto"/>
        <w:ind w:firstLineChars="200" w:firstLine="480"/>
        <w:rPr>
          <w:bCs/>
          <w:sz w:val="24"/>
        </w:rPr>
      </w:pPr>
      <w:r>
        <w:rPr>
          <w:rFonts w:hint="eastAsia"/>
          <w:bCs/>
          <w:sz w:val="24"/>
        </w:rPr>
        <w:t>基金管理人不得在基金合同约定之外的日期或者时间办理基金份额的申购、赎回或者转换。在开放期内，</w:t>
      </w:r>
      <w:r>
        <w:rPr>
          <w:rFonts w:hint="eastAsia"/>
          <w:bCs/>
          <w:sz w:val="24"/>
        </w:rPr>
        <w:t>投资人在基金合同约定之外的日期和时间提出申购、赎回或转换申请且登记机构确认接受的，其基金份额申购、赎回价格为下一开放日基金份额申购、赎回的价格。但若投资人在开放期最后一日业务办理时间结束之后提出申购、赎回或者转换申请的，视为无效申请。</w:t>
      </w:r>
    </w:p>
    <w:p w:rsidR="00024E89" w:rsidRDefault="00C164AC" w:rsidP="00C164AC">
      <w:pPr>
        <w:pStyle w:val="2"/>
        <w:spacing w:beforeLines="50" w:afterLines="50" w:line="360" w:lineRule="auto"/>
        <w:rPr>
          <w:rFonts w:ascii="Times New Roman" w:hAnsi="Times New Roman"/>
          <w:sz w:val="24"/>
          <w:szCs w:val="24"/>
        </w:rPr>
        <w:pPrChange w:id="17" w:author="ZHONGM" w:date="2026-02-02T00:00:00Z">
          <w:pPr>
            <w:pStyle w:val="2"/>
            <w:spacing w:beforeLines="50" w:afterLines="50" w:line="360" w:lineRule="auto"/>
          </w:pPr>
        </w:pPrChange>
      </w:pPr>
      <w:r>
        <w:rPr>
          <w:rFonts w:ascii="Times New Roman" w:hAnsi="Times New Roman"/>
          <w:sz w:val="24"/>
          <w:szCs w:val="24"/>
        </w:rPr>
        <w:lastRenderedPageBreak/>
        <w:t xml:space="preserve">3 </w:t>
      </w:r>
      <w:r>
        <w:rPr>
          <w:rFonts w:ascii="Times New Roman" w:eastAsia="宋体" w:hAnsi="Times New Roman" w:hint="eastAsia"/>
          <w:sz w:val="24"/>
          <w:szCs w:val="24"/>
        </w:rPr>
        <w:t>申购业务</w:t>
      </w:r>
    </w:p>
    <w:p w:rsidR="00024E89" w:rsidRDefault="00C164AC" w:rsidP="00C164AC">
      <w:pPr>
        <w:spacing w:beforeLines="50" w:afterLines="50" w:line="360" w:lineRule="auto"/>
        <w:ind w:firstLineChars="200" w:firstLine="482"/>
        <w:rPr>
          <w:b/>
          <w:sz w:val="24"/>
          <w:szCs w:val="24"/>
        </w:rPr>
        <w:pPrChange w:id="18" w:author="ZHONGM" w:date="2026-02-02T00:00:00Z">
          <w:pPr>
            <w:spacing w:beforeLines="50" w:afterLines="50" w:line="360" w:lineRule="auto"/>
            <w:ind w:firstLineChars="200" w:firstLine="482"/>
          </w:pPr>
        </w:pPrChange>
      </w:pPr>
      <w:r>
        <w:rPr>
          <w:b/>
          <w:sz w:val="24"/>
          <w:szCs w:val="24"/>
        </w:rPr>
        <w:t xml:space="preserve">3.1 </w:t>
      </w:r>
      <w:r>
        <w:rPr>
          <w:b/>
          <w:sz w:val="24"/>
          <w:szCs w:val="24"/>
        </w:rPr>
        <w:t>申购金额限制</w:t>
      </w:r>
    </w:p>
    <w:p w:rsidR="00024E89" w:rsidRDefault="00C164AC">
      <w:pPr>
        <w:widowControl/>
        <w:adjustRightInd w:val="0"/>
        <w:snapToGrid w:val="0"/>
        <w:spacing w:line="360" w:lineRule="auto"/>
        <w:ind w:firstLineChars="200" w:firstLine="480"/>
        <w:rPr>
          <w:bCs/>
          <w:sz w:val="24"/>
        </w:rPr>
      </w:pPr>
      <w:r>
        <w:rPr>
          <w:bCs/>
          <w:sz w:val="24"/>
        </w:rPr>
        <w:t>3.1.</w:t>
      </w:r>
      <w:r>
        <w:rPr>
          <w:rFonts w:hint="eastAsia"/>
          <w:bCs/>
          <w:sz w:val="24"/>
        </w:rPr>
        <w:t>1</w:t>
      </w:r>
      <w:r>
        <w:rPr>
          <w:rFonts w:hint="eastAsia"/>
          <w:bCs/>
          <w:sz w:val="24"/>
        </w:rPr>
        <w:t>投资人通过基金管理人的直销机构（网上交易除外）申购，单笔最低限额为人民币</w:t>
      </w:r>
      <w:r>
        <w:rPr>
          <w:rFonts w:hint="eastAsia"/>
          <w:bCs/>
          <w:sz w:val="24"/>
        </w:rPr>
        <w:t>100</w:t>
      </w:r>
      <w:r>
        <w:rPr>
          <w:rFonts w:hint="eastAsia"/>
          <w:bCs/>
          <w:sz w:val="24"/>
        </w:rPr>
        <w:t>元（含申购费），追加申购的单笔最低金额为</w:t>
      </w:r>
      <w:r>
        <w:rPr>
          <w:rFonts w:hint="eastAsia"/>
          <w:bCs/>
          <w:sz w:val="24"/>
        </w:rPr>
        <w:t>100</w:t>
      </w:r>
      <w:r>
        <w:rPr>
          <w:rFonts w:hint="eastAsia"/>
          <w:bCs/>
          <w:sz w:val="24"/>
        </w:rPr>
        <w:t>元（含申购费）；通过基金管理人网上交易系统或基金管理人指定的代销机构申购，单笔最低限额为人民币</w:t>
      </w:r>
      <w:r>
        <w:rPr>
          <w:rFonts w:hint="eastAsia"/>
          <w:bCs/>
          <w:sz w:val="24"/>
        </w:rPr>
        <w:t>10</w:t>
      </w:r>
      <w:r>
        <w:rPr>
          <w:rFonts w:hint="eastAsia"/>
          <w:bCs/>
          <w:sz w:val="24"/>
        </w:rPr>
        <w:t>元（含申</w:t>
      </w:r>
      <w:r>
        <w:rPr>
          <w:rFonts w:hint="eastAsia"/>
          <w:bCs/>
          <w:sz w:val="24"/>
        </w:rPr>
        <w:t>购费），追加申购的单笔最低金额为</w:t>
      </w:r>
      <w:r>
        <w:rPr>
          <w:rFonts w:hint="eastAsia"/>
          <w:bCs/>
          <w:sz w:val="24"/>
        </w:rPr>
        <w:t>10</w:t>
      </w:r>
      <w:r>
        <w:rPr>
          <w:rFonts w:hint="eastAsia"/>
          <w:bCs/>
          <w:sz w:val="24"/>
        </w:rPr>
        <w:t>元（含申购费）；基金管理人可根据有关法律法规的规定和市场情况，调整本基金申购和追加申购的最低金额或累计申购金额。各销售机构对上述最低申购限额及交易级差有其他规定的，以各销售机构的业务规定为准，但通常不得低于上述下限。</w:t>
      </w:r>
    </w:p>
    <w:p w:rsidR="00024E89" w:rsidRDefault="00C164AC">
      <w:pPr>
        <w:widowControl/>
        <w:adjustRightInd w:val="0"/>
        <w:snapToGrid w:val="0"/>
        <w:spacing w:line="360" w:lineRule="auto"/>
        <w:ind w:firstLineChars="200" w:firstLine="480"/>
        <w:rPr>
          <w:bCs/>
          <w:sz w:val="24"/>
        </w:rPr>
      </w:pPr>
      <w:r>
        <w:rPr>
          <w:bCs/>
          <w:sz w:val="24"/>
        </w:rPr>
        <w:t>3.1.</w:t>
      </w:r>
      <w:r>
        <w:rPr>
          <w:rFonts w:hint="eastAsia"/>
          <w:bCs/>
          <w:sz w:val="24"/>
        </w:rPr>
        <w:t>2</w:t>
      </w:r>
      <w:r>
        <w:rPr>
          <w:rFonts w:hint="eastAsia"/>
          <w:bCs/>
          <w:sz w:val="24"/>
        </w:rPr>
        <w:t>基金管理人对单个投资人累计持有的基金份额不设上限。</w:t>
      </w:r>
    </w:p>
    <w:p w:rsidR="00024E89" w:rsidRDefault="00C164AC">
      <w:pPr>
        <w:widowControl/>
        <w:adjustRightInd w:val="0"/>
        <w:snapToGrid w:val="0"/>
        <w:spacing w:line="360" w:lineRule="auto"/>
        <w:ind w:firstLineChars="200" w:firstLine="480"/>
        <w:rPr>
          <w:bCs/>
          <w:sz w:val="24"/>
        </w:rPr>
      </w:pPr>
      <w:r>
        <w:rPr>
          <w:rFonts w:hint="eastAsia"/>
          <w:bCs/>
          <w:sz w:val="24"/>
        </w:rPr>
        <w:t>3</w:t>
      </w:r>
      <w:r>
        <w:rPr>
          <w:bCs/>
          <w:sz w:val="24"/>
        </w:rPr>
        <w:t>.1.</w:t>
      </w:r>
      <w:r>
        <w:rPr>
          <w:rFonts w:hint="eastAsia"/>
          <w:bCs/>
          <w:sz w:val="24"/>
        </w:rPr>
        <w:t>3</w:t>
      </w:r>
      <w:r>
        <w:rPr>
          <w:bCs/>
          <w:sz w:val="24"/>
        </w:rPr>
        <w:t>当接受申购申请对存量基金份额持有人利益构成潜在重大不利影响时，基金</w:t>
      </w:r>
      <w:r>
        <w:rPr>
          <w:bCs/>
          <w:sz w:val="24"/>
        </w:rPr>
        <w:t xml:space="preserve"> </w:t>
      </w:r>
      <w:r>
        <w:rPr>
          <w:bCs/>
          <w:sz w:val="24"/>
        </w:rPr>
        <w:t>管理人应当采取设定单一投资者申购金额上限或基金单日净申购比例上限、拒绝大</w:t>
      </w:r>
      <w:r>
        <w:rPr>
          <w:bCs/>
          <w:sz w:val="24"/>
        </w:rPr>
        <w:t xml:space="preserve"> </w:t>
      </w:r>
      <w:r>
        <w:rPr>
          <w:bCs/>
          <w:sz w:val="24"/>
        </w:rPr>
        <w:t>额申购、暂停基金申购等措施，切实保护存量基金</w:t>
      </w:r>
      <w:r>
        <w:rPr>
          <w:bCs/>
          <w:sz w:val="24"/>
        </w:rPr>
        <w:t>份额持有人的合法权益。基金管理人基于投资运作与风险控制的需要，可采取上述措施对基金规模予以控制。</w:t>
      </w:r>
      <w:r>
        <w:rPr>
          <w:rFonts w:hint="eastAsia"/>
          <w:bCs/>
          <w:sz w:val="24"/>
        </w:rPr>
        <w:t>具体规定请参见基金管理人的相关公告。</w:t>
      </w:r>
    </w:p>
    <w:p w:rsidR="00024E89" w:rsidRDefault="00C164AC">
      <w:pPr>
        <w:widowControl/>
        <w:adjustRightInd w:val="0"/>
        <w:snapToGrid w:val="0"/>
        <w:spacing w:line="360" w:lineRule="auto"/>
        <w:ind w:firstLineChars="200" w:firstLine="480"/>
        <w:rPr>
          <w:bCs/>
          <w:sz w:val="24"/>
        </w:rPr>
      </w:pPr>
      <w:r>
        <w:rPr>
          <w:rFonts w:hint="eastAsia"/>
          <w:bCs/>
          <w:sz w:val="24"/>
        </w:rPr>
        <w:t>3.1.4</w:t>
      </w:r>
      <w:r>
        <w:rPr>
          <w:rFonts w:hint="eastAsia"/>
          <w:bCs/>
          <w:sz w:val="24"/>
        </w:rPr>
        <w:t>基金管理人可在法律法规允许的情况下，调整上述规定申购金额的数量限制。基金管理人必须在调整实施前依照《信息披露办法》的有关规定在规定媒介上公告。</w:t>
      </w:r>
    </w:p>
    <w:p w:rsidR="00024E89" w:rsidRDefault="00C164AC">
      <w:pPr>
        <w:widowControl/>
        <w:adjustRightInd w:val="0"/>
        <w:snapToGrid w:val="0"/>
        <w:spacing w:line="360" w:lineRule="auto"/>
        <w:ind w:firstLineChars="176" w:firstLine="424"/>
        <w:rPr>
          <w:b/>
          <w:sz w:val="24"/>
          <w:szCs w:val="24"/>
        </w:rPr>
      </w:pPr>
      <w:r>
        <w:rPr>
          <w:b/>
          <w:sz w:val="24"/>
          <w:szCs w:val="24"/>
        </w:rPr>
        <w:t xml:space="preserve">3.2 </w:t>
      </w:r>
      <w:r>
        <w:rPr>
          <w:b/>
          <w:sz w:val="24"/>
          <w:szCs w:val="24"/>
        </w:rPr>
        <w:t>申购费率</w:t>
      </w:r>
    </w:p>
    <w:p w:rsidR="00024E89" w:rsidRDefault="00C164AC">
      <w:pPr>
        <w:spacing w:line="360" w:lineRule="auto"/>
        <w:ind w:firstLineChars="200" w:firstLine="480"/>
        <w:rPr>
          <w:sz w:val="24"/>
        </w:rPr>
      </w:pPr>
      <w:r>
        <w:rPr>
          <w:rFonts w:hint="eastAsia"/>
          <w:sz w:val="24"/>
        </w:rPr>
        <w:t>本基金基金份额在申购时收取申购费用。在申购费按金额分档的情况下，如果投资者多次申购，申购费适用单笔申购金额所对应的费率。本基金的申购费用由申购人承担，主要用于本基金的市场推广、销售、注册登记等各项费用，不列</w:t>
      </w:r>
      <w:r>
        <w:rPr>
          <w:rFonts w:hint="eastAsia"/>
          <w:sz w:val="24"/>
        </w:rPr>
        <w:t>入基金财产。具体如下：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1"/>
        <w:gridCol w:w="2904"/>
      </w:tblGrid>
      <w:tr w:rsidR="00024E89">
        <w:trPr>
          <w:jc w:val="center"/>
        </w:trPr>
        <w:tc>
          <w:tcPr>
            <w:tcW w:w="3361" w:type="dxa"/>
          </w:tcPr>
          <w:p w:rsidR="00024E89" w:rsidRDefault="00C164AC">
            <w:pPr>
              <w:spacing w:line="360" w:lineRule="auto"/>
              <w:jc w:val="center"/>
              <w:rPr>
                <w:bCs/>
                <w:sz w:val="24"/>
              </w:rPr>
            </w:pPr>
            <w:r>
              <w:rPr>
                <w:bCs/>
                <w:sz w:val="24"/>
              </w:rPr>
              <w:t>申购金额（</w:t>
            </w:r>
            <w:r>
              <w:rPr>
                <w:bCs/>
                <w:sz w:val="24"/>
              </w:rPr>
              <w:t>M</w:t>
            </w:r>
            <w:r>
              <w:rPr>
                <w:bCs/>
                <w:sz w:val="24"/>
              </w:rPr>
              <w:t>）</w:t>
            </w:r>
          </w:p>
        </w:tc>
        <w:tc>
          <w:tcPr>
            <w:tcW w:w="2904" w:type="dxa"/>
          </w:tcPr>
          <w:p w:rsidR="00024E89" w:rsidRDefault="00C164AC">
            <w:pPr>
              <w:spacing w:line="360" w:lineRule="auto"/>
              <w:jc w:val="center"/>
              <w:rPr>
                <w:bCs/>
                <w:sz w:val="24"/>
              </w:rPr>
            </w:pPr>
            <w:r>
              <w:rPr>
                <w:bCs/>
                <w:sz w:val="24"/>
              </w:rPr>
              <w:t>申购费率</w:t>
            </w:r>
          </w:p>
        </w:tc>
      </w:tr>
      <w:tr w:rsidR="00024E89">
        <w:trPr>
          <w:cantSplit/>
          <w:trHeight w:val="487"/>
          <w:jc w:val="center"/>
        </w:trPr>
        <w:tc>
          <w:tcPr>
            <w:tcW w:w="3361" w:type="dxa"/>
          </w:tcPr>
          <w:p w:rsidR="00024E89" w:rsidRDefault="00C164AC">
            <w:pPr>
              <w:spacing w:line="360" w:lineRule="auto"/>
              <w:jc w:val="center"/>
              <w:rPr>
                <w:bCs/>
                <w:sz w:val="24"/>
              </w:rPr>
            </w:pPr>
            <w:r>
              <w:rPr>
                <w:bCs/>
                <w:sz w:val="24"/>
              </w:rPr>
              <w:t>M</w:t>
            </w:r>
            <w:r>
              <w:rPr>
                <w:bCs/>
                <w:sz w:val="24"/>
              </w:rPr>
              <w:t>＜</w:t>
            </w:r>
            <w:r>
              <w:rPr>
                <w:bCs/>
                <w:sz w:val="24"/>
              </w:rPr>
              <w:t>100</w:t>
            </w:r>
            <w:r>
              <w:rPr>
                <w:bCs/>
                <w:sz w:val="24"/>
              </w:rPr>
              <w:t>万元</w:t>
            </w:r>
          </w:p>
        </w:tc>
        <w:tc>
          <w:tcPr>
            <w:tcW w:w="2904" w:type="dxa"/>
          </w:tcPr>
          <w:p w:rsidR="00024E89" w:rsidRDefault="00C164AC">
            <w:pPr>
              <w:spacing w:line="360" w:lineRule="auto"/>
              <w:jc w:val="center"/>
              <w:rPr>
                <w:bCs/>
                <w:sz w:val="24"/>
              </w:rPr>
            </w:pPr>
            <w:r>
              <w:rPr>
                <w:bCs/>
                <w:sz w:val="24"/>
              </w:rPr>
              <w:t>0.60%</w:t>
            </w:r>
          </w:p>
        </w:tc>
      </w:tr>
      <w:tr w:rsidR="00024E89">
        <w:trPr>
          <w:cantSplit/>
          <w:trHeight w:val="487"/>
          <w:jc w:val="center"/>
        </w:trPr>
        <w:tc>
          <w:tcPr>
            <w:tcW w:w="3361" w:type="dxa"/>
          </w:tcPr>
          <w:p w:rsidR="00024E89" w:rsidRDefault="00C164AC">
            <w:pPr>
              <w:spacing w:line="360" w:lineRule="auto"/>
              <w:jc w:val="center"/>
              <w:rPr>
                <w:bCs/>
                <w:sz w:val="24"/>
              </w:rPr>
            </w:pPr>
            <w:r>
              <w:rPr>
                <w:rFonts w:hint="eastAsia"/>
                <w:bCs/>
                <w:sz w:val="24"/>
              </w:rPr>
              <w:t>100</w:t>
            </w:r>
            <w:r>
              <w:rPr>
                <w:rFonts w:hint="eastAsia"/>
                <w:bCs/>
                <w:sz w:val="24"/>
              </w:rPr>
              <w:t>万元≤</w:t>
            </w:r>
            <w:r>
              <w:rPr>
                <w:rFonts w:hint="eastAsia"/>
                <w:bCs/>
                <w:sz w:val="24"/>
              </w:rPr>
              <w:t>M</w:t>
            </w:r>
            <w:r>
              <w:rPr>
                <w:rFonts w:hint="eastAsia"/>
                <w:bCs/>
                <w:sz w:val="24"/>
              </w:rPr>
              <w:t>＜</w:t>
            </w:r>
            <w:r>
              <w:rPr>
                <w:rFonts w:hint="eastAsia"/>
                <w:bCs/>
                <w:sz w:val="24"/>
              </w:rPr>
              <w:t>300</w:t>
            </w:r>
            <w:r>
              <w:rPr>
                <w:rFonts w:hint="eastAsia"/>
                <w:bCs/>
                <w:sz w:val="24"/>
              </w:rPr>
              <w:t>万元</w:t>
            </w:r>
          </w:p>
        </w:tc>
        <w:tc>
          <w:tcPr>
            <w:tcW w:w="2904" w:type="dxa"/>
          </w:tcPr>
          <w:p w:rsidR="00024E89" w:rsidRDefault="00C164AC">
            <w:pPr>
              <w:spacing w:line="360" w:lineRule="auto"/>
              <w:jc w:val="center"/>
              <w:rPr>
                <w:bCs/>
                <w:sz w:val="24"/>
              </w:rPr>
            </w:pPr>
            <w:r>
              <w:rPr>
                <w:bCs/>
                <w:sz w:val="24"/>
              </w:rPr>
              <w:t>0.</w:t>
            </w:r>
            <w:r>
              <w:rPr>
                <w:rFonts w:hint="eastAsia"/>
                <w:bCs/>
                <w:sz w:val="24"/>
              </w:rPr>
              <w:t>3</w:t>
            </w:r>
            <w:r>
              <w:rPr>
                <w:bCs/>
                <w:sz w:val="24"/>
              </w:rPr>
              <w:t>0%</w:t>
            </w:r>
          </w:p>
        </w:tc>
      </w:tr>
      <w:tr w:rsidR="00024E89">
        <w:trPr>
          <w:cantSplit/>
          <w:trHeight w:val="487"/>
          <w:jc w:val="center"/>
        </w:trPr>
        <w:tc>
          <w:tcPr>
            <w:tcW w:w="3361" w:type="dxa"/>
          </w:tcPr>
          <w:p w:rsidR="00024E89" w:rsidRDefault="00C164AC">
            <w:pPr>
              <w:spacing w:line="360" w:lineRule="auto"/>
              <w:jc w:val="center"/>
              <w:rPr>
                <w:bCs/>
                <w:sz w:val="24"/>
              </w:rPr>
            </w:pPr>
            <w:r>
              <w:rPr>
                <w:bCs/>
                <w:sz w:val="24"/>
              </w:rPr>
              <w:t>300</w:t>
            </w:r>
            <w:r>
              <w:rPr>
                <w:bCs/>
                <w:sz w:val="24"/>
              </w:rPr>
              <w:t>万元</w:t>
            </w:r>
            <w:r>
              <w:rPr>
                <w:bCs/>
                <w:sz w:val="24"/>
              </w:rPr>
              <w:t>≤M</w:t>
            </w:r>
            <w:r>
              <w:rPr>
                <w:bCs/>
                <w:sz w:val="24"/>
              </w:rPr>
              <w:t>＜</w:t>
            </w:r>
            <w:r>
              <w:rPr>
                <w:bCs/>
                <w:sz w:val="24"/>
              </w:rPr>
              <w:t>500</w:t>
            </w:r>
            <w:r>
              <w:rPr>
                <w:bCs/>
                <w:sz w:val="24"/>
              </w:rPr>
              <w:t>万元</w:t>
            </w:r>
          </w:p>
        </w:tc>
        <w:tc>
          <w:tcPr>
            <w:tcW w:w="2904" w:type="dxa"/>
          </w:tcPr>
          <w:p w:rsidR="00024E89" w:rsidRDefault="00C164AC">
            <w:pPr>
              <w:spacing w:line="360" w:lineRule="auto"/>
              <w:jc w:val="center"/>
              <w:rPr>
                <w:bCs/>
                <w:sz w:val="24"/>
              </w:rPr>
            </w:pPr>
            <w:r>
              <w:rPr>
                <w:bCs/>
                <w:sz w:val="24"/>
              </w:rPr>
              <w:t>0.</w:t>
            </w:r>
            <w:r>
              <w:rPr>
                <w:rFonts w:hint="eastAsia"/>
                <w:bCs/>
                <w:sz w:val="24"/>
              </w:rPr>
              <w:t>08</w:t>
            </w:r>
            <w:r>
              <w:rPr>
                <w:bCs/>
                <w:sz w:val="24"/>
              </w:rPr>
              <w:t>%</w:t>
            </w:r>
          </w:p>
        </w:tc>
      </w:tr>
      <w:tr w:rsidR="00024E89">
        <w:trPr>
          <w:jc w:val="center"/>
        </w:trPr>
        <w:tc>
          <w:tcPr>
            <w:tcW w:w="3361" w:type="dxa"/>
            <w:vAlign w:val="center"/>
          </w:tcPr>
          <w:p w:rsidR="00024E89" w:rsidRDefault="00C164AC">
            <w:pPr>
              <w:spacing w:line="360" w:lineRule="auto"/>
              <w:jc w:val="center"/>
              <w:rPr>
                <w:bCs/>
                <w:sz w:val="24"/>
              </w:rPr>
            </w:pPr>
            <w:r>
              <w:rPr>
                <w:bCs/>
                <w:sz w:val="24"/>
              </w:rPr>
              <w:t>M≥500</w:t>
            </w:r>
            <w:r>
              <w:rPr>
                <w:bCs/>
                <w:sz w:val="24"/>
              </w:rPr>
              <w:t>万元</w:t>
            </w:r>
          </w:p>
        </w:tc>
        <w:tc>
          <w:tcPr>
            <w:tcW w:w="2904" w:type="dxa"/>
            <w:vAlign w:val="center"/>
          </w:tcPr>
          <w:p w:rsidR="00024E89" w:rsidRDefault="00C164AC">
            <w:pPr>
              <w:spacing w:line="360" w:lineRule="auto"/>
              <w:jc w:val="center"/>
              <w:rPr>
                <w:bCs/>
                <w:sz w:val="24"/>
              </w:rPr>
            </w:pPr>
            <w:r>
              <w:rPr>
                <w:rFonts w:hint="eastAsia"/>
                <w:bCs/>
                <w:sz w:val="24"/>
              </w:rPr>
              <w:t>按笔收取，每笔</w:t>
            </w:r>
            <w:r>
              <w:rPr>
                <w:rFonts w:hint="eastAsia"/>
                <w:bCs/>
                <w:sz w:val="24"/>
              </w:rPr>
              <w:t>100</w:t>
            </w:r>
            <w:r>
              <w:rPr>
                <w:rFonts w:hint="eastAsia"/>
                <w:bCs/>
                <w:sz w:val="24"/>
              </w:rPr>
              <w:t>元</w:t>
            </w:r>
          </w:p>
        </w:tc>
      </w:tr>
    </w:tbl>
    <w:p w:rsidR="00024E89" w:rsidRDefault="00C164AC" w:rsidP="00C164AC">
      <w:pPr>
        <w:pStyle w:val="2"/>
        <w:spacing w:beforeLines="50" w:afterLines="50" w:line="360" w:lineRule="auto"/>
        <w:rPr>
          <w:rFonts w:ascii="Times New Roman" w:eastAsiaTheme="majorEastAsia" w:hAnsi="Times New Roman"/>
          <w:b w:val="0"/>
          <w:sz w:val="24"/>
          <w:szCs w:val="24"/>
        </w:rPr>
        <w:pPrChange w:id="19" w:author="ZHONGM" w:date="2026-02-02T00:00:00Z">
          <w:pPr>
            <w:pStyle w:val="2"/>
            <w:spacing w:beforeLines="50" w:afterLines="50" w:line="360" w:lineRule="auto"/>
          </w:pPr>
        </w:pPrChange>
      </w:pPr>
      <w:r>
        <w:rPr>
          <w:rFonts w:ascii="Times New Roman" w:eastAsiaTheme="majorEastAsia" w:hAnsi="Times New Roman"/>
          <w:sz w:val="24"/>
          <w:szCs w:val="24"/>
        </w:rPr>
        <w:t xml:space="preserve">4 </w:t>
      </w:r>
      <w:r>
        <w:rPr>
          <w:rFonts w:ascii="Times New Roman" w:eastAsiaTheme="majorEastAsia" w:hAnsi="Times New Roman" w:hint="eastAsia"/>
          <w:sz w:val="24"/>
          <w:szCs w:val="24"/>
        </w:rPr>
        <w:t>赎回业务</w:t>
      </w:r>
    </w:p>
    <w:p w:rsidR="00024E89" w:rsidRDefault="00C164AC" w:rsidP="00C164AC">
      <w:pPr>
        <w:spacing w:beforeLines="50" w:afterLines="50" w:line="360" w:lineRule="auto"/>
        <w:ind w:firstLineChars="200" w:firstLine="482"/>
        <w:rPr>
          <w:b/>
          <w:sz w:val="24"/>
          <w:szCs w:val="24"/>
        </w:rPr>
        <w:pPrChange w:id="20" w:author="ZHONGM" w:date="2026-02-02T00:00:00Z">
          <w:pPr>
            <w:spacing w:beforeLines="50" w:afterLines="50" w:line="360" w:lineRule="auto"/>
            <w:ind w:firstLineChars="200" w:firstLine="482"/>
          </w:pPr>
        </w:pPrChange>
      </w:pPr>
      <w:r>
        <w:rPr>
          <w:b/>
          <w:sz w:val="24"/>
          <w:szCs w:val="24"/>
        </w:rPr>
        <w:t>4.1</w:t>
      </w:r>
      <w:r>
        <w:rPr>
          <w:rFonts w:hint="eastAsia"/>
          <w:b/>
          <w:sz w:val="24"/>
          <w:szCs w:val="24"/>
        </w:rPr>
        <w:t>赎回份额限制</w:t>
      </w:r>
    </w:p>
    <w:p w:rsidR="00024E89" w:rsidRDefault="00C164AC">
      <w:pPr>
        <w:widowControl/>
        <w:adjustRightInd w:val="0"/>
        <w:snapToGrid w:val="0"/>
        <w:spacing w:line="360" w:lineRule="auto"/>
        <w:ind w:firstLineChars="200" w:firstLine="480"/>
        <w:rPr>
          <w:bCs/>
          <w:sz w:val="24"/>
        </w:rPr>
      </w:pPr>
      <w:r>
        <w:rPr>
          <w:rFonts w:hint="eastAsia"/>
          <w:bCs/>
          <w:sz w:val="24"/>
        </w:rPr>
        <w:t>基金份额持有人在销售机构办理赎回时，每笔赎回申请的最低份额为</w:t>
      </w:r>
      <w:r>
        <w:rPr>
          <w:rFonts w:hint="eastAsia"/>
          <w:bCs/>
          <w:sz w:val="24"/>
        </w:rPr>
        <w:t>1</w:t>
      </w:r>
      <w:r>
        <w:rPr>
          <w:rFonts w:hint="eastAsia"/>
          <w:bCs/>
          <w:sz w:val="24"/>
        </w:rPr>
        <w:t>份基金份额；基金份额持有人可将其全部或部分基金份额赎回，但某笔交易类业务（如赎回、基金转换、转托管等）导致单个基金交易账户的基金份额余额少于</w:t>
      </w:r>
      <w:r>
        <w:rPr>
          <w:rFonts w:hint="eastAsia"/>
          <w:bCs/>
          <w:sz w:val="24"/>
        </w:rPr>
        <w:t>1</w:t>
      </w:r>
      <w:r>
        <w:rPr>
          <w:rFonts w:hint="eastAsia"/>
          <w:bCs/>
          <w:sz w:val="24"/>
        </w:rPr>
        <w:t>份（含</w:t>
      </w:r>
      <w:r>
        <w:rPr>
          <w:rFonts w:hint="eastAsia"/>
          <w:bCs/>
          <w:sz w:val="24"/>
        </w:rPr>
        <w:t>1</w:t>
      </w:r>
      <w:r>
        <w:rPr>
          <w:rFonts w:hint="eastAsia"/>
          <w:bCs/>
          <w:sz w:val="24"/>
        </w:rPr>
        <w:t>份）时，余额部分基金份额必须一同赎回。各销售机构对赎回限额有其他规定的，以各销售机构的业务规定为准。</w:t>
      </w:r>
    </w:p>
    <w:p w:rsidR="00024E89" w:rsidRDefault="00C164AC">
      <w:pPr>
        <w:widowControl/>
        <w:adjustRightInd w:val="0"/>
        <w:snapToGrid w:val="0"/>
        <w:spacing w:line="360" w:lineRule="auto"/>
        <w:ind w:firstLineChars="200" w:firstLine="480"/>
        <w:rPr>
          <w:bCs/>
          <w:sz w:val="24"/>
        </w:rPr>
      </w:pPr>
      <w:r>
        <w:rPr>
          <w:rFonts w:hint="eastAsia"/>
          <w:bCs/>
          <w:sz w:val="24"/>
        </w:rPr>
        <w:t>基金管理人可在法律法规允许的情况下，调整上述规定赎回份额等数量限制。基金管理人必须在调整实施前依照《信息披露办法》的有关规定在规定媒介上公告。</w:t>
      </w:r>
    </w:p>
    <w:p w:rsidR="00024E89" w:rsidRDefault="00C164AC" w:rsidP="00C164AC">
      <w:pPr>
        <w:spacing w:beforeLines="50" w:afterLines="50" w:line="360" w:lineRule="auto"/>
        <w:ind w:firstLineChars="200" w:firstLine="482"/>
        <w:rPr>
          <w:b/>
          <w:sz w:val="24"/>
          <w:szCs w:val="24"/>
        </w:rPr>
        <w:pPrChange w:id="21" w:author="ZHONGM" w:date="2026-02-02T00:00:00Z">
          <w:pPr>
            <w:spacing w:beforeLines="50" w:afterLines="50" w:line="360" w:lineRule="auto"/>
            <w:ind w:firstLineChars="200" w:firstLine="482"/>
          </w:pPr>
        </w:pPrChange>
      </w:pPr>
      <w:r>
        <w:rPr>
          <w:b/>
          <w:sz w:val="24"/>
          <w:szCs w:val="24"/>
        </w:rPr>
        <w:t>4.2</w:t>
      </w:r>
      <w:r>
        <w:rPr>
          <w:rFonts w:hint="eastAsia"/>
          <w:b/>
          <w:sz w:val="24"/>
          <w:szCs w:val="24"/>
        </w:rPr>
        <w:t>赎回费率</w:t>
      </w:r>
    </w:p>
    <w:p w:rsidR="00024E89" w:rsidRDefault="00C164AC" w:rsidP="00C164AC">
      <w:pPr>
        <w:spacing w:afterLines="50" w:line="360" w:lineRule="auto"/>
        <w:ind w:firstLineChars="200" w:firstLine="480"/>
        <w:rPr>
          <w:sz w:val="24"/>
        </w:rPr>
        <w:pPrChange w:id="22" w:author="ZHONGM" w:date="2026-02-02T00:00:00Z">
          <w:pPr>
            <w:spacing w:afterLines="50" w:line="360" w:lineRule="auto"/>
            <w:ind w:firstLineChars="200" w:firstLine="480"/>
          </w:pPr>
        </w:pPrChange>
      </w:pPr>
      <w:r>
        <w:rPr>
          <w:rFonts w:hint="eastAsia"/>
          <w:sz w:val="24"/>
        </w:rPr>
        <w:t>本基金</w:t>
      </w:r>
      <w:r>
        <w:rPr>
          <w:sz w:val="24"/>
        </w:rPr>
        <w:t>赎回费用由赎回基金份额的基金份额</w:t>
      </w:r>
      <w:r>
        <w:rPr>
          <w:sz w:val="24"/>
        </w:rPr>
        <w:t>持有人承担，在基金份额持有人赎回基金份额时收取。</w:t>
      </w:r>
      <w:r>
        <w:rPr>
          <w:rFonts w:hint="eastAsia"/>
          <w:sz w:val="24"/>
        </w:rPr>
        <w:t>具体费率如下</w:t>
      </w:r>
      <w:r>
        <w:rPr>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5"/>
        <w:gridCol w:w="1837"/>
      </w:tblGrid>
      <w:tr w:rsidR="00024E89">
        <w:trPr>
          <w:trHeight w:val="491"/>
          <w:jc w:val="center"/>
        </w:trPr>
        <w:tc>
          <w:tcPr>
            <w:tcW w:w="2695" w:type="dxa"/>
            <w:noWrap/>
            <w:vAlign w:val="center"/>
          </w:tcPr>
          <w:p w:rsidR="00024E89" w:rsidRDefault="00C164AC">
            <w:pPr>
              <w:widowControl/>
              <w:jc w:val="center"/>
              <w:rPr>
                <w:rFonts w:eastAsiaTheme="minorEastAsia" w:cs="宋体"/>
                <w:color w:val="000000"/>
                <w:kern w:val="0"/>
                <w:sz w:val="24"/>
                <w:szCs w:val="21"/>
              </w:rPr>
            </w:pPr>
            <w:r>
              <w:rPr>
                <w:rFonts w:eastAsiaTheme="minorEastAsia" w:cs="宋体" w:hint="eastAsia"/>
                <w:color w:val="000000"/>
                <w:kern w:val="0"/>
                <w:sz w:val="24"/>
                <w:szCs w:val="21"/>
              </w:rPr>
              <w:t>持有基金份额期限（</w:t>
            </w:r>
            <w:r>
              <w:rPr>
                <w:rFonts w:eastAsiaTheme="minorEastAsia" w:cs="宋体"/>
                <w:color w:val="000000"/>
                <w:kern w:val="0"/>
                <w:sz w:val="24"/>
                <w:szCs w:val="21"/>
              </w:rPr>
              <w:t>N</w:t>
            </w:r>
            <w:r>
              <w:rPr>
                <w:rFonts w:eastAsiaTheme="minorEastAsia" w:cs="宋体" w:hint="eastAsia"/>
                <w:color w:val="000000"/>
                <w:kern w:val="0"/>
                <w:sz w:val="24"/>
                <w:szCs w:val="21"/>
              </w:rPr>
              <w:t>）</w:t>
            </w:r>
          </w:p>
        </w:tc>
        <w:tc>
          <w:tcPr>
            <w:tcW w:w="1837" w:type="dxa"/>
            <w:noWrap/>
            <w:vAlign w:val="center"/>
          </w:tcPr>
          <w:p w:rsidR="00024E89" w:rsidRDefault="00C164AC">
            <w:pPr>
              <w:widowControl/>
              <w:jc w:val="center"/>
              <w:rPr>
                <w:rFonts w:eastAsiaTheme="minorEastAsia" w:cs="宋体"/>
                <w:color w:val="000000"/>
                <w:kern w:val="0"/>
                <w:sz w:val="24"/>
                <w:szCs w:val="21"/>
              </w:rPr>
            </w:pPr>
            <w:r>
              <w:rPr>
                <w:rFonts w:eastAsiaTheme="minorEastAsia" w:cs="宋体" w:hint="eastAsia"/>
                <w:color w:val="000000"/>
                <w:kern w:val="0"/>
                <w:sz w:val="24"/>
                <w:szCs w:val="21"/>
              </w:rPr>
              <w:t>赎回费率</w:t>
            </w:r>
          </w:p>
        </w:tc>
      </w:tr>
      <w:tr w:rsidR="00024E89">
        <w:trPr>
          <w:trHeight w:val="184"/>
          <w:jc w:val="center"/>
        </w:trPr>
        <w:tc>
          <w:tcPr>
            <w:tcW w:w="2695" w:type="dxa"/>
            <w:noWrap/>
            <w:vAlign w:val="center"/>
          </w:tcPr>
          <w:p w:rsidR="00024E89" w:rsidRDefault="00C164AC">
            <w:pPr>
              <w:pStyle w:val="biaogeleft"/>
              <w:wordWrap w:val="0"/>
              <w:jc w:val="center"/>
              <w:rPr>
                <w:rFonts w:ascii="Times New Roman" w:eastAsiaTheme="minorEastAsia" w:hAnsi="Times New Roman"/>
                <w:color w:val="000000"/>
                <w:szCs w:val="21"/>
              </w:rPr>
            </w:pPr>
            <w:r>
              <w:rPr>
                <w:rFonts w:ascii="Times New Roman" w:eastAsiaTheme="minorEastAsia" w:hAnsi="Times New Roman"/>
                <w:color w:val="000000"/>
                <w:szCs w:val="21"/>
              </w:rPr>
              <w:t>1</w:t>
            </w:r>
            <w:r>
              <w:rPr>
                <w:rFonts w:ascii="Times New Roman" w:eastAsiaTheme="minorEastAsia" w:hAnsi="Times New Roman" w:hint="eastAsia"/>
                <w:color w:val="000000"/>
                <w:szCs w:val="21"/>
              </w:rPr>
              <w:t>日</w:t>
            </w:r>
            <w:r>
              <w:rPr>
                <w:rFonts w:ascii="Times New Roman" w:eastAsiaTheme="minorEastAsia" w:hAnsi="Times New Roman"/>
                <w:color w:val="000000"/>
                <w:szCs w:val="21"/>
              </w:rPr>
              <w:t>≤N</w:t>
            </w:r>
            <w:r>
              <w:rPr>
                <w:rFonts w:ascii="Times New Roman" w:eastAsiaTheme="minorEastAsia" w:hAnsi="Times New Roman"/>
                <w:color w:val="000000"/>
                <w:szCs w:val="21"/>
              </w:rPr>
              <w:t>＜</w:t>
            </w:r>
            <w:r>
              <w:rPr>
                <w:rFonts w:ascii="Times New Roman" w:eastAsiaTheme="minorEastAsia" w:hAnsi="Times New Roman"/>
                <w:color w:val="000000"/>
                <w:szCs w:val="21"/>
              </w:rPr>
              <w:t>7</w:t>
            </w:r>
            <w:r>
              <w:rPr>
                <w:rFonts w:ascii="Times New Roman" w:eastAsiaTheme="minorEastAsia" w:hAnsi="Times New Roman" w:hint="eastAsia"/>
                <w:color w:val="000000"/>
                <w:szCs w:val="21"/>
              </w:rPr>
              <w:t>日</w:t>
            </w:r>
          </w:p>
        </w:tc>
        <w:tc>
          <w:tcPr>
            <w:tcW w:w="1837" w:type="dxa"/>
            <w:noWrap/>
            <w:vAlign w:val="center"/>
          </w:tcPr>
          <w:p w:rsidR="00024E89" w:rsidRDefault="00C164AC">
            <w:pPr>
              <w:pStyle w:val="biaogeleft"/>
              <w:wordWrap w:val="0"/>
              <w:jc w:val="center"/>
              <w:rPr>
                <w:rFonts w:ascii="Times New Roman" w:eastAsiaTheme="minorEastAsia" w:hAnsi="Times New Roman"/>
              </w:rPr>
            </w:pPr>
            <w:r>
              <w:rPr>
                <w:rFonts w:ascii="Times New Roman" w:eastAsiaTheme="minorEastAsia" w:hAnsi="Times New Roman" w:hint="eastAsia"/>
                <w:color w:val="000000"/>
                <w:szCs w:val="21"/>
              </w:rPr>
              <w:t>1.50%</w:t>
            </w:r>
          </w:p>
        </w:tc>
      </w:tr>
      <w:tr w:rsidR="00024E89">
        <w:trPr>
          <w:jc w:val="center"/>
        </w:trPr>
        <w:tc>
          <w:tcPr>
            <w:tcW w:w="2695" w:type="dxa"/>
            <w:noWrap/>
            <w:vAlign w:val="center"/>
          </w:tcPr>
          <w:p w:rsidR="00024E89" w:rsidRDefault="00C164AC">
            <w:pPr>
              <w:pStyle w:val="biaogeleft"/>
              <w:wordWrap w:val="0"/>
              <w:jc w:val="center"/>
              <w:rPr>
                <w:rFonts w:ascii="Times New Roman" w:eastAsiaTheme="minorEastAsia" w:hAnsi="Times New Roman"/>
                <w:color w:val="000000"/>
                <w:szCs w:val="21"/>
              </w:rPr>
            </w:pPr>
            <w:r>
              <w:rPr>
                <w:rFonts w:ascii="Times New Roman" w:eastAsiaTheme="minorEastAsia" w:hAnsi="Times New Roman"/>
                <w:color w:val="000000"/>
                <w:szCs w:val="21"/>
              </w:rPr>
              <w:t>N</w:t>
            </w:r>
            <w:r>
              <w:rPr>
                <w:rFonts w:ascii="Times New Roman" w:eastAsiaTheme="minorEastAsia" w:hAnsi="Times New Roman" w:hint="eastAsia"/>
                <w:color w:val="000000"/>
                <w:szCs w:val="21"/>
              </w:rPr>
              <w:t>≥</w:t>
            </w:r>
            <w:r>
              <w:rPr>
                <w:rFonts w:ascii="Times New Roman" w:eastAsiaTheme="minorEastAsia" w:hAnsi="Times New Roman"/>
                <w:color w:val="000000"/>
                <w:szCs w:val="21"/>
              </w:rPr>
              <w:t>7</w:t>
            </w:r>
            <w:r>
              <w:rPr>
                <w:rFonts w:ascii="Times New Roman" w:eastAsiaTheme="minorEastAsia" w:hAnsi="Times New Roman" w:hint="eastAsia"/>
                <w:color w:val="000000"/>
                <w:szCs w:val="21"/>
              </w:rPr>
              <w:t>日</w:t>
            </w:r>
          </w:p>
        </w:tc>
        <w:tc>
          <w:tcPr>
            <w:tcW w:w="1837" w:type="dxa"/>
            <w:noWrap/>
            <w:vAlign w:val="center"/>
          </w:tcPr>
          <w:p w:rsidR="00024E89" w:rsidRDefault="00C164AC">
            <w:pPr>
              <w:pStyle w:val="biaogeleft"/>
              <w:wordWrap w:val="0"/>
              <w:jc w:val="center"/>
              <w:rPr>
                <w:rFonts w:ascii="Times New Roman" w:eastAsiaTheme="minorEastAsia" w:hAnsi="Times New Roman"/>
              </w:rPr>
            </w:pPr>
            <w:r>
              <w:rPr>
                <w:rFonts w:ascii="Times New Roman" w:eastAsiaTheme="minorEastAsia" w:hAnsi="Times New Roman" w:hint="eastAsia"/>
                <w:color w:val="000000"/>
                <w:szCs w:val="21"/>
              </w:rPr>
              <w:t>0.00%</w:t>
            </w:r>
          </w:p>
        </w:tc>
      </w:tr>
    </w:tbl>
    <w:p w:rsidR="00024E89" w:rsidRDefault="00C164AC">
      <w:pPr>
        <w:spacing w:line="360" w:lineRule="auto"/>
        <w:ind w:firstLineChars="200" w:firstLine="480"/>
        <w:rPr>
          <w:sz w:val="24"/>
        </w:rPr>
      </w:pPr>
      <w:r>
        <w:rPr>
          <w:sz w:val="24"/>
        </w:rPr>
        <w:t>对于持续持有期少于</w:t>
      </w:r>
      <w:r>
        <w:rPr>
          <w:sz w:val="24"/>
        </w:rPr>
        <w:t>7</w:t>
      </w:r>
      <w:r>
        <w:rPr>
          <w:sz w:val="24"/>
        </w:rPr>
        <w:t>日的投资者，收取的赎回费全额</w:t>
      </w:r>
      <w:r>
        <w:rPr>
          <w:rFonts w:hint="eastAsia"/>
          <w:sz w:val="24"/>
        </w:rPr>
        <w:t>计</w:t>
      </w:r>
      <w:r>
        <w:rPr>
          <w:sz w:val="24"/>
        </w:rPr>
        <w:t>入基金财产。</w:t>
      </w:r>
    </w:p>
    <w:p w:rsidR="00024E89" w:rsidRDefault="00C164AC" w:rsidP="00C164AC">
      <w:pPr>
        <w:pStyle w:val="2"/>
        <w:spacing w:beforeLines="50" w:afterLines="50" w:line="360" w:lineRule="auto"/>
        <w:rPr>
          <w:rFonts w:ascii="Times New Roman" w:eastAsiaTheme="majorEastAsia" w:hAnsi="Times New Roman"/>
          <w:sz w:val="24"/>
          <w:szCs w:val="24"/>
        </w:rPr>
        <w:pPrChange w:id="23" w:author="ZHONGM" w:date="2026-02-02T00:00:00Z">
          <w:pPr>
            <w:pStyle w:val="2"/>
            <w:spacing w:beforeLines="50" w:afterLines="50" w:line="360" w:lineRule="auto"/>
          </w:pPr>
        </w:pPrChange>
      </w:pPr>
      <w:r>
        <w:rPr>
          <w:rFonts w:ascii="Times New Roman" w:eastAsiaTheme="majorEastAsia" w:hAnsi="Times New Roman"/>
          <w:sz w:val="24"/>
          <w:szCs w:val="24"/>
        </w:rPr>
        <w:t xml:space="preserve">5 </w:t>
      </w:r>
      <w:r>
        <w:rPr>
          <w:rFonts w:ascii="Times New Roman" w:eastAsiaTheme="majorEastAsia" w:hAnsi="Times New Roman" w:hint="eastAsia"/>
          <w:sz w:val="24"/>
          <w:szCs w:val="24"/>
        </w:rPr>
        <w:t>转换业务</w:t>
      </w:r>
    </w:p>
    <w:p w:rsidR="00024E89" w:rsidRDefault="00C164AC" w:rsidP="00C164AC">
      <w:pPr>
        <w:spacing w:beforeLines="50" w:afterLines="50" w:line="360" w:lineRule="auto"/>
        <w:ind w:firstLineChars="200" w:firstLine="482"/>
        <w:rPr>
          <w:rStyle w:val="ab"/>
        </w:rPr>
        <w:pPrChange w:id="24" w:author="ZHONGM" w:date="2026-02-02T00:00:00Z">
          <w:pPr>
            <w:spacing w:beforeLines="50" w:afterLines="50" w:line="360" w:lineRule="auto"/>
            <w:ind w:firstLineChars="200" w:firstLine="482"/>
          </w:pPr>
        </w:pPrChange>
      </w:pPr>
      <w:r>
        <w:rPr>
          <w:b/>
          <w:sz w:val="24"/>
          <w:szCs w:val="24"/>
        </w:rPr>
        <w:t xml:space="preserve">5.1 </w:t>
      </w:r>
      <w:r>
        <w:rPr>
          <w:b/>
          <w:sz w:val="24"/>
          <w:szCs w:val="24"/>
        </w:rPr>
        <w:t>开通转换业务基金明细</w:t>
      </w:r>
    </w:p>
    <w:p w:rsidR="00024E89" w:rsidRDefault="00C164AC">
      <w:pPr>
        <w:widowControl/>
        <w:adjustRightInd w:val="0"/>
        <w:snapToGrid w:val="0"/>
        <w:spacing w:line="360" w:lineRule="auto"/>
        <w:ind w:firstLineChars="200" w:firstLine="480"/>
        <w:rPr>
          <w:bCs/>
          <w:sz w:val="24"/>
        </w:rPr>
      </w:pPr>
      <w:r>
        <w:rPr>
          <w:rFonts w:hint="eastAsia"/>
          <w:bCs/>
          <w:sz w:val="24"/>
        </w:rPr>
        <w:t>本基金转换业务，适用于本基金与本公司旗下管理并已开通转换业务的其他开放</w:t>
      </w:r>
      <w:r>
        <w:rPr>
          <w:bCs/>
          <w:sz w:val="24"/>
        </w:rPr>
        <w:t xml:space="preserve"> </w:t>
      </w:r>
      <w:r>
        <w:rPr>
          <w:rFonts w:hint="eastAsia"/>
          <w:bCs/>
          <w:sz w:val="24"/>
        </w:rPr>
        <w:t>式基金（在我公司办理注册登记的、且已公告开通基金转换业务），投资者可以在基金的开放期内，申请办理本基金与其他开放式基金的转换业务，各基金转换业务的开</w:t>
      </w:r>
      <w:r>
        <w:rPr>
          <w:bCs/>
          <w:sz w:val="24"/>
        </w:rPr>
        <w:t xml:space="preserve"> </w:t>
      </w:r>
      <w:r>
        <w:rPr>
          <w:rFonts w:hint="eastAsia"/>
          <w:bCs/>
          <w:sz w:val="24"/>
        </w:rPr>
        <w:t>放状态及交易限制详见各基金相关公告。</w:t>
      </w:r>
    </w:p>
    <w:p w:rsidR="00024E89" w:rsidRDefault="00C164AC" w:rsidP="00C164AC">
      <w:pPr>
        <w:spacing w:beforeLines="50" w:afterLines="50" w:line="360" w:lineRule="auto"/>
        <w:ind w:firstLineChars="200" w:firstLine="482"/>
        <w:rPr>
          <w:b/>
          <w:sz w:val="24"/>
          <w:szCs w:val="24"/>
        </w:rPr>
        <w:pPrChange w:id="25" w:author="ZHONGM" w:date="2026-02-02T00:00:00Z">
          <w:pPr>
            <w:spacing w:beforeLines="50" w:afterLines="50" w:line="360" w:lineRule="auto"/>
            <w:ind w:firstLineChars="200" w:firstLine="482"/>
          </w:pPr>
        </w:pPrChange>
      </w:pPr>
      <w:r>
        <w:rPr>
          <w:b/>
          <w:sz w:val="24"/>
          <w:szCs w:val="24"/>
        </w:rPr>
        <w:t xml:space="preserve">5.2 </w:t>
      </w:r>
      <w:r>
        <w:rPr>
          <w:b/>
          <w:sz w:val="24"/>
          <w:szCs w:val="24"/>
        </w:rPr>
        <w:t>其他与转换相关的事项</w:t>
      </w:r>
    </w:p>
    <w:p w:rsidR="00024E89" w:rsidRDefault="00C164AC">
      <w:pPr>
        <w:widowControl/>
        <w:adjustRightInd w:val="0"/>
        <w:snapToGrid w:val="0"/>
        <w:spacing w:line="360" w:lineRule="auto"/>
        <w:ind w:firstLineChars="200" w:firstLine="480"/>
        <w:rPr>
          <w:bCs/>
          <w:sz w:val="24"/>
        </w:rPr>
      </w:pPr>
      <w:r>
        <w:rPr>
          <w:rFonts w:hint="eastAsia"/>
          <w:bCs/>
          <w:sz w:val="24"/>
        </w:rPr>
        <w:t>基金转换业务规则及基金转换费及份额计算方法等相关内容可参照我司于</w:t>
      </w:r>
      <w:r>
        <w:rPr>
          <w:bCs/>
          <w:sz w:val="24"/>
        </w:rPr>
        <w:t>2015</w:t>
      </w:r>
      <w:r>
        <w:rPr>
          <w:rFonts w:hint="eastAsia"/>
          <w:bCs/>
          <w:sz w:val="24"/>
        </w:rPr>
        <w:t>年</w:t>
      </w:r>
      <w:r>
        <w:rPr>
          <w:bCs/>
          <w:sz w:val="24"/>
        </w:rPr>
        <w:t>12</w:t>
      </w:r>
      <w:r>
        <w:rPr>
          <w:rFonts w:hint="eastAsia"/>
          <w:bCs/>
          <w:sz w:val="24"/>
        </w:rPr>
        <w:t>月</w:t>
      </w:r>
      <w:r>
        <w:rPr>
          <w:bCs/>
          <w:sz w:val="24"/>
        </w:rPr>
        <w:t>15</w:t>
      </w:r>
      <w:r>
        <w:rPr>
          <w:rFonts w:hint="eastAsia"/>
          <w:bCs/>
          <w:sz w:val="24"/>
        </w:rPr>
        <w:t>日发布的《嘉合基金管理有限公司关于旗下部分基金开通转换业务并在直销机构实行申购补差费率优惠的公告》。</w:t>
      </w:r>
    </w:p>
    <w:p w:rsidR="00024E89" w:rsidRDefault="00C164AC" w:rsidP="00C164AC">
      <w:pPr>
        <w:pStyle w:val="2"/>
        <w:spacing w:beforeLines="50" w:afterLines="50" w:line="360" w:lineRule="auto"/>
        <w:rPr>
          <w:rFonts w:ascii="Times New Roman" w:eastAsiaTheme="majorEastAsia" w:hAnsi="Times New Roman"/>
          <w:sz w:val="24"/>
          <w:szCs w:val="24"/>
        </w:rPr>
        <w:pPrChange w:id="26" w:author="ZHONGM" w:date="2026-02-02T00:00:00Z">
          <w:pPr>
            <w:pStyle w:val="2"/>
            <w:spacing w:beforeLines="50" w:afterLines="50" w:line="360" w:lineRule="auto"/>
          </w:pPr>
        </w:pPrChange>
      </w:pPr>
      <w:r>
        <w:rPr>
          <w:rFonts w:ascii="Times New Roman" w:eastAsiaTheme="majorEastAsia" w:hAnsi="Times New Roman"/>
          <w:sz w:val="24"/>
          <w:szCs w:val="24"/>
        </w:rPr>
        <w:t xml:space="preserve">6 </w:t>
      </w:r>
      <w:r>
        <w:rPr>
          <w:rFonts w:ascii="Times New Roman" w:eastAsiaTheme="majorEastAsia" w:hAnsi="Times New Roman" w:hint="eastAsia"/>
          <w:sz w:val="24"/>
          <w:szCs w:val="24"/>
        </w:rPr>
        <w:t>基金销售机构</w:t>
      </w:r>
    </w:p>
    <w:p w:rsidR="00024E89" w:rsidRDefault="00C164AC" w:rsidP="00C164AC">
      <w:pPr>
        <w:spacing w:beforeLines="50" w:afterLines="50" w:line="360" w:lineRule="auto"/>
        <w:ind w:firstLineChars="200" w:firstLine="482"/>
        <w:rPr>
          <w:b/>
          <w:sz w:val="24"/>
          <w:szCs w:val="24"/>
        </w:rPr>
        <w:pPrChange w:id="27" w:author="ZHONGM" w:date="2026-02-02T00:00:00Z">
          <w:pPr>
            <w:spacing w:beforeLines="50" w:afterLines="50" w:line="360" w:lineRule="auto"/>
            <w:ind w:firstLineChars="200" w:firstLine="482"/>
          </w:pPr>
        </w:pPrChange>
      </w:pPr>
      <w:r>
        <w:rPr>
          <w:b/>
          <w:sz w:val="24"/>
          <w:szCs w:val="24"/>
        </w:rPr>
        <w:t>6.1</w:t>
      </w:r>
      <w:r>
        <w:rPr>
          <w:rFonts w:hint="eastAsia"/>
          <w:b/>
          <w:sz w:val="24"/>
          <w:szCs w:val="24"/>
        </w:rPr>
        <w:t>直销机构</w:t>
      </w:r>
    </w:p>
    <w:p w:rsidR="00024E89" w:rsidRDefault="00C164AC">
      <w:pPr>
        <w:spacing w:line="360" w:lineRule="auto"/>
        <w:ind w:firstLineChars="200" w:firstLine="480"/>
        <w:rPr>
          <w:bCs/>
          <w:sz w:val="24"/>
        </w:rPr>
      </w:pPr>
      <w:r>
        <w:rPr>
          <w:rFonts w:hint="eastAsia"/>
          <w:bCs/>
          <w:sz w:val="24"/>
        </w:rPr>
        <w:t>嘉合基金管理有限公司直销中心</w:t>
      </w:r>
    </w:p>
    <w:p w:rsidR="00024E89" w:rsidRDefault="00C164AC">
      <w:pPr>
        <w:spacing w:line="360" w:lineRule="auto"/>
        <w:ind w:firstLineChars="200" w:firstLine="480"/>
        <w:rPr>
          <w:bCs/>
          <w:sz w:val="24"/>
        </w:rPr>
      </w:pPr>
      <w:r>
        <w:rPr>
          <w:rFonts w:hint="eastAsia"/>
          <w:bCs/>
          <w:sz w:val="24"/>
        </w:rPr>
        <w:t>名称：嘉合基金管理有限公司</w:t>
      </w:r>
    </w:p>
    <w:p w:rsidR="00024E89" w:rsidRDefault="00C164AC">
      <w:pPr>
        <w:spacing w:line="360" w:lineRule="auto"/>
        <w:ind w:firstLineChars="200" w:firstLine="480"/>
        <w:rPr>
          <w:bCs/>
          <w:sz w:val="24"/>
        </w:rPr>
      </w:pPr>
      <w:r>
        <w:rPr>
          <w:rFonts w:hint="eastAsia"/>
          <w:bCs/>
          <w:sz w:val="24"/>
        </w:rPr>
        <w:t>注册地址：上海市虹口区广纪路</w:t>
      </w:r>
      <w:r>
        <w:rPr>
          <w:rFonts w:hint="eastAsia"/>
          <w:bCs/>
          <w:sz w:val="24"/>
        </w:rPr>
        <w:t>738</w:t>
      </w:r>
      <w:r>
        <w:rPr>
          <w:rFonts w:hint="eastAsia"/>
          <w:bCs/>
          <w:sz w:val="24"/>
        </w:rPr>
        <w:t>号</w:t>
      </w:r>
      <w:r>
        <w:rPr>
          <w:rFonts w:hint="eastAsia"/>
          <w:bCs/>
          <w:sz w:val="24"/>
        </w:rPr>
        <w:t>1</w:t>
      </w:r>
      <w:r>
        <w:rPr>
          <w:rFonts w:hint="eastAsia"/>
          <w:bCs/>
          <w:sz w:val="24"/>
        </w:rPr>
        <w:t>幢</w:t>
      </w:r>
      <w:r>
        <w:rPr>
          <w:rFonts w:hint="eastAsia"/>
          <w:bCs/>
          <w:sz w:val="24"/>
        </w:rPr>
        <w:t>329</w:t>
      </w:r>
      <w:r>
        <w:rPr>
          <w:rFonts w:hint="eastAsia"/>
          <w:bCs/>
          <w:sz w:val="24"/>
        </w:rPr>
        <w:t>室</w:t>
      </w:r>
    </w:p>
    <w:p w:rsidR="00024E89" w:rsidRDefault="00C164AC">
      <w:pPr>
        <w:spacing w:line="360" w:lineRule="auto"/>
        <w:ind w:firstLineChars="200" w:firstLine="480"/>
        <w:rPr>
          <w:bCs/>
          <w:sz w:val="24"/>
        </w:rPr>
      </w:pPr>
      <w:r>
        <w:rPr>
          <w:rFonts w:hint="eastAsia"/>
          <w:bCs/>
          <w:sz w:val="24"/>
        </w:rPr>
        <w:t>办公地址：上海市杨浦区秦皇岛路</w:t>
      </w:r>
      <w:r>
        <w:rPr>
          <w:rFonts w:hint="eastAsia"/>
          <w:bCs/>
          <w:sz w:val="24"/>
        </w:rPr>
        <w:t>32</w:t>
      </w:r>
      <w:r>
        <w:rPr>
          <w:rFonts w:hint="eastAsia"/>
          <w:bCs/>
          <w:sz w:val="24"/>
        </w:rPr>
        <w:t>号</w:t>
      </w:r>
      <w:r>
        <w:rPr>
          <w:rFonts w:hint="eastAsia"/>
          <w:bCs/>
          <w:sz w:val="24"/>
        </w:rPr>
        <w:t>A</w:t>
      </w:r>
      <w:r>
        <w:rPr>
          <w:rFonts w:hint="eastAsia"/>
          <w:bCs/>
          <w:sz w:val="24"/>
        </w:rPr>
        <w:t>楼</w:t>
      </w:r>
    </w:p>
    <w:p w:rsidR="00024E89" w:rsidRDefault="00C164AC">
      <w:pPr>
        <w:spacing w:line="360" w:lineRule="auto"/>
        <w:ind w:firstLineChars="200" w:firstLine="480"/>
        <w:rPr>
          <w:bCs/>
          <w:sz w:val="24"/>
        </w:rPr>
      </w:pPr>
      <w:r>
        <w:rPr>
          <w:rFonts w:hint="eastAsia"/>
          <w:bCs/>
          <w:sz w:val="24"/>
        </w:rPr>
        <w:t>法定代表人：魏超</w:t>
      </w:r>
    </w:p>
    <w:p w:rsidR="00024E89" w:rsidRDefault="00C164AC">
      <w:pPr>
        <w:spacing w:line="360" w:lineRule="auto"/>
        <w:ind w:firstLineChars="200" w:firstLine="480"/>
        <w:rPr>
          <w:bCs/>
          <w:sz w:val="24"/>
        </w:rPr>
      </w:pPr>
      <w:r>
        <w:rPr>
          <w:rFonts w:hint="eastAsia"/>
          <w:bCs/>
          <w:sz w:val="24"/>
        </w:rPr>
        <w:t>电话：</w:t>
      </w:r>
      <w:r>
        <w:rPr>
          <w:rFonts w:hint="eastAsia"/>
          <w:bCs/>
          <w:sz w:val="24"/>
        </w:rPr>
        <w:t>021-60168270</w:t>
      </w:r>
    </w:p>
    <w:p w:rsidR="00024E89" w:rsidRDefault="00C164AC">
      <w:pPr>
        <w:spacing w:line="360" w:lineRule="auto"/>
        <w:ind w:firstLineChars="200" w:firstLine="480"/>
        <w:rPr>
          <w:bCs/>
          <w:sz w:val="24"/>
        </w:rPr>
      </w:pPr>
      <w:r>
        <w:rPr>
          <w:rFonts w:hint="eastAsia"/>
          <w:bCs/>
          <w:sz w:val="24"/>
        </w:rPr>
        <w:t>传真：</w:t>
      </w:r>
      <w:r>
        <w:rPr>
          <w:rFonts w:hint="eastAsia"/>
          <w:bCs/>
          <w:sz w:val="24"/>
        </w:rPr>
        <w:t>021-65015087</w:t>
      </w:r>
    </w:p>
    <w:p w:rsidR="00024E89" w:rsidRDefault="00C164AC">
      <w:pPr>
        <w:spacing w:line="360" w:lineRule="auto"/>
        <w:ind w:firstLineChars="200" w:firstLine="480"/>
        <w:rPr>
          <w:bCs/>
          <w:sz w:val="24"/>
        </w:rPr>
      </w:pPr>
      <w:r>
        <w:rPr>
          <w:rFonts w:hint="eastAsia"/>
          <w:bCs/>
          <w:sz w:val="24"/>
        </w:rPr>
        <w:t>联系人：陈晓瑜</w:t>
      </w:r>
    </w:p>
    <w:p w:rsidR="00024E89" w:rsidRDefault="00C164AC">
      <w:pPr>
        <w:spacing w:line="360" w:lineRule="auto"/>
        <w:ind w:firstLineChars="200" w:firstLine="480"/>
        <w:rPr>
          <w:bCs/>
          <w:sz w:val="24"/>
        </w:rPr>
      </w:pPr>
      <w:r>
        <w:rPr>
          <w:rFonts w:hint="eastAsia"/>
          <w:bCs/>
          <w:sz w:val="24"/>
        </w:rPr>
        <w:t>客户服务电话：</w:t>
      </w:r>
      <w:r>
        <w:rPr>
          <w:rFonts w:hint="eastAsia"/>
          <w:bCs/>
          <w:sz w:val="24"/>
        </w:rPr>
        <w:t>400-060-3299</w:t>
      </w:r>
    </w:p>
    <w:p w:rsidR="00024E89" w:rsidRDefault="00C164AC">
      <w:pPr>
        <w:spacing w:line="360" w:lineRule="auto"/>
        <w:ind w:firstLineChars="200" w:firstLine="480"/>
        <w:rPr>
          <w:bCs/>
          <w:sz w:val="24"/>
        </w:rPr>
      </w:pPr>
      <w:r>
        <w:rPr>
          <w:rFonts w:hint="eastAsia"/>
          <w:bCs/>
          <w:sz w:val="24"/>
        </w:rPr>
        <w:t>网址：</w:t>
      </w:r>
      <w:r>
        <w:rPr>
          <w:rFonts w:hint="eastAsia"/>
          <w:bCs/>
          <w:sz w:val="24"/>
        </w:rPr>
        <w:t>www.haoamc.com</w:t>
      </w:r>
    </w:p>
    <w:p w:rsidR="00024E89" w:rsidRDefault="00C164AC" w:rsidP="00C164AC">
      <w:pPr>
        <w:spacing w:beforeLines="50" w:afterLines="50" w:line="360" w:lineRule="auto"/>
        <w:ind w:firstLineChars="200" w:firstLine="482"/>
        <w:rPr>
          <w:b/>
          <w:sz w:val="24"/>
          <w:szCs w:val="24"/>
        </w:rPr>
        <w:pPrChange w:id="28" w:author="ZHONGM" w:date="2026-02-02T00:00:00Z">
          <w:pPr>
            <w:spacing w:beforeLines="50" w:afterLines="50" w:line="360" w:lineRule="auto"/>
            <w:ind w:firstLineChars="200" w:firstLine="482"/>
          </w:pPr>
        </w:pPrChange>
      </w:pPr>
      <w:r>
        <w:rPr>
          <w:b/>
          <w:sz w:val="24"/>
          <w:szCs w:val="24"/>
        </w:rPr>
        <w:t>6.2</w:t>
      </w:r>
      <w:r>
        <w:rPr>
          <w:rFonts w:hint="eastAsia"/>
          <w:b/>
          <w:sz w:val="24"/>
          <w:szCs w:val="24"/>
        </w:rPr>
        <w:t>其他销售机构</w:t>
      </w:r>
    </w:p>
    <w:p w:rsidR="00024E89" w:rsidRDefault="00C164AC">
      <w:pPr>
        <w:spacing w:line="360" w:lineRule="auto"/>
        <w:ind w:firstLineChars="200" w:firstLine="480"/>
        <w:rPr>
          <w:bCs/>
          <w:sz w:val="24"/>
        </w:rPr>
      </w:pPr>
      <w:r>
        <w:rPr>
          <w:rFonts w:hint="eastAsia"/>
          <w:bCs/>
          <w:sz w:val="24"/>
        </w:rPr>
        <w:t>基金管理人可以</w:t>
      </w:r>
      <w:r>
        <w:rPr>
          <w:bCs/>
          <w:sz w:val="24"/>
        </w:rPr>
        <w:t>委托其他符合法律、法规要求的销售机构销售本基金。其他销售机构情况详见基金管理人网站发布的相关信息。</w:t>
      </w:r>
    </w:p>
    <w:p w:rsidR="00024E89" w:rsidRDefault="00C164AC" w:rsidP="00C164AC">
      <w:pPr>
        <w:pStyle w:val="2"/>
        <w:spacing w:beforeLines="50" w:afterLines="50" w:line="360" w:lineRule="auto"/>
        <w:rPr>
          <w:rFonts w:ascii="Times New Roman" w:hAnsi="Times New Roman"/>
          <w:sz w:val="24"/>
          <w:szCs w:val="24"/>
        </w:rPr>
        <w:pPrChange w:id="29" w:author="ZHONGM" w:date="2026-02-02T00:00:00Z">
          <w:pPr>
            <w:pStyle w:val="2"/>
            <w:spacing w:beforeLines="50" w:afterLines="50" w:line="360" w:lineRule="auto"/>
          </w:pPr>
        </w:pPrChange>
      </w:pPr>
      <w:r>
        <w:rPr>
          <w:rFonts w:ascii="Times New Roman" w:hAnsi="Times New Roman"/>
          <w:sz w:val="24"/>
          <w:szCs w:val="24"/>
        </w:rPr>
        <w:t xml:space="preserve">7 </w:t>
      </w:r>
      <w:r>
        <w:rPr>
          <w:rFonts w:ascii="Times New Roman" w:eastAsiaTheme="majorEastAsia" w:hAnsi="Times New Roman" w:hint="eastAsia"/>
          <w:sz w:val="24"/>
          <w:szCs w:val="24"/>
        </w:rPr>
        <w:t>基金份额净值公告的披露安排</w:t>
      </w:r>
    </w:p>
    <w:p w:rsidR="00024E89" w:rsidRDefault="00C164AC">
      <w:pPr>
        <w:spacing w:line="360" w:lineRule="auto"/>
        <w:ind w:firstLine="420"/>
        <w:rPr>
          <w:bCs/>
          <w:sz w:val="24"/>
        </w:rPr>
      </w:pPr>
      <w:r>
        <w:rPr>
          <w:rFonts w:hint="eastAsia"/>
          <w:bCs/>
          <w:sz w:val="24"/>
        </w:rPr>
        <w:t>《基金合同》生效后，封闭期内，基金管理人应当至少每周在规定网站披露一次基金份额净值和基金份额累计净值。</w:t>
      </w:r>
    </w:p>
    <w:p w:rsidR="00024E89" w:rsidRDefault="00C164AC">
      <w:pPr>
        <w:spacing w:line="360" w:lineRule="auto"/>
        <w:ind w:firstLineChars="200" w:firstLine="480"/>
        <w:rPr>
          <w:bCs/>
          <w:sz w:val="24"/>
        </w:rPr>
      </w:pPr>
      <w:r>
        <w:rPr>
          <w:rFonts w:hint="eastAsia"/>
          <w:bCs/>
          <w:sz w:val="24"/>
        </w:rPr>
        <w:t>开放期内，基金管理人应当在不晚于每个开放日的次日，通过规定网站、基金销售机构网站或者营业网点披露开放日的基金份额净值和</w:t>
      </w:r>
      <w:r>
        <w:rPr>
          <w:rFonts w:hint="eastAsia"/>
          <w:bCs/>
          <w:sz w:val="24"/>
        </w:rPr>
        <w:t>基金份额累计净值。</w:t>
      </w:r>
    </w:p>
    <w:p w:rsidR="00024E89" w:rsidRDefault="00C164AC">
      <w:pPr>
        <w:spacing w:line="360" w:lineRule="auto"/>
        <w:ind w:firstLineChars="200" w:firstLine="480"/>
        <w:rPr>
          <w:bCs/>
          <w:sz w:val="24"/>
        </w:rPr>
      </w:pPr>
      <w:r>
        <w:rPr>
          <w:rFonts w:hint="eastAsia"/>
          <w:bCs/>
          <w:sz w:val="24"/>
        </w:rPr>
        <w:t>基金管理人应当在不晚于半年度和年度最后一日的次日，在规定网站披露半年度和年度最后一日的基金份额净值和基金份额累计净值。</w:t>
      </w:r>
    </w:p>
    <w:p w:rsidR="00024E89" w:rsidRDefault="00C164AC" w:rsidP="00C164AC">
      <w:pPr>
        <w:pStyle w:val="2"/>
        <w:spacing w:beforeLines="50" w:afterLines="50" w:line="360" w:lineRule="auto"/>
        <w:rPr>
          <w:rFonts w:ascii="Times New Roman" w:eastAsiaTheme="majorEastAsia" w:hAnsi="Times New Roman"/>
          <w:sz w:val="24"/>
          <w:szCs w:val="24"/>
        </w:rPr>
        <w:pPrChange w:id="30" w:author="ZHONGM" w:date="2026-02-02T00:00:00Z">
          <w:pPr>
            <w:pStyle w:val="2"/>
            <w:spacing w:beforeLines="50" w:afterLines="50" w:line="360" w:lineRule="auto"/>
          </w:pPr>
        </w:pPrChange>
      </w:pPr>
      <w:bookmarkStart w:id="31" w:name="t_2_9_table"/>
      <w:bookmarkStart w:id="32" w:name="t_2_4_2_2843_a1_fm1"/>
      <w:bookmarkEnd w:id="31"/>
      <w:bookmarkEnd w:id="32"/>
      <w:r>
        <w:rPr>
          <w:rFonts w:ascii="Times New Roman" w:hAnsi="Times New Roman"/>
          <w:sz w:val="24"/>
          <w:szCs w:val="24"/>
        </w:rPr>
        <w:t xml:space="preserve">8 </w:t>
      </w:r>
      <w:r>
        <w:rPr>
          <w:rFonts w:ascii="Times New Roman" w:eastAsiaTheme="majorEastAsia" w:hAnsi="Times New Roman" w:hint="eastAsia"/>
          <w:sz w:val="24"/>
          <w:szCs w:val="24"/>
        </w:rPr>
        <w:t>其他需要提示的事项</w:t>
      </w:r>
    </w:p>
    <w:p w:rsidR="00024E89" w:rsidRDefault="00C164AC">
      <w:pPr>
        <w:adjustRightInd w:val="0"/>
        <w:spacing w:line="360" w:lineRule="auto"/>
        <w:ind w:firstLineChars="200" w:firstLine="480"/>
        <w:rPr>
          <w:bCs/>
          <w:sz w:val="24"/>
        </w:rPr>
      </w:pPr>
      <w:r>
        <w:rPr>
          <w:bCs/>
          <w:sz w:val="24"/>
        </w:rPr>
        <w:t>本公告仅对本基金</w:t>
      </w:r>
      <w:r>
        <w:rPr>
          <w:rFonts w:hint="eastAsia"/>
          <w:bCs/>
          <w:sz w:val="24"/>
        </w:rPr>
        <w:t>本次开放</w:t>
      </w:r>
      <w:r>
        <w:rPr>
          <w:bCs/>
          <w:sz w:val="24"/>
        </w:rPr>
        <w:t>申购、</w:t>
      </w:r>
      <w:r>
        <w:rPr>
          <w:rFonts w:hint="eastAsia"/>
          <w:bCs/>
          <w:sz w:val="24"/>
        </w:rPr>
        <w:t>赎回、转换</w:t>
      </w:r>
      <w:r>
        <w:rPr>
          <w:bCs/>
          <w:sz w:val="24"/>
        </w:rPr>
        <w:t>业务</w:t>
      </w:r>
      <w:r>
        <w:rPr>
          <w:rFonts w:hint="eastAsia"/>
          <w:bCs/>
          <w:sz w:val="24"/>
        </w:rPr>
        <w:t>的相关</w:t>
      </w:r>
      <w:r>
        <w:rPr>
          <w:bCs/>
          <w:sz w:val="24"/>
        </w:rPr>
        <w:t>事项予以说明，</w:t>
      </w:r>
      <w:r>
        <w:rPr>
          <w:rFonts w:hint="eastAsia"/>
          <w:bCs/>
          <w:sz w:val="24"/>
        </w:rPr>
        <w:t>投资人欲了解本基金的详细情况，请详细阅读本基金的基金合同、招募说明书和基金产品资料概要等法律文件。</w:t>
      </w:r>
    </w:p>
    <w:p w:rsidR="00024E89" w:rsidRDefault="00C164AC">
      <w:pPr>
        <w:adjustRightInd w:val="0"/>
        <w:spacing w:line="360" w:lineRule="auto"/>
        <w:ind w:firstLineChars="200" w:firstLine="480"/>
        <w:jc w:val="left"/>
        <w:rPr>
          <w:bCs/>
          <w:sz w:val="24"/>
        </w:rPr>
      </w:pPr>
      <w:r>
        <w:rPr>
          <w:bCs/>
          <w:sz w:val="24"/>
        </w:rPr>
        <w:t>投资人可登录基金管理人官方网站</w:t>
      </w:r>
      <w:r>
        <w:rPr>
          <w:rFonts w:hint="eastAsia"/>
          <w:bCs/>
          <w:sz w:val="24"/>
        </w:rPr>
        <w:t>（</w:t>
      </w:r>
      <w:hyperlink r:id="rId7" w:history="1">
        <w:r>
          <w:rPr>
            <w:rStyle w:val="aa"/>
            <w:bCs/>
            <w:color w:val="auto"/>
            <w:sz w:val="24"/>
            <w:u w:val="none"/>
          </w:rPr>
          <w:t>www.haoamc.com</w:t>
        </w:r>
      </w:hyperlink>
      <w:r>
        <w:rPr>
          <w:rFonts w:hint="eastAsia"/>
          <w:bCs/>
          <w:sz w:val="24"/>
        </w:rPr>
        <w:t>）</w:t>
      </w:r>
      <w:r>
        <w:rPr>
          <w:bCs/>
          <w:sz w:val="24"/>
        </w:rPr>
        <w:t>或拨打基金管理人客户服务电话</w:t>
      </w:r>
      <w:r>
        <w:rPr>
          <w:rFonts w:hint="eastAsia"/>
          <w:bCs/>
          <w:sz w:val="24"/>
        </w:rPr>
        <w:t>400-060-3299</w:t>
      </w:r>
      <w:r>
        <w:rPr>
          <w:bCs/>
          <w:sz w:val="24"/>
        </w:rPr>
        <w:t>咨询相关信息。</w:t>
      </w:r>
    </w:p>
    <w:p w:rsidR="00024E89" w:rsidRDefault="00C164AC">
      <w:pPr>
        <w:adjustRightInd w:val="0"/>
        <w:spacing w:line="360" w:lineRule="auto"/>
        <w:ind w:firstLineChars="200" w:firstLine="480"/>
        <w:rPr>
          <w:bCs/>
          <w:sz w:val="24"/>
        </w:rPr>
      </w:pPr>
      <w:r>
        <w:rPr>
          <w:rFonts w:hint="eastAsia"/>
          <w:bCs/>
          <w:sz w:val="24"/>
        </w:rPr>
        <w:t>基金管理人可在法律法规允许的情况下，对上述原则进行调整。基金管理人必须在新规则开始实施前依照《信息披露办法》的有关规定在规定媒介上公告。</w:t>
      </w:r>
    </w:p>
    <w:p w:rsidR="00024E89" w:rsidRDefault="00C164AC">
      <w:pPr>
        <w:adjustRightInd w:val="0"/>
        <w:spacing w:line="360" w:lineRule="auto"/>
        <w:ind w:firstLineChars="200" w:firstLine="480"/>
        <w:jc w:val="left"/>
        <w:rPr>
          <w:bCs/>
          <w:sz w:val="24"/>
        </w:rPr>
      </w:pPr>
      <w:r>
        <w:rPr>
          <w:rFonts w:hint="eastAsia"/>
          <w:bCs/>
          <w:sz w:val="24"/>
        </w:rPr>
        <w:t>本公告的解释权归本公司所有。</w:t>
      </w:r>
    </w:p>
    <w:p w:rsidR="00024E89" w:rsidRDefault="00024E89">
      <w:pPr>
        <w:adjustRightInd w:val="0"/>
        <w:spacing w:line="360" w:lineRule="auto"/>
        <w:ind w:firstLineChars="200" w:firstLine="480"/>
        <w:jc w:val="left"/>
        <w:rPr>
          <w:bCs/>
          <w:sz w:val="24"/>
        </w:rPr>
      </w:pPr>
    </w:p>
    <w:p w:rsidR="00024E89" w:rsidRDefault="00C164AC">
      <w:pPr>
        <w:adjustRightInd w:val="0"/>
        <w:spacing w:line="360" w:lineRule="auto"/>
        <w:ind w:firstLineChars="200" w:firstLine="480"/>
        <w:jc w:val="left"/>
        <w:rPr>
          <w:bCs/>
          <w:sz w:val="24"/>
        </w:rPr>
      </w:pPr>
      <w:r>
        <w:rPr>
          <w:bCs/>
          <w:sz w:val="24"/>
        </w:rPr>
        <w:t>风险提示：</w:t>
      </w:r>
      <w:r>
        <w:rPr>
          <w:rFonts w:hint="eastAsia"/>
          <w:bCs/>
          <w:sz w:val="24"/>
        </w:rPr>
        <w:t>投资有风险，基金的过往业绩并不预示其未来表现。基金管理人管理的其他基金的业绩不构成对本基金业绩表现的保证。基金管理人依照恪尽职守、诚实信用、谨慎勤勉的原则管理和运用基金财产，但不保证基金一定盈利，也不保证最低收益。投资人购买本基金并不等于将资金作为存款存放在银行或存款类金融机构。在投资本基金</w:t>
      </w:r>
      <w:r>
        <w:rPr>
          <w:rFonts w:hint="eastAsia"/>
          <w:bCs/>
          <w:sz w:val="24"/>
        </w:rPr>
        <w:t>之前，投资人应仔细阅读本基金的基金合同、招募说明书和基金产品资料概要等信息披露文件，全面认识本基金的风险收益特征和产品特性，并充分考虑自身的风险承受能力，理性判断市场，谨慎做出投资决策，并自行承担投资风险。</w:t>
      </w:r>
    </w:p>
    <w:p w:rsidR="00024E89" w:rsidRDefault="00C164AC">
      <w:pPr>
        <w:adjustRightInd w:val="0"/>
        <w:spacing w:line="360" w:lineRule="auto"/>
        <w:ind w:firstLineChars="200" w:firstLine="480"/>
        <w:jc w:val="left"/>
        <w:rPr>
          <w:sz w:val="24"/>
          <w:szCs w:val="24"/>
        </w:rPr>
      </w:pPr>
      <w:r>
        <w:rPr>
          <w:rFonts w:hint="eastAsia"/>
          <w:bCs/>
          <w:sz w:val="24"/>
        </w:rPr>
        <w:t>特此公告。</w:t>
      </w:r>
    </w:p>
    <w:p w:rsidR="00024E89" w:rsidRDefault="00C164AC">
      <w:pPr>
        <w:spacing w:line="360" w:lineRule="auto"/>
        <w:jc w:val="right"/>
        <w:rPr>
          <w:sz w:val="24"/>
          <w:szCs w:val="24"/>
        </w:rPr>
      </w:pPr>
      <w:r>
        <w:rPr>
          <w:sz w:val="24"/>
          <w:szCs w:val="24"/>
        </w:rPr>
        <w:t>嘉合基金管理有限公司</w:t>
      </w:r>
    </w:p>
    <w:p w:rsidR="00024E89" w:rsidRDefault="00C164AC">
      <w:pPr>
        <w:wordWrap w:val="0"/>
        <w:spacing w:line="360" w:lineRule="auto"/>
        <w:jc w:val="right"/>
        <w:rPr>
          <w:sz w:val="24"/>
          <w:szCs w:val="24"/>
        </w:rPr>
      </w:pPr>
      <w:r>
        <w:rPr>
          <w:sz w:val="24"/>
          <w:szCs w:val="24"/>
        </w:rPr>
        <w:t>202</w:t>
      </w:r>
      <w:r>
        <w:rPr>
          <w:rFonts w:hint="eastAsia"/>
          <w:sz w:val="24"/>
          <w:szCs w:val="24"/>
        </w:rPr>
        <w:t>6</w:t>
      </w:r>
      <w:r>
        <w:rPr>
          <w:rFonts w:hint="eastAsia"/>
          <w:sz w:val="24"/>
          <w:szCs w:val="24"/>
        </w:rPr>
        <w:t>年</w:t>
      </w:r>
      <w:r>
        <w:rPr>
          <w:rFonts w:hint="eastAsia"/>
          <w:sz w:val="24"/>
          <w:szCs w:val="24"/>
        </w:rPr>
        <w:t>2</w:t>
      </w:r>
      <w:r>
        <w:rPr>
          <w:rFonts w:hint="eastAsia"/>
          <w:sz w:val="24"/>
          <w:szCs w:val="24"/>
        </w:rPr>
        <w:t>月</w:t>
      </w:r>
      <w:r>
        <w:rPr>
          <w:rFonts w:hint="eastAsia"/>
          <w:sz w:val="24"/>
          <w:szCs w:val="24"/>
        </w:rPr>
        <w:t>2</w:t>
      </w:r>
      <w:r>
        <w:rPr>
          <w:rFonts w:hint="eastAsia"/>
          <w:sz w:val="24"/>
          <w:szCs w:val="24"/>
        </w:rPr>
        <w:t>日</w:t>
      </w:r>
    </w:p>
    <w:sectPr w:rsidR="00024E89" w:rsidSect="00024E89">
      <w:footerReference w:type="default" r:id="rId8"/>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4E89" w:rsidRDefault="00024E89" w:rsidP="00024E89">
      <w:r>
        <w:separator/>
      </w:r>
    </w:p>
  </w:endnote>
  <w:endnote w:type="continuationSeparator" w:id="0">
    <w:p w:rsidR="00024E89" w:rsidRDefault="00024E89" w:rsidP="00024E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6914848"/>
    </w:sdtPr>
    <w:sdtContent>
      <w:sdt>
        <w:sdtPr>
          <w:id w:val="1728636285"/>
        </w:sdtPr>
        <w:sdtContent>
          <w:p w:rsidR="00024E89" w:rsidRDefault="00C164AC">
            <w:pPr>
              <w:pStyle w:val="a6"/>
              <w:jc w:val="center"/>
            </w:pPr>
            <w:r>
              <w:rPr>
                <w:lang w:val="zh-CN"/>
              </w:rPr>
              <w:t xml:space="preserve"> </w:t>
            </w:r>
            <w:r w:rsidR="00024E89">
              <w:rPr>
                <w:b/>
                <w:bCs/>
                <w:sz w:val="24"/>
                <w:szCs w:val="24"/>
              </w:rPr>
              <w:fldChar w:fldCharType="begin"/>
            </w:r>
            <w:r>
              <w:rPr>
                <w:b/>
                <w:bCs/>
              </w:rPr>
              <w:instrText>PAGE</w:instrText>
            </w:r>
            <w:r w:rsidR="00024E89">
              <w:rPr>
                <w:b/>
                <w:bCs/>
                <w:sz w:val="24"/>
                <w:szCs w:val="24"/>
              </w:rPr>
              <w:fldChar w:fldCharType="separate"/>
            </w:r>
            <w:r>
              <w:rPr>
                <w:b/>
                <w:bCs/>
                <w:noProof/>
              </w:rPr>
              <w:t>1</w:t>
            </w:r>
            <w:r w:rsidR="00024E89">
              <w:rPr>
                <w:b/>
                <w:bCs/>
                <w:sz w:val="24"/>
                <w:szCs w:val="24"/>
              </w:rPr>
              <w:fldChar w:fldCharType="end"/>
            </w:r>
            <w:r>
              <w:rPr>
                <w:lang w:val="zh-CN"/>
              </w:rPr>
              <w:t xml:space="preserve"> / </w:t>
            </w:r>
            <w:r w:rsidR="00024E89">
              <w:rPr>
                <w:b/>
                <w:bCs/>
                <w:sz w:val="24"/>
                <w:szCs w:val="24"/>
              </w:rPr>
              <w:fldChar w:fldCharType="begin"/>
            </w:r>
            <w:r>
              <w:rPr>
                <w:b/>
                <w:bCs/>
              </w:rPr>
              <w:instrText>NUMPAGES</w:instrText>
            </w:r>
            <w:r w:rsidR="00024E89">
              <w:rPr>
                <w:b/>
                <w:bCs/>
                <w:sz w:val="24"/>
                <w:szCs w:val="24"/>
              </w:rPr>
              <w:fldChar w:fldCharType="separate"/>
            </w:r>
            <w:r>
              <w:rPr>
                <w:b/>
                <w:bCs/>
                <w:noProof/>
              </w:rPr>
              <w:t>3</w:t>
            </w:r>
            <w:r w:rsidR="00024E89">
              <w:rPr>
                <w:b/>
                <w:bCs/>
                <w:sz w:val="24"/>
                <w:szCs w:val="24"/>
              </w:rPr>
              <w:fldChar w:fldCharType="end"/>
            </w:r>
          </w:p>
        </w:sdtContent>
      </w:sdt>
    </w:sdtContent>
  </w:sdt>
  <w:p w:rsidR="00024E89" w:rsidRDefault="00024E8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4E89" w:rsidRDefault="00024E89" w:rsidP="00024E89">
      <w:r>
        <w:separator/>
      </w:r>
    </w:p>
  </w:footnote>
  <w:footnote w:type="continuationSeparator" w:id="0">
    <w:p w:rsidR="00024E89" w:rsidRDefault="00024E89" w:rsidP="00024E8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stylePaneFormatFilter w:val="3F01"/>
  <w:trackRevisions/>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jEwMjVhNzBjMDAwMzkzZGQ5Zjg2YzAxZjNjZGM0M2UifQ=="/>
  </w:docVars>
  <w:rsids>
    <w:rsidRoot w:val="00172A27"/>
    <w:rsid w:val="00004EA8"/>
    <w:rsid w:val="00006215"/>
    <w:rsid w:val="000075B1"/>
    <w:rsid w:val="00007B7C"/>
    <w:rsid w:val="0001134B"/>
    <w:rsid w:val="000113DB"/>
    <w:rsid w:val="0001367C"/>
    <w:rsid w:val="0001567F"/>
    <w:rsid w:val="00017C72"/>
    <w:rsid w:val="00020046"/>
    <w:rsid w:val="00024E89"/>
    <w:rsid w:val="000250AA"/>
    <w:rsid w:val="00027EAC"/>
    <w:rsid w:val="00027EB3"/>
    <w:rsid w:val="00030C7E"/>
    <w:rsid w:val="0003391E"/>
    <w:rsid w:val="00034EDC"/>
    <w:rsid w:val="00036A1D"/>
    <w:rsid w:val="00040C3C"/>
    <w:rsid w:val="00045DCD"/>
    <w:rsid w:val="000470E5"/>
    <w:rsid w:val="00053039"/>
    <w:rsid w:val="000543BB"/>
    <w:rsid w:val="00055B04"/>
    <w:rsid w:val="00056B9E"/>
    <w:rsid w:val="0005780D"/>
    <w:rsid w:val="00060A3E"/>
    <w:rsid w:val="00060BA3"/>
    <w:rsid w:val="00066CDB"/>
    <w:rsid w:val="00071730"/>
    <w:rsid w:val="00073630"/>
    <w:rsid w:val="00075815"/>
    <w:rsid w:val="00080A54"/>
    <w:rsid w:val="000828EA"/>
    <w:rsid w:val="00083706"/>
    <w:rsid w:val="00085EB7"/>
    <w:rsid w:val="000866DE"/>
    <w:rsid w:val="000936FB"/>
    <w:rsid w:val="00094994"/>
    <w:rsid w:val="00096B74"/>
    <w:rsid w:val="00096D54"/>
    <w:rsid w:val="000A1718"/>
    <w:rsid w:val="000A19F4"/>
    <w:rsid w:val="000A2A60"/>
    <w:rsid w:val="000A6E84"/>
    <w:rsid w:val="000B0F34"/>
    <w:rsid w:val="000B4FA1"/>
    <w:rsid w:val="000B570E"/>
    <w:rsid w:val="000B7491"/>
    <w:rsid w:val="000B7750"/>
    <w:rsid w:val="000C2081"/>
    <w:rsid w:val="000C2651"/>
    <w:rsid w:val="000C2F51"/>
    <w:rsid w:val="000C3730"/>
    <w:rsid w:val="000C66BE"/>
    <w:rsid w:val="000D0A6F"/>
    <w:rsid w:val="000D37A7"/>
    <w:rsid w:val="000D4CBD"/>
    <w:rsid w:val="000D580D"/>
    <w:rsid w:val="000D62D7"/>
    <w:rsid w:val="000D7FFC"/>
    <w:rsid w:val="000E27A7"/>
    <w:rsid w:val="000E6A4A"/>
    <w:rsid w:val="000F29F6"/>
    <w:rsid w:val="000F328C"/>
    <w:rsid w:val="000F4485"/>
    <w:rsid w:val="000F5B57"/>
    <w:rsid w:val="00104494"/>
    <w:rsid w:val="0010551E"/>
    <w:rsid w:val="00110041"/>
    <w:rsid w:val="00110A97"/>
    <w:rsid w:val="0011730B"/>
    <w:rsid w:val="00121DFF"/>
    <w:rsid w:val="001326A7"/>
    <w:rsid w:val="00142286"/>
    <w:rsid w:val="00142CAF"/>
    <w:rsid w:val="00145B52"/>
    <w:rsid w:val="001470B8"/>
    <w:rsid w:val="00147126"/>
    <w:rsid w:val="00147303"/>
    <w:rsid w:val="00152F80"/>
    <w:rsid w:val="00154704"/>
    <w:rsid w:val="00157F56"/>
    <w:rsid w:val="00160CE9"/>
    <w:rsid w:val="00171933"/>
    <w:rsid w:val="00172097"/>
    <w:rsid w:val="00172A27"/>
    <w:rsid w:val="00173662"/>
    <w:rsid w:val="00173745"/>
    <w:rsid w:val="00174F9F"/>
    <w:rsid w:val="00180A60"/>
    <w:rsid w:val="001830B6"/>
    <w:rsid w:val="001831B7"/>
    <w:rsid w:val="00185A86"/>
    <w:rsid w:val="00187854"/>
    <w:rsid w:val="0019566C"/>
    <w:rsid w:val="0019599B"/>
    <w:rsid w:val="001A0DD7"/>
    <w:rsid w:val="001A0FE0"/>
    <w:rsid w:val="001A2830"/>
    <w:rsid w:val="001A2B16"/>
    <w:rsid w:val="001A48FC"/>
    <w:rsid w:val="001A74E5"/>
    <w:rsid w:val="001B1043"/>
    <w:rsid w:val="001B1244"/>
    <w:rsid w:val="001B1878"/>
    <w:rsid w:val="001B21CE"/>
    <w:rsid w:val="001B3997"/>
    <w:rsid w:val="001B42A6"/>
    <w:rsid w:val="001B551E"/>
    <w:rsid w:val="001C2893"/>
    <w:rsid w:val="001C530E"/>
    <w:rsid w:val="001C6C72"/>
    <w:rsid w:val="001C7FF3"/>
    <w:rsid w:val="001D606C"/>
    <w:rsid w:val="001E0EE2"/>
    <w:rsid w:val="001E29F2"/>
    <w:rsid w:val="001E4182"/>
    <w:rsid w:val="001E4E3C"/>
    <w:rsid w:val="001E62C9"/>
    <w:rsid w:val="001F219A"/>
    <w:rsid w:val="001F33B8"/>
    <w:rsid w:val="001F4E70"/>
    <w:rsid w:val="001F5D24"/>
    <w:rsid w:val="001F6ED6"/>
    <w:rsid w:val="001F7FF1"/>
    <w:rsid w:val="00203007"/>
    <w:rsid w:val="00214397"/>
    <w:rsid w:val="00222628"/>
    <w:rsid w:val="0023205E"/>
    <w:rsid w:val="00233855"/>
    <w:rsid w:val="002359E2"/>
    <w:rsid w:val="002402CC"/>
    <w:rsid w:val="002402DE"/>
    <w:rsid w:val="00240B50"/>
    <w:rsid w:val="00240B90"/>
    <w:rsid w:val="00242F63"/>
    <w:rsid w:val="00245020"/>
    <w:rsid w:val="00245C56"/>
    <w:rsid w:val="0024606E"/>
    <w:rsid w:val="0025253B"/>
    <w:rsid w:val="0025566C"/>
    <w:rsid w:val="00256C00"/>
    <w:rsid w:val="002613E3"/>
    <w:rsid w:val="00262207"/>
    <w:rsid w:val="002657EA"/>
    <w:rsid w:val="00266F0E"/>
    <w:rsid w:val="00267E0A"/>
    <w:rsid w:val="00272225"/>
    <w:rsid w:val="002723C0"/>
    <w:rsid w:val="002751F6"/>
    <w:rsid w:val="00275C4B"/>
    <w:rsid w:val="00275C83"/>
    <w:rsid w:val="002947D5"/>
    <w:rsid w:val="00295D7A"/>
    <w:rsid w:val="002A28FE"/>
    <w:rsid w:val="002A3A6C"/>
    <w:rsid w:val="002A49C7"/>
    <w:rsid w:val="002A7746"/>
    <w:rsid w:val="002B03A6"/>
    <w:rsid w:val="002B1590"/>
    <w:rsid w:val="002B205B"/>
    <w:rsid w:val="002B2110"/>
    <w:rsid w:val="002B5D1D"/>
    <w:rsid w:val="002B5E8A"/>
    <w:rsid w:val="002C67DE"/>
    <w:rsid w:val="002D00CA"/>
    <w:rsid w:val="002D10F1"/>
    <w:rsid w:val="002D4186"/>
    <w:rsid w:val="002D4F54"/>
    <w:rsid w:val="002E2010"/>
    <w:rsid w:val="002E622F"/>
    <w:rsid w:val="002F7E4E"/>
    <w:rsid w:val="00301D7D"/>
    <w:rsid w:val="00301E30"/>
    <w:rsid w:val="0030453D"/>
    <w:rsid w:val="00310510"/>
    <w:rsid w:val="00312004"/>
    <w:rsid w:val="00312390"/>
    <w:rsid w:val="00312AC4"/>
    <w:rsid w:val="00312D25"/>
    <w:rsid w:val="00313B4E"/>
    <w:rsid w:val="003144B3"/>
    <w:rsid w:val="00314B1D"/>
    <w:rsid w:val="00321BD8"/>
    <w:rsid w:val="00324456"/>
    <w:rsid w:val="003247B8"/>
    <w:rsid w:val="00325EB1"/>
    <w:rsid w:val="00326B1D"/>
    <w:rsid w:val="00334F51"/>
    <w:rsid w:val="00335655"/>
    <w:rsid w:val="00335B9E"/>
    <w:rsid w:val="00335D7A"/>
    <w:rsid w:val="0033742A"/>
    <w:rsid w:val="00340060"/>
    <w:rsid w:val="00341316"/>
    <w:rsid w:val="00343764"/>
    <w:rsid w:val="00346987"/>
    <w:rsid w:val="00350E16"/>
    <w:rsid w:val="00351924"/>
    <w:rsid w:val="003531C6"/>
    <w:rsid w:val="003535F5"/>
    <w:rsid w:val="003543A6"/>
    <w:rsid w:val="0035440E"/>
    <w:rsid w:val="00354563"/>
    <w:rsid w:val="00356908"/>
    <w:rsid w:val="0036062B"/>
    <w:rsid w:val="00364FBD"/>
    <w:rsid w:val="003655CB"/>
    <w:rsid w:val="00366935"/>
    <w:rsid w:val="00370A45"/>
    <w:rsid w:val="00373411"/>
    <w:rsid w:val="0038282A"/>
    <w:rsid w:val="00383DF0"/>
    <w:rsid w:val="00384660"/>
    <w:rsid w:val="00385864"/>
    <w:rsid w:val="00390370"/>
    <w:rsid w:val="003915C4"/>
    <w:rsid w:val="00394874"/>
    <w:rsid w:val="0039523A"/>
    <w:rsid w:val="003A3BC6"/>
    <w:rsid w:val="003A4B5C"/>
    <w:rsid w:val="003A6773"/>
    <w:rsid w:val="003B5F79"/>
    <w:rsid w:val="003B6CB8"/>
    <w:rsid w:val="003C553A"/>
    <w:rsid w:val="003C5B4E"/>
    <w:rsid w:val="003D1F8D"/>
    <w:rsid w:val="003D6479"/>
    <w:rsid w:val="003E288D"/>
    <w:rsid w:val="003E3B80"/>
    <w:rsid w:val="003E4709"/>
    <w:rsid w:val="003E7702"/>
    <w:rsid w:val="003F18C4"/>
    <w:rsid w:val="00402E33"/>
    <w:rsid w:val="00412AD8"/>
    <w:rsid w:val="004228F2"/>
    <w:rsid w:val="00423E5C"/>
    <w:rsid w:val="0043013D"/>
    <w:rsid w:val="00430AB5"/>
    <w:rsid w:val="00430C8A"/>
    <w:rsid w:val="004328BA"/>
    <w:rsid w:val="00435D11"/>
    <w:rsid w:val="00436E2A"/>
    <w:rsid w:val="004424BB"/>
    <w:rsid w:val="0044322F"/>
    <w:rsid w:val="0045204B"/>
    <w:rsid w:val="00457D53"/>
    <w:rsid w:val="0046011B"/>
    <w:rsid w:val="004627CD"/>
    <w:rsid w:val="004635A6"/>
    <w:rsid w:val="00464314"/>
    <w:rsid w:val="004679AA"/>
    <w:rsid w:val="00472A18"/>
    <w:rsid w:val="00472B24"/>
    <w:rsid w:val="00473D99"/>
    <w:rsid w:val="004740A7"/>
    <w:rsid w:val="004756FC"/>
    <w:rsid w:val="00481768"/>
    <w:rsid w:val="00482F94"/>
    <w:rsid w:val="00485FB8"/>
    <w:rsid w:val="004868DE"/>
    <w:rsid w:val="00487316"/>
    <w:rsid w:val="00487414"/>
    <w:rsid w:val="004905C4"/>
    <w:rsid w:val="00490633"/>
    <w:rsid w:val="00492003"/>
    <w:rsid w:val="004944F8"/>
    <w:rsid w:val="004949FF"/>
    <w:rsid w:val="00495260"/>
    <w:rsid w:val="00496A5E"/>
    <w:rsid w:val="00496DCA"/>
    <w:rsid w:val="004979C9"/>
    <w:rsid w:val="004A023B"/>
    <w:rsid w:val="004A1E12"/>
    <w:rsid w:val="004A2D89"/>
    <w:rsid w:val="004A3333"/>
    <w:rsid w:val="004A5D3F"/>
    <w:rsid w:val="004A68CB"/>
    <w:rsid w:val="004B3F3F"/>
    <w:rsid w:val="004B3FFC"/>
    <w:rsid w:val="004B619C"/>
    <w:rsid w:val="004C04BF"/>
    <w:rsid w:val="004C6C76"/>
    <w:rsid w:val="004D151B"/>
    <w:rsid w:val="004D26E4"/>
    <w:rsid w:val="004E6769"/>
    <w:rsid w:val="004F0232"/>
    <w:rsid w:val="004F09F0"/>
    <w:rsid w:val="004F384E"/>
    <w:rsid w:val="004F3C68"/>
    <w:rsid w:val="004F4A21"/>
    <w:rsid w:val="00500538"/>
    <w:rsid w:val="0050440F"/>
    <w:rsid w:val="0050479E"/>
    <w:rsid w:val="005126E7"/>
    <w:rsid w:val="00512C6B"/>
    <w:rsid w:val="00514BDB"/>
    <w:rsid w:val="00517431"/>
    <w:rsid w:val="00517ADC"/>
    <w:rsid w:val="00520444"/>
    <w:rsid w:val="005218F7"/>
    <w:rsid w:val="005219F4"/>
    <w:rsid w:val="00523793"/>
    <w:rsid w:val="00532A3E"/>
    <w:rsid w:val="0053410E"/>
    <w:rsid w:val="005342FC"/>
    <w:rsid w:val="005450FF"/>
    <w:rsid w:val="0054756C"/>
    <w:rsid w:val="0055104C"/>
    <w:rsid w:val="005572B6"/>
    <w:rsid w:val="00563748"/>
    <w:rsid w:val="005641AD"/>
    <w:rsid w:val="00565532"/>
    <w:rsid w:val="0056597C"/>
    <w:rsid w:val="0057044A"/>
    <w:rsid w:val="00571C39"/>
    <w:rsid w:val="00571CFF"/>
    <w:rsid w:val="00572114"/>
    <w:rsid w:val="00572A45"/>
    <w:rsid w:val="00576618"/>
    <w:rsid w:val="005768F1"/>
    <w:rsid w:val="00577F05"/>
    <w:rsid w:val="00583D1C"/>
    <w:rsid w:val="00586FC8"/>
    <w:rsid w:val="005954C1"/>
    <w:rsid w:val="0059705C"/>
    <w:rsid w:val="00597A71"/>
    <w:rsid w:val="00597B3B"/>
    <w:rsid w:val="005A31F2"/>
    <w:rsid w:val="005A42AC"/>
    <w:rsid w:val="005A5128"/>
    <w:rsid w:val="005A5ED8"/>
    <w:rsid w:val="005A7B48"/>
    <w:rsid w:val="005A7C95"/>
    <w:rsid w:val="005B02F6"/>
    <w:rsid w:val="005B7F30"/>
    <w:rsid w:val="005C2F5E"/>
    <w:rsid w:val="005C67B2"/>
    <w:rsid w:val="005C6E9D"/>
    <w:rsid w:val="005C7310"/>
    <w:rsid w:val="005D02DB"/>
    <w:rsid w:val="005D31BF"/>
    <w:rsid w:val="005D4D95"/>
    <w:rsid w:val="005D6C7D"/>
    <w:rsid w:val="005D6EFB"/>
    <w:rsid w:val="005D7626"/>
    <w:rsid w:val="005E19D4"/>
    <w:rsid w:val="005E5EDF"/>
    <w:rsid w:val="005F0A47"/>
    <w:rsid w:val="005F1BC8"/>
    <w:rsid w:val="006007E7"/>
    <w:rsid w:val="00601982"/>
    <w:rsid w:val="00602936"/>
    <w:rsid w:val="00604816"/>
    <w:rsid w:val="00606BF6"/>
    <w:rsid w:val="00610B9D"/>
    <w:rsid w:val="00612AC0"/>
    <w:rsid w:val="0061501A"/>
    <w:rsid w:val="00620AEF"/>
    <w:rsid w:val="006215DC"/>
    <w:rsid w:val="00622290"/>
    <w:rsid w:val="00623726"/>
    <w:rsid w:val="00624584"/>
    <w:rsid w:val="0062776F"/>
    <w:rsid w:val="006403D2"/>
    <w:rsid w:val="00640B0B"/>
    <w:rsid w:val="00642E58"/>
    <w:rsid w:val="0064793C"/>
    <w:rsid w:val="00650A83"/>
    <w:rsid w:val="00652F94"/>
    <w:rsid w:val="00652FC6"/>
    <w:rsid w:val="0065499B"/>
    <w:rsid w:val="00654F7E"/>
    <w:rsid w:val="00655E23"/>
    <w:rsid w:val="00662DF2"/>
    <w:rsid w:val="0066325B"/>
    <w:rsid w:val="0066721A"/>
    <w:rsid w:val="006738CA"/>
    <w:rsid w:val="00676812"/>
    <w:rsid w:val="0068001B"/>
    <w:rsid w:val="00680CC2"/>
    <w:rsid w:val="00691EF6"/>
    <w:rsid w:val="006954F9"/>
    <w:rsid w:val="00696953"/>
    <w:rsid w:val="00697045"/>
    <w:rsid w:val="006971F7"/>
    <w:rsid w:val="00697739"/>
    <w:rsid w:val="006A4F6F"/>
    <w:rsid w:val="006B059B"/>
    <w:rsid w:val="006B0E8D"/>
    <w:rsid w:val="006B218A"/>
    <w:rsid w:val="006B2C9D"/>
    <w:rsid w:val="006B54A3"/>
    <w:rsid w:val="006B6706"/>
    <w:rsid w:val="006B7E60"/>
    <w:rsid w:val="006C062F"/>
    <w:rsid w:val="006C28F5"/>
    <w:rsid w:val="006C4060"/>
    <w:rsid w:val="006C5E1C"/>
    <w:rsid w:val="006C5EC5"/>
    <w:rsid w:val="006C6174"/>
    <w:rsid w:val="006D13B4"/>
    <w:rsid w:val="006E01EA"/>
    <w:rsid w:val="006E0503"/>
    <w:rsid w:val="006E0617"/>
    <w:rsid w:val="006E1281"/>
    <w:rsid w:val="006E14E4"/>
    <w:rsid w:val="006E37DD"/>
    <w:rsid w:val="006E43B3"/>
    <w:rsid w:val="006E549F"/>
    <w:rsid w:val="006E74E2"/>
    <w:rsid w:val="006F302F"/>
    <w:rsid w:val="006F3C4C"/>
    <w:rsid w:val="006F5307"/>
    <w:rsid w:val="006F6588"/>
    <w:rsid w:val="0070197A"/>
    <w:rsid w:val="007022D7"/>
    <w:rsid w:val="0070577D"/>
    <w:rsid w:val="007120EA"/>
    <w:rsid w:val="00714497"/>
    <w:rsid w:val="007208FF"/>
    <w:rsid w:val="0072128C"/>
    <w:rsid w:val="007213A5"/>
    <w:rsid w:val="007223E2"/>
    <w:rsid w:val="007228FD"/>
    <w:rsid w:val="00722998"/>
    <w:rsid w:val="00722DD4"/>
    <w:rsid w:val="007260ED"/>
    <w:rsid w:val="00726362"/>
    <w:rsid w:val="00726FAF"/>
    <w:rsid w:val="00727401"/>
    <w:rsid w:val="00731392"/>
    <w:rsid w:val="007315AF"/>
    <w:rsid w:val="0073198E"/>
    <w:rsid w:val="0073219E"/>
    <w:rsid w:val="0073258B"/>
    <w:rsid w:val="00733A78"/>
    <w:rsid w:val="00733EA8"/>
    <w:rsid w:val="00745064"/>
    <w:rsid w:val="00751116"/>
    <w:rsid w:val="00753242"/>
    <w:rsid w:val="00753398"/>
    <w:rsid w:val="0076341E"/>
    <w:rsid w:val="007648EE"/>
    <w:rsid w:val="00770E1E"/>
    <w:rsid w:val="00772A47"/>
    <w:rsid w:val="00775CBF"/>
    <w:rsid w:val="00776E22"/>
    <w:rsid w:val="00777B75"/>
    <w:rsid w:val="00783E2A"/>
    <w:rsid w:val="007861B0"/>
    <w:rsid w:val="00787056"/>
    <w:rsid w:val="007916A9"/>
    <w:rsid w:val="00792F2D"/>
    <w:rsid w:val="0079666F"/>
    <w:rsid w:val="00796D98"/>
    <w:rsid w:val="007A02BC"/>
    <w:rsid w:val="007A0463"/>
    <w:rsid w:val="007A0D3D"/>
    <w:rsid w:val="007A6080"/>
    <w:rsid w:val="007B2861"/>
    <w:rsid w:val="007B29A0"/>
    <w:rsid w:val="007B2CF9"/>
    <w:rsid w:val="007B6D02"/>
    <w:rsid w:val="007C0574"/>
    <w:rsid w:val="007C22BF"/>
    <w:rsid w:val="007C2F82"/>
    <w:rsid w:val="007C76CE"/>
    <w:rsid w:val="007D2C60"/>
    <w:rsid w:val="007D2DA6"/>
    <w:rsid w:val="007D634B"/>
    <w:rsid w:val="007D6E0A"/>
    <w:rsid w:val="007F08FA"/>
    <w:rsid w:val="007F1CD5"/>
    <w:rsid w:val="007F2F1E"/>
    <w:rsid w:val="007F3C8E"/>
    <w:rsid w:val="007F42FE"/>
    <w:rsid w:val="007F4AA4"/>
    <w:rsid w:val="007F55AC"/>
    <w:rsid w:val="0080441A"/>
    <w:rsid w:val="00804AF7"/>
    <w:rsid w:val="008055EF"/>
    <w:rsid w:val="0080702A"/>
    <w:rsid w:val="00811A63"/>
    <w:rsid w:val="00811E74"/>
    <w:rsid w:val="0082056A"/>
    <w:rsid w:val="0082343E"/>
    <w:rsid w:val="00823CC5"/>
    <w:rsid w:val="00825423"/>
    <w:rsid w:val="008313B0"/>
    <w:rsid w:val="00831B2C"/>
    <w:rsid w:val="00832BAF"/>
    <w:rsid w:val="008339FF"/>
    <w:rsid w:val="00834E2F"/>
    <w:rsid w:val="00836356"/>
    <w:rsid w:val="008364D4"/>
    <w:rsid w:val="00850A01"/>
    <w:rsid w:val="008533C4"/>
    <w:rsid w:val="00866F1B"/>
    <w:rsid w:val="00871078"/>
    <w:rsid w:val="00872F4E"/>
    <w:rsid w:val="008831D8"/>
    <w:rsid w:val="00885E5F"/>
    <w:rsid w:val="00885EF0"/>
    <w:rsid w:val="00890978"/>
    <w:rsid w:val="008915CD"/>
    <w:rsid w:val="00892B42"/>
    <w:rsid w:val="00894262"/>
    <w:rsid w:val="00897A24"/>
    <w:rsid w:val="008A20CC"/>
    <w:rsid w:val="008A358B"/>
    <w:rsid w:val="008A41D6"/>
    <w:rsid w:val="008A4230"/>
    <w:rsid w:val="008A6979"/>
    <w:rsid w:val="008B27D1"/>
    <w:rsid w:val="008B4655"/>
    <w:rsid w:val="008B7B37"/>
    <w:rsid w:val="008C0EE3"/>
    <w:rsid w:val="008C0F6B"/>
    <w:rsid w:val="008C33E1"/>
    <w:rsid w:val="008C3755"/>
    <w:rsid w:val="008C6FDC"/>
    <w:rsid w:val="008D142A"/>
    <w:rsid w:val="008D2A5D"/>
    <w:rsid w:val="008E01CB"/>
    <w:rsid w:val="008E1E91"/>
    <w:rsid w:val="008E251D"/>
    <w:rsid w:val="008E2A84"/>
    <w:rsid w:val="008E4A9B"/>
    <w:rsid w:val="008E4C3E"/>
    <w:rsid w:val="008E6370"/>
    <w:rsid w:val="008E7450"/>
    <w:rsid w:val="008F07A7"/>
    <w:rsid w:val="008F1489"/>
    <w:rsid w:val="009028DD"/>
    <w:rsid w:val="00903970"/>
    <w:rsid w:val="00905595"/>
    <w:rsid w:val="009077ED"/>
    <w:rsid w:val="00911382"/>
    <w:rsid w:val="00912032"/>
    <w:rsid w:val="00913C0D"/>
    <w:rsid w:val="00914BB5"/>
    <w:rsid w:val="00915B76"/>
    <w:rsid w:val="00917D5F"/>
    <w:rsid w:val="00920353"/>
    <w:rsid w:val="00922291"/>
    <w:rsid w:val="009252FD"/>
    <w:rsid w:val="009258B7"/>
    <w:rsid w:val="0093078F"/>
    <w:rsid w:val="0093528B"/>
    <w:rsid w:val="009356CE"/>
    <w:rsid w:val="00937795"/>
    <w:rsid w:val="00937898"/>
    <w:rsid w:val="0094062F"/>
    <w:rsid w:val="00941516"/>
    <w:rsid w:val="00941F63"/>
    <w:rsid w:val="0094296F"/>
    <w:rsid w:val="00943211"/>
    <w:rsid w:val="00944FFB"/>
    <w:rsid w:val="00946A53"/>
    <w:rsid w:val="00947CAA"/>
    <w:rsid w:val="0095121C"/>
    <w:rsid w:val="00953688"/>
    <w:rsid w:val="00954EE3"/>
    <w:rsid w:val="00955399"/>
    <w:rsid w:val="00956C2E"/>
    <w:rsid w:val="00957E16"/>
    <w:rsid w:val="00957E84"/>
    <w:rsid w:val="009603B0"/>
    <w:rsid w:val="00962C50"/>
    <w:rsid w:val="00963179"/>
    <w:rsid w:val="0096487F"/>
    <w:rsid w:val="0097074C"/>
    <w:rsid w:val="00971274"/>
    <w:rsid w:val="00975008"/>
    <w:rsid w:val="0097594A"/>
    <w:rsid w:val="0098137F"/>
    <w:rsid w:val="00981B21"/>
    <w:rsid w:val="00982042"/>
    <w:rsid w:val="009835C0"/>
    <w:rsid w:val="00983C88"/>
    <w:rsid w:val="00985BE2"/>
    <w:rsid w:val="009875B6"/>
    <w:rsid w:val="0099072B"/>
    <w:rsid w:val="00991583"/>
    <w:rsid w:val="00993570"/>
    <w:rsid w:val="0099631B"/>
    <w:rsid w:val="00996798"/>
    <w:rsid w:val="00997819"/>
    <w:rsid w:val="009A158A"/>
    <w:rsid w:val="009A1DAD"/>
    <w:rsid w:val="009A44A0"/>
    <w:rsid w:val="009B2BCC"/>
    <w:rsid w:val="009B546C"/>
    <w:rsid w:val="009B6A82"/>
    <w:rsid w:val="009C0768"/>
    <w:rsid w:val="009C5004"/>
    <w:rsid w:val="009C62E2"/>
    <w:rsid w:val="009D29FE"/>
    <w:rsid w:val="009D2F0F"/>
    <w:rsid w:val="009D396C"/>
    <w:rsid w:val="009D6034"/>
    <w:rsid w:val="009E330F"/>
    <w:rsid w:val="009E3DA1"/>
    <w:rsid w:val="009E780F"/>
    <w:rsid w:val="009E7926"/>
    <w:rsid w:val="009E7949"/>
    <w:rsid w:val="009F570B"/>
    <w:rsid w:val="009F70EB"/>
    <w:rsid w:val="00A00716"/>
    <w:rsid w:val="00A01458"/>
    <w:rsid w:val="00A021C3"/>
    <w:rsid w:val="00A0222D"/>
    <w:rsid w:val="00A0270D"/>
    <w:rsid w:val="00A03F2E"/>
    <w:rsid w:val="00A0773B"/>
    <w:rsid w:val="00A11442"/>
    <w:rsid w:val="00A115FE"/>
    <w:rsid w:val="00A11D21"/>
    <w:rsid w:val="00A121A0"/>
    <w:rsid w:val="00A139B4"/>
    <w:rsid w:val="00A16A91"/>
    <w:rsid w:val="00A17722"/>
    <w:rsid w:val="00A21A60"/>
    <w:rsid w:val="00A22134"/>
    <w:rsid w:val="00A23B30"/>
    <w:rsid w:val="00A250DA"/>
    <w:rsid w:val="00A27464"/>
    <w:rsid w:val="00A31A17"/>
    <w:rsid w:val="00A3409B"/>
    <w:rsid w:val="00A343E7"/>
    <w:rsid w:val="00A37006"/>
    <w:rsid w:val="00A379FE"/>
    <w:rsid w:val="00A37CDC"/>
    <w:rsid w:val="00A37DBE"/>
    <w:rsid w:val="00A41523"/>
    <w:rsid w:val="00A45932"/>
    <w:rsid w:val="00A46260"/>
    <w:rsid w:val="00A527A1"/>
    <w:rsid w:val="00A558C6"/>
    <w:rsid w:val="00A56BC0"/>
    <w:rsid w:val="00A600F2"/>
    <w:rsid w:val="00A63144"/>
    <w:rsid w:val="00A65FD4"/>
    <w:rsid w:val="00A6796E"/>
    <w:rsid w:val="00A7022E"/>
    <w:rsid w:val="00A72A4C"/>
    <w:rsid w:val="00A72F39"/>
    <w:rsid w:val="00A753DB"/>
    <w:rsid w:val="00A809F7"/>
    <w:rsid w:val="00A82F0A"/>
    <w:rsid w:val="00A87FC4"/>
    <w:rsid w:val="00A93E1D"/>
    <w:rsid w:val="00A9486E"/>
    <w:rsid w:val="00A95242"/>
    <w:rsid w:val="00A97C5B"/>
    <w:rsid w:val="00A97CED"/>
    <w:rsid w:val="00AA0990"/>
    <w:rsid w:val="00AA11C3"/>
    <w:rsid w:val="00AA1EC8"/>
    <w:rsid w:val="00AA3736"/>
    <w:rsid w:val="00AA5326"/>
    <w:rsid w:val="00AA541F"/>
    <w:rsid w:val="00AA7FE0"/>
    <w:rsid w:val="00AB19EF"/>
    <w:rsid w:val="00AB334F"/>
    <w:rsid w:val="00AB338C"/>
    <w:rsid w:val="00AB5961"/>
    <w:rsid w:val="00AD041A"/>
    <w:rsid w:val="00AD0735"/>
    <w:rsid w:val="00AD1208"/>
    <w:rsid w:val="00AD136E"/>
    <w:rsid w:val="00AD154C"/>
    <w:rsid w:val="00AD1AD2"/>
    <w:rsid w:val="00AD6975"/>
    <w:rsid w:val="00AD7D43"/>
    <w:rsid w:val="00AE261A"/>
    <w:rsid w:val="00AE45AB"/>
    <w:rsid w:val="00AE4EAC"/>
    <w:rsid w:val="00AE53D6"/>
    <w:rsid w:val="00AE5A7F"/>
    <w:rsid w:val="00AE5F96"/>
    <w:rsid w:val="00AE7402"/>
    <w:rsid w:val="00AF1C64"/>
    <w:rsid w:val="00AF4C65"/>
    <w:rsid w:val="00AF646B"/>
    <w:rsid w:val="00AF6F4B"/>
    <w:rsid w:val="00B01000"/>
    <w:rsid w:val="00B0100A"/>
    <w:rsid w:val="00B036A1"/>
    <w:rsid w:val="00B05582"/>
    <w:rsid w:val="00B05A22"/>
    <w:rsid w:val="00B05C92"/>
    <w:rsid w:val="00B06E2F"/>
    <w:rsid w:val="00B10A88"/>
    <w:rsid w:val="00B1437A"/>
    <w:rsid w:val="00B157AD"/>
    <w:rsid w:val="00B21663"/>
    <w:rsid w:val="00B25E3B"/>
    <w:rsid w:val="00B276A7"/>
    <w:rsid w:val="00B306A3"/>
    <w:rsid w:val="00B47501"/>
    <w:rsid w:val="00B5120D"/>
    <w:rsid w:val="00B53305"/>
    <w:rsid w:val="00B534FE"/>
    <w:rsid w:val="00B54DBA"/>
    <w:rsid w:val="00B616A8"/>
    <w:rsid w:val="00B71E72"/>
    <w:rsid w:val="00B73E57"/>
    <w:rsid w:val="00B7504B"/>
    <w:rsid w:val="00B81108"/>
    <w:rsid w:val="00B820DA"/>
    <w:rsid w:val="00B836E8"/>
    <w:rsid w:val="00B837D8"/>
    <w:rsid w:val="00B83C91"/>
    <w:rsid w:val="00B83CD2"/>
    <w:rsid w:val="00B91DC3"/>
    <w:rsid w:val="00B92950"/>
    <w:rsid w:val="00B938D2"/>
    <w:rsid w:val="00B93C81"/>
    <w:rsid w:val="00B9447D"/>
    <w:rsid w:val="00B9454F"/>
    <w:rsid w:val="00B96415"/>
    <w:rsid w:val="00B968CE"/>
    <w:rsid w:val="00BA5D63"/>
    <w:rsid w:val="00BA6ABA"/>
    <w:rsid w:val="00BA7629"/>
    <w:rsid w:val="00BB3F72"/>
    <w:rsid w:val="00BB7E78"/>
    <w:rsid w:val="00BC5B57"/>
    <w:rsid w:val="00BD281E"/>
    <w:rsid w:val="00BD2FB9"/>
    <w:rsid w:val="00BD348C"/>
    <w:rsid w:val="00BD3FB0"/>
    <w:rsid w:val="00BD69C5"/>
    <w:rsid w:val="00BD7368"/>
    <w:rsid w:val="00BE2F87"/>
    <w:rsid w:val="00BF2E8F"/>
    <w:rsid w:val="00BF3A3E"/>
    <w:rsid w:val="00BF3CBB"/>
    <w:rsid w:val="00BF535C"/>
    <w:rsid w:val="00BF6E2D"/>
    <w:rsid w:val="00C014A1"/>
    <w:rsid w:val="00C0211A"/>
    <w:rsid w:val="00C03989"/>
    <w:rsid w:val="00C03D6F"/>
    <w:rsid w:val="00C10F2E"/>
    <w:rsid w:val="00C13156"/>
    <w:rsid w:val="00C13E62"/>
    <w:rsid w:val="00C142A1"/>
    <w:rsid w:val="00C1475C"/>
    <w:rsid w:val="00C164AC"/>
    <w:rsid w:val="00C167C4"/>
    <w:rsid w:val="00C20F07"/>
    <w:rsid w:val="00C21D3E"/>
    <w:rsid w:val="00C24008"/>
    <w:rsid w:val="00C2678D"/>
    <w:rsid w:val="00C328A0"/>
    <w:rsid w:val="00C3350C"/>
    <w:rsid w:val="00C37DB2"/>
    <w:rsid w:val="00C403FA"/>
    <w:rsid w:val="00C414D4"/>
    <w:rsid w:val="00C51BA7"/>
    <w:rsid w:val="00C56F5E"/>
    <w:rsid w:val="00C60E62"/>
    <w:rsid w:val="00C62B70"/>
    <w:rsid w:val="00C6370E"/>
    <w:rsid w:val="00C65E69"/>
    <w:rsid w:val="00C66384"/>
    <w:rsid w:val="00C73EC9"/>
    <w:rsid w:val="00C81353"/>
    <w:rsid w:val="00C81D30"/>
    <w:rsid w:val="00C8253C"/>
    <w:rsid w:val="00C8259F"/>
    <w:rsid w:val="00C84F0E"/>
    <w:rsid w:val="00C85247"/>
    <w:rsid w:val="00C85283"/>
    <w:rsid w:val="00CA47BB"/>
    <w:rsid w:val="00CA5076"/>
    <w:rsid w:val="00CB0311"/>
    <w:rsid w:val="00CC1864"/>
    <w:rsid w:val="00CC3A9B"/>
    <w:rsid w:val="00CC507E"/>
    <w:rsid w:val="00CC6318"/>
    <w:rsid w:val="00CC7673"/>
    <w:rsid w:val="00CC7A8C"/>
    <w:rsid w:val="00CD0A7E"/>
    <w:rsid w:val="00CD20CC"/>
    <w:rsid w:val="00CD30D1"/>
    <w:rsid w:val="00CD36EF"/>
    <w:rsid w:val="00CD6966"/>
    <w:rsid w:val="00CE0824"/>
    <w:rsid w:val="00CE2315"/>
    <w:rsid w:val="00CE3FA8"/>
    <w:rsid w:val="00CE49FD"/>
    <w:rsid w:val="00CE59ED"/>
    <w:rsid w:val="00CF203A"/>
    <w:rsid w:val="00CF775E"/>
    <w:rsid w:val="00CF7E69"/>
    <w:rsid w:val="00D02F48"/>
    <w:rsid w:val="00D04D23"/>
    <w:rsid w:val="00D061FE"/>
    <w:rsid w:val="00D13655"/>
    <w:rsid w:val="00D14469"/>
    <w:rsid w:val="00D17752"/>
    <w:rsid w:val="00D20749"/>
    <w:rsid w:val="00D234DE"/>
    <w:rsid w:val="00D24254"/>
    <w:rsid w:val="00D4172D"/>
    <w:rsid w:val="00D42037"/>
    <w:rsid w:val="00D42893"/>
    <w:rsid w:val="00D42C2E"/>
    <w:rsid w:val="00D44C20"/>
    <w:rsid w:val="00D45451"/>
    <w:rsid w:val="00D50C97"/>
    <w:rsid w:val="00D52BA5"/>
    <w:rsid w:val="00D54DA0"/>
    <w:rsid w:val="00D57AED"/>
    <w:rsid w:val="00D61AB1"/>
    <w:rsid w:val="00D64011"/>
    <w:rsid w:val="00D64624"/>
    <w:rsid w:val="00D71C3D"/>
    <w:rsid w:val="00D726BD"/>
    <w:rsid w:val="00D727A6"/>
    <w:rsid w:val="00D763EC"/>
    <w:rsid w:val="00D80666"/>
    <w:rsid w:val="00D807E9"/>
    <w:rsid w:val="00D81676"/>
    <w:rsid w:val="00D85468"/>
    <w:rsid w:val="00D87082"/>
    <w:rsid w:val="00D90F87"/>
    <w:rsid w:val="00D92049"/>
    <w:rsid w:val="00D928CE"/>
    <w:rsid w:val="00D92E44"/>
    <w:rsid w:val="00D94A33"/>
    <w:rsid w:val="00D94B08"/>
    <w:rsid w:val="00DA6DCB"/>
    <w:rsid w:val="00DB149D"/>
    <w:rsid w:val="00DB1E28"/>
    <w:rsid w:val="00DB5F67"/>
    <w:rsid w:val="00DC11DC"/>
    <w:rsid w:val="00DC14DD"/>
    <w:rsid w:val="00DC1B3A"/>
    <w:rsid w:val="00DC1D28"/>
    <w:rsid w:val="00DC3251"/>
    <w:rsid w:val="00DC70BF"/>
    <w:rsid w:val="00DE0934"/>
    <w:rsid w:val="00DE2531"/>
    <w:rsid w:val="00DE37B8"/>
    <w:rsid w:val="00DE3DD0"/>
    <w:rsid w:val="00DE6271"/>
    <w:rsid w:val="00DF0C50"/>
    <w:rsid w:val="00DF12CC"/>
    <w:rsid w:val="00DF1F8B"/>
    <w:rsid w:val="00DF20AC"/>
    <w:rsid w:val="00DF23FC"/>
    <w:rsid w:val="00DF2742"/>
    <w:rsid w:val="00DF3ED1"/>
    <w:rsid w:val="00E0285C"/>
    <w:rsid w:val="00E03CBF"/>
    <w:rsid w:val="00E03FBF"/>
    <w:rsid w:val="00E05993"/>
    <w:rsid w:val="00E062D8"/>
    <w:rsid w:val="00E073B4"/>
    <w:rsid w:val="00E07975"/>
    <w:rsid w:val="00E12BFF"/>
    <w:rsid w:val="00E13F74"/>
    <w:rsid w:val="00E15B44"/>
    <w:rsid w:val="00E17079"/>
    <w:rsid w:val="00E1722D"/>
    <w:rsid w:val="00E21DC2"/>
    <w:rsid w:val="00E22D74"/>
    <w:rsid w:val="00E23363"/>
    <w:rsid w:val="00E251E6"/>
    <w:rsid w:val="00E3031E"/>
    <w:rsid w:val="00E30B10"/>
    <w:rsid w:val="00E319DC"/>
    <w:rsid w:val="00E33CFB"/>
    <w:rsid w:val="00E349D3"/>
    <w:rsid w:val="00E479EC"/>
    <w:rsid w:val="00E5298E"/>
    <w:rsid w:val="00E540BB"/>
    <w:rsid w:val="00E549D6"/>
    <w:rsid w:val="00E61916"/>
    <w:rsid w:val="00E63096"/>
    <w:rsid w:val="00E645C1"/>
    <w:rsid w:val="00E64877"/>
    <w:rsid w:val="00E64D1B"/>
    <w:rsid w:val="00E71002"/>
    <w:rsid w:val="00E731AF"/>
    <w:rsid w:val="00E73F26"/>
    <w:rsid w:val="00E74858"/>
    <w:rsid w:val="00E74D94"/>
    <w:rsid w:val="00E8128E"/>
    <w:rsid w:val="00E81323"/>
    <w:rsid w:val="00E8494B"/>
    <w:rsid w:val="00E937BD"/>
    <w:rsid w:val="00E93B33"/>
    <w:rsid w:val="00E953BE"/>
    <w:rsid w:val="00E958F4"/>
    <w:rsid w:val="00E97134"/>
    <w:rsid w:val="00EB1999"/>
    <w:rsid w:val="00EC0776"/>
    <w:rsid w:val="00EC2661"/>
    <w:rsid w:val="00EC5474"/>
    <w:rsid w:val="00EC565A"/>
    <w:rsid w:val="00ED0FFE"/>
    <w:rsid w:val="00ED4E39"/>
    <w:rsid w:val="00ED5408"/>
    <w:rsid w:val="00ED65CE"/>
    <w:rsid w:val="00ED7B10"/>
    <w:rsid w:val="00ED7CC7"/>
    <w:rsid w:val="00EE13CC"/>
    <w:rsid w:val="00EF24AC"/>
    <w:rsid w:val="00EF4260"/>
    <w:rsid w:val="00EF4780"/>
    <w:rsid w:val="00EF623F"/>
    <w:rsid w:val="00EF6957"/>
    <w:rsid w:val="00F01146"/>
    <w:rsid w:val="00F0155B"/>
    <w:rsid w:val="00F030B2"/>
    <w:rsid w:val="00F04956"/>
    <w:rsid w:val="00F0729E"/>
    <w:rsid w:val="00F13E88"/>
    <w:rsid w:val="00F1718C"/>
    <w:rsid w:val="00F179AC"/>
    <w:rsid w:val="00F22AAC"/>
    <w:rsid w:val="00F23340"/>
    <w:rsid w:val="00F25693"/>
    <w:rsid w:val="00F258C0"/>
    <w:rsid w:val="00F31F21"/>
    <w:rsid w:val="00F33ED0"/>
    <w:rsid w:val="00F3562A"/>
    <w:rsid w:val="00F3679F"/>
    <w:rsid w:val="00F4016F"/>
    <w:rsid w:val="00F417BF"/>
    <w:rsid w:val="00F4255B"/>
    <w:rsid w:val="00F42712"/>
    <w:rsid w:val="00F42F84"/>
    <w:rsid w:val="00F439D2"/>
    <w:rsid w:val="00F43FC3"/>
    <w:rsid w:val="00F44062"/>
    <w:rsid w:val="00F45155"/>
    <w:rsid w:val="00F45A0C"/>
    <w:rsid w:val="00F46519"/>
    <w:rsid w:val="00F50758"/>
    <w:rsid w:val="00F50AD8"/>
    <w:rsid w:val="00F51542"/>
    <w:rsid w:val="00F54C2A"/>
    <w:rsid w:val="00F55DA5"/>
    <w:rsid w:val="00F70E80"/>
    <w:rsid w:val="00F719C1"/>
    <w:rsid w:val="00F72114"/>
    <w:rsid w:val="00F72241"/>
    <w:rsid w:val="00F727AB"/>
    <w:rsid w:val="00F7328D"/>
    <w:rsid w:val="00F75252"/>
    <w:rsid w:val="00F7596D"/>
    <w:rsid w:val="00F759A6"/>
    <w:rsid w:val="00F76962"/>
    <w:rsid w:val="00F76A91"/>
    <w:rsid w:val="00F76B4F"/>
    <w:rsid w:val="00F8155E"/>
    <w:rsid w:val="00F856B8"/>
    <w:rsid w:val="00F86175"/>
    <w:rsid w:val="00F87EDA"/>
    <w:rsid w:val="00F9477F"/>
    <w:rsid w:val="00F96CA0"/>
    <w:rsid w:val="00F97205"/>
    <w:rsid w:val="00F97F5B"/>
    <w:rsid w:val="00FA504D"/>
    <w:rsid w:val="00FA7F34"/>
    <w:rsid w:val="00FB0AA0"/>
    <w:rsid w:val="00FB6787"/>
    <w:rsid w:val="00FB7974"/>
    <w:rsid w:val="00FC01A5"/>
    <w:rsid w:val="00FC6789"/>
    <w:rsid w:val="00FD15D2"/>
    <w:rsid w:val="00FD252A"/>
    <w:rsid w:val="00FD3BA2"/>
    <w:rsid w:val="00FD4384"/>
    <w:rsid w:val="00FD58AC"/>
    <w:rsid w:val="00FD5964"/>
    <w:rsid w:val="00FE5AB6"/>
    <w:rsid w:val="00FF0333"/>
    <w:rsid w:val="00FF122F"/>
    <w:rsid w:val="00FF2B51"/>
    <w:rsid w:val="00FF51A7"/>
    <w:rsid w:val="00FF6576"/>
    <w:rsid w:val="00FF6876"/>
    <w:rsid w:val="00FF724C"/>
    <w:rsid w:val="01B15331"/>
    <w:rsid w:val="0A350955"/>
    <w:rsid w:val="1D0213EB"/>
    <w:rsid w:val="26DB229D"/>
    <w:rsid w:val="366B5AC9"/>
    <w:rsid w:val="36BA07FB"/>
    <w:rsid w:val="403D1155"/>
    <w:rsid w:val="475F1A7A"/>
    <w:rsid w:val="5C580EFB"/>
    <w:rsid w:val="5EA43D89"/>
    <w:rsid w:val="66762A5B"/>
    <w:rsid w:val="706F7DAC"/>
    <w:rsid w:val="77A26898"/>
    <w:rsid w:val="7E6948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semiHidden="0" w:unhideWhenUsed="0"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footnote reference" w:semiHidden="0" w:uiPriority="99" w:unhideWhenUsed="0" w:qFormat="1"/>
    <w:lsdException w:name="annotation reference"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qFormat="1"/>
    <w:lsdException w:name="Strong" w:semiHidden="0" w:unhideWhenUsed="0" w:qFormat="1"/>
    <w:lsdException w:name="Emphasis" w:semiHidden="0" w:unhideWhenUsed="0" w:qFormat="1"/>
    <w:lsdException w:name="Document Map" w:semiHidden="0" w:uiPriority="99" w:unhideWhenUsed="0" w:qFormat="1"/>
    <w:lsdException w:name="HTML Top of Form" w:uiPriority="99"/>
    <w:lsdException w:name="HTML Bottom of Form" w:uiPriority="99"/>
    <w:lsdException w:name="Normal Table" w:uiPriority="99"/>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E89"/>
    <w:pPr>
      <w:widowControl w:val="0"/>
      <w:jc w:val="both"/>
    </w:pPr>
    <w:rPr>
      <w:kern w:val="2"/>
      <w:sz w:val="21"/>
      <w:szCs w:val="22"/>
    </w:rPr>
  </w:style>
  <w:style w:type="paragraph" w:styleId="2">
    <w:name w:val="heading 2"/>
    <w:basedOn w:val="a"/>
    <w:next w:val="a"/>
    <w:link w:val="2Char"/>
    <w:qFormat/>
    <w:rsid w:val="00024E89"/>
    <w:pPr>
      <w:keepNext/>
      <w:keepLines/>
      <w:spacing w:before="260" w:after="260" w:line="413" w:lineRule="auto"/>
      <w:outlineLvl w:val="1"/>
    </w:pPr>
    <w:rPr>
      <w:rFonts w:ascii="Arial" w:eastAsia="黑体" w:hAnsi="Arial"/>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qFormat/>
    <w:rsid w:val="00024E89"/>
    <w:pPr>
      <w:shd w:val="clear" w:color="auto" w:fill="000080"/>
    </w:pPr>
    <w:rPr>
      <w:sz w:val="0"/>
      <w:szCs w:val="0"/>
    </w:rPr>
  </w:style>
  <w:style w:type="paragraph" w:styleId="a4">
    <w:name w:val="annotation text"/>
    <w:basedOn w:val="a"/>
    <w:link w:val="Char0"/>
    <w:qFormat/>
    <w:rsid w:val="00024E89"/>
    <w:pPr>
      <w:jc w:val="left"/>
    </w:pPr>
  </w:style>
  <w:style w:type="paragraph" w:styleId="a5">
    <w:name w:val="Balloon Text"/>
    <w:basedOn w:val="a"/>
    <w:link w:val="Char1"/>
    <w:qFormat/>
    <w:rsid w:val="00024E89"/>
    <w:rPr>
      <w:sz w:val="18"/>
      <w:szCs w:val="18"/>
    </w:rPr>
  </w:style>
  <w:style w:type="paragraph" w:styleId="a6">
    <w:name w:val="footer"/>
    <w:basedOn w:val="a"/>
    <w:link w:val="Char2"/>
    <w:uiPriority w:val="99"/>
    <w:qFormat/>
    <w:rsid w:val="00024E89"/>
    <w:pPr>
      <w:tabs>
        <w:tab w:val="center" w:pos="4153"/>
        <w:tab w:val="right" w:pos="8306"/>
      </w:tabs>
      <w:snapToGrid w:val="0"/>
      <w:jc w:val="left"/>
    </w:pPr>
    <w:rPr>
      <w:sz w:val="18"/>
      <w:szCs w:val="20"/>
    </w:rPr>
  </w:style>
  <w:style w:type="paragraph" w:styleId="a7">
    <w:name w:val="header"/>
    <w:basedOn w:val="a"/>
    <w:link w:val="Char3"/>
    <w:qFormat/>
    <w:rsid w:val="00024E89"/>
    <w:pPr>
      <w:pBdr>
        <w:bottom w:val="single" w:sz="6" w:space="1" w:color="auto"/>
      </w:pBdr>
      <w:tabs>
        <w:tab w:val="center" w:pos="4153"/>
        <w:tab w:val="right" w:pos="8306"/>
      </w:tabs>
      <w:snapToGrid w:val="0"/>
      <w:jc w:val="center"/>
    </w:pPr>
    <w:rPr>
      <w:sz w:val="18"/>
      <w:szCs w:val="20"/>
    </w:rPr>
  </w:style>
  <w:style w:type="paragraph" w:styleId="a8">
    <w:name w:val="footnote text"/>
    <w:basedOn w:val="a"/>
    <w:link w:val="Char4"/>
    <w:qFormat/>
    <w:rsid w:val="00024E89"/>
    <w:pPr>
      <w:snapToGrid w:val="0"/>
      <w:jc w:val="left"/>
    </w:pPr>
    <w:rPr>
      <w:sz w:val="18"/>
      <w:szCs w:val="20"/>
    </w:rPr>
  </w:style>
  <w:style w:type="paragraph" w:styleId="a9">
    <w:name w:val="annotation subject"/>
    <w:basedOn w:val="a4"/>
    <w:next w:val="a4"/>
    <w:link w:val="Char5"/>
    <w:qFormat/>
    <w:rsid w:val="00024E89"/>
    <w:rPr>
      <w:b/>
      <w:bCs/>
    </w:rPr>
  </w:style>
  <w:style w:type="character" w:styleId="aa">
    <w:name w:val="Hyperlink"/>
    <w:basedOn w:val="a0"/>
    <w:unhideWhenUsed/>
    <w:qFormat/>
    <w:rsid w:val="00024E89"/>
    <w:rPr>
      <w:color w:val="0000FF" w:themeColor="hyperlink"/>
      <w:u w:val="single"/>
    </w:rPr>
  </w:style>
  <w:style w:type="character" w:styleId="ab">
    <w:name w:val="annotation reference"/>
    <w:qFormat/>
    <w:rsid w:val="00024E89"/>
    <w:rPr>
      <w:sz w:val="21"/>
      <w:szCs w:val="21"/>
    </w:rPr>
  </w:style>
  <w:style w:type="character" w:styleId="ac">
    <w:name w:val="footnote reference"/>
    <w:uiPriority w:val="99"/>
    <w:qFormat/>
    <w:rsid w:val="00024E89"/>
    <w:rPr>
      <w:vertAlign w:val="superscript"/>
    </w:rPr>
  </w:style>
  <w:style w:type="character" w:customStyle="1" w:styleId="2Char">
    <w:name w:val="标题 2 Char"/>
    <w:link w:val="2"/>
    <w:qFormat/>
    <w:locked/>
    <w:rsid w:val="00024E89"/>
    <w:rPr>
      <w:rFonts w:ascii="Arial" w:eastAsia="黑体" w:hAnsi="Arial"/>
      <w:b/>
      <w:kern w:val="2"/>
      <w:sz w:val="32"/>
    </w:rPr>
  </w:style>
  <w:style w:type="character" w:customStyle="1" w:styleId="Char3">
    <w:name w:val="页眉 Char"/>
    <w:link w:val="a7"/>
    <w:qFormat/>
    <w:locked/>
    <w:rsid w:val="00024E89"/>
    <w:rPr>
      <w:kern w:val="2"/>
      <w:sz w:val="18"/>
    </w:rPr>
  </w:style>
  <w:style w:type="character" w:customStyle="1" w:styleId="Char2">
    <w:name w:val="页脚 Char"/>
    <w:link w:val="a6"/>
    <w:uiPriority w:val="99"/>
    <w:qFormat/>
    <w:locked/>
    <w:rsid w:val="00024E89"/>
    <w:rPr>
      <w:kern w:val="2"/>
      <w:sz w:val="18"/>
    </w:rPr>
  </w:style>
  <w:style w:type="character" w:customStyle="1" w:styleId="Char4">
    <w:name w:val="脚注文本 Char"/>
    <w:link w:val="a8"/>
    <w:qFormat/>
    <w:locked/>
    <w:rsid w:val="00024E89"/>
    <w:rPr>
      <w:rFonts w:ascii="Times New Roman" w:hAnsi="Times New Roman"/>
      <w:kern w:val="2"/>
      <w:sz w:val="18"/>
    </w:rPr>
  </w:style>
  <w:style w:type="character" w:customStyle="1" w:styleId="Char">
    <w:name w:val="文档结构图 Char"/>
    <w:link w:val="a3"/>
    <w:uiPriority w:val="99"/>
    <w:semiHidden/>
    <w:qFormat/>
    <w:rsid w:val="00024E89"/>
    <w:rPr>
      <w:rFonts w:ascii="Times New Roman" w:hAnsi="Times New Roman"/>
      <w:kern w:val="2"/>
      <w:sz w:val="0"/>
      <w:szCs w:val="0"/>
    </w:rPr>
  </w:style>
  <w:style w:type="paragraph" w:customStyle="1" w:styleId="Char6">
    <w:name w:val="Char"/>
    <w:basedOn w:val="a"/>
    <w:qFormat/>
    <w:rsid w:val="00024E89"/>
    <w:rPr>
      <w:szCs w:val="24"/>
    </w:rPr>
  </w:style>
  <w:style w:type="character" w:customStyle="1" w:styleId="HeaderChar1">
    <w:name w:val="Header Char1"/>
    <w:uiPriority w:val="99"/>
    <w:semiHidden/>
    <w:qFormat/>
    <w:rsid w:val="00024E89"/>
    <w:rPr>
      <w:kern w:val="2"/>
      <w:sz w:val="18"/>
      <w:szCs w:val="18"/>
    </w:rPr>
  </w:style>
  <w:style w:type="character" w:customStyle="1" w:styleId="FooterChar1">
    <w:name w:val="Footer Char1"/>
    <w:uiPriority w:val="99"/>
    <w:semiHidden/>
    <w:qFormat/>
    <w:rsid w:val="00024E89"/>
    <w:rPr>
      <w:kern w:val="2"/>
      <w:sz w:val="18"/>
      <w:szCs w:val="18"/>
    </w:rPr>
  </w:style>
  <w:style w:type="character" w:customStyle="1" w:styleId="FootnoteTextChar1">
    <w:name w:val="Footnote Text Char1"/>
    <w:uiPriority w:val="99"/>
    <w:semiHidden/>
    <w:qFormat/>
    <w:rsid w:val="00024E89"/>
    <w:rPr>
      <w:kern w:val="2"/>
      <w:sz w:val="18"/>
      <w:szCs w:val="18"/>
    </w:rPr>
  </w:style>
  <w:style w:type="character" w:customStyle="1" w:styleId="Char1">
    <w:name w:val="批注框文本 Char"/>
    <w:link w:val="a5"/>
    <w:qFormat/>
    <w:rsid w:val="00024E89"/>
    <w:rPr>
      <w:kern w:val="2"/>
      <w:sz w:val="18"/>
      <w:szCs w:val="18"/>
    </w:rPr>
  </w:style>
  <w:style w:type="character" w:customStyle="1" w:styleId="Char0">
    <w:name w:val="批注文字 Char"/>
    <w:link w:val="a4"/>
    <w:qFormat/>
    <w:rsid w:val="00024E89"/>
    <w:rPr>
      <w:kern w:val="2"/>
      <w:sz w:val="21"/>
      <w:szCs w:val="22"/>
    </w:rPr>
  </w:style>
  <w:style w:type="character" w:customStyle="1" w:styleId="Char5">
    <w:name w:val="批注主题 Char"/>
    <w:link w:val="a9"/>
    <w:qFormat/>
    <w:rsid w:val="00024E89"/>
    <w:rPr>
      <w:b/>
      <w:bCs/>
      <w:kern w:val="2"/>
      <w:sz w:val="21"/>
      <w:szCs w:val="22"/>
    </w:rPr>
  </w:style>
  <w:style w:type="paragraph" w:customStyle="1" w:styleId="1">
    <w:name w:val="修订1"/>
    <w:hidden/>
    <w:uiPriority w:val="99"/>
    <w:semiHidden/>
    <w:qFormat/>
    <w:rsid w:val="00024E89"/>
    <w:rPr>
      <w:kern w:val="2"/>
      <w:sz w:val="21"/>
      <w:szCs w:val="22"/>
    </w:rPr>
  </w:style>
  <w:style w:type="character" w:customStyle="1" w:styleId="fontstyle01">
    <w:name w:val="fontstyle01"/>
    <w:qFormat/>
    <w:rsid w:val="00024E89"/>
    <w:rPr>
      <w:rFonts w:ascii="宋体" w:eastAsia="宋体" w:hAnsi="宋体" w:hint="eastAsia"/>
      <w:color w:val="000000"/>
      <w:sz w:val="32"/>
      <w:szCs w:val="32"/>
    </w:rPr>
  </w:style>
  <w:style w:type="paragraph" w:styleId="ad">
    <w:name w:val="List Paragraph"/>
    <w:basedOn w:val="a"/>
    <w:uiPriority w:val="99"/>
    <w:qFormat/>
    <w:rsid w:val="00024E89"/>
    <w:pPr>
      <w:ind w:firstLineChars="200" w:firstLine="420"/>
    </w:pPr>
  </w:style>
  <w:style w:type="paragraph" w:customStyle="1" w:styleId="biaogeleft">
    <w:name w:val="biaoge_left"/>
    <w:basedOn w:val="a"/>
    <w:qFormat/>
    <w:rsid w:val="00024E89"/>
    <w:pPr>
      <w:widowControl/>
      <w:autoSpaceDE w:val="0"/>
      <w:autoSpaceDN w:val="0"/>
      <w:adjustRightInd w:val="0"/>
      <w:spacing w:before="29" w:line="288" w:lineRule="auto"/>
      <w:ind w:left="15"/>
      <w:jc w:val="left"/>
    </w:pPr>
    <w:rPr>
      <w:rFonts w:ascii="宋体" w:hAnsi="宋体" w:cs="宋体"/>
      <w:kern w:val="0"/>
      <w:sz w:val="24"/>
      <w:szCs w:val="20"/>
    </w:rPr>
  </w:style>
  <w:style w:type="paragraph" w:customStyle="1" w:styleId="20">
    <w:name w:val="修订2"/>
    <w:hidden/>
    <w:uiPriority w:val="99"/>
    <w:semiHidden/>
    <w:qFormat/>
    <w:rsid w:val="00024E89"/>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haoamc.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83E72-E4CC-42C8-BC88-09310E5CB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574</Words>
  <Characters>3276</Characters>
  <Application>Microsoft Office Word</Application>
  <DocSecurity>4</DocSecurity>
  <Lines>27</Lines>
  <Paragraphs>7</Paragraphs>
  <ScaleCrop>false</ScaleCrop>
  <Company>CNSTOCK</Company>
  <LinksUpToDate>false</LinksUpToDate>
  <CharactersWithSpaces>3843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关于嘉合磐立一年定期开放纯债债券型发起式证券投资基金第四个开放期开放申购、赎回及转换业务的公告</dc:title>
  <dc:creator>Administrator</dc:creator>
  <cp:lastModifiedBy>ZHONGM</cp:lastModifiedBy>
  <cp:revision>2</cp:revision>
  <cp:lastPrinted>2022-09-07T01:28:00Z</cp:lastPrinted>
  <dcterms:created xsi:type="dcterms:W3CDTF">2026-02-01T16:00:00Z</dcterms:created>
  <dcterms:modified xsi:type="dcterms:W3CDTF">2026-02-01T16:00:00Z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D3259F6C817945A48994FD2D641FE03C_13</vt:lpwstr>
  </property>
  <property fmtid="{D5CDD505-2E9C-101B-9397-08002B2CF9AE}" pid="4" name="KSOTemplateDocerSaveRecord">
    <vt:lpwstr>eyJoZGlkIjoiNGViZjc3OWRlYzMzNTBmNDcwNzQzZTViMjNjNGJjZmEiLCJ1c2VySWQiOiI2NDU0MDQzODUifQ==</vt:lpwstr>
  </property>
</Properties>
</file>