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5E3" w:rsidRDefault="001C1BEE">
      <w:pPr>
        <w:spacing w:line="480" w:lineRule="auto"/>
        <w:jc w:val="center"/>
        <w:rPr>
          <w:rFonts w:ascii="黑体" w:eastAsia="黑体" w:hAnsi="黑体"/>
          <w:b/>
          <w:sz w:val="36"/>
        </w:rPr>
      </w:pPr>
      <w:r w:rsidRPr="001C1BEE">
        <w:rPr>
          <w:rFonts w:ascii="黑体" w:eastAsia="黑体" w:hAnsi="黑体" w:hint="eastAsia"/>
          <w:b/>
          <w:sz w:val="36"/>
        </w:rPr>
        <w:t>国联国证钢铁行业指数型证券投资基金</w:t>
      </w:r>
    </w:p>
    <w:p w:rsidR="000C10A8" w:rsidRPr="007246A8" w:rsidRDefault="00297113">
      <w:pPr>
        <w:spacing w:line="480" w:lineRule="auto"/>
        <w:jc w:val="center"/>
        <w:rPr>
          <w:rFonts w:ascii="黑体" w:eastAsia="黑体" w:hAnsi="黑体"/>
          <w:b/>
          <w:sz w:val="36"/>
        </w:rPr>
      </w:pPr>
      <w:r w:rsidRPr="007246A8">
        <w:rPr>
          <w:rFonts w:ascii="黑体" w:eastAsia="黑体" w:hAnsi="黑体"/>
          <w:b/>
          <w:sz w:val="36"/>
        </w:rPr>
        <w:t>溢价风险提示公告</w:t>
      </w:r>
    </w:p>
    <w:p w:rsidR="000C10A8" w:rsidRPr="007246A8" w:rsidRDefault="000C10A8">
      <w:pPr>
        <w:pStyle w:val="a7"/>
        <w:spacing w:before="0" w:beforeAutospacing="0" w:after="0" w:afterAutospacing="0" w:line="480" w:lineRule="auto"/>
        <w:ind w:firstLine="360"/>
        <w:rPr>
          <w:rFonts w:ascii="仿宋" w:eastAsia="仿宋" w:hAnsi="仿宋"/>
        </w:rPr>
      </w:pPr>
    </w:p>
    <w:p w:rsidR="000C10A8" w:rsidRPr="00E45F60" w:rsidRDefault="00297113" w:rsidP="000B1562">
      <w:pPr>
        <w:pStyle w:val="a7"/>
        <w:spacing w:before="0" w:beforeAutospacing="0" w:after="0" w:afterAutospacing="0" w:line="360" w:lineRule="auto"/>
        <w:ind w:firstLineChars="200" w:firstLine="560"/>
        <w:jc w:val="both"/>
        <w:rPr>
          <w:rFonts w:ascii="仿宋" w:eastAsia="仿宋" w:hAnsi="仿宋"/>
          <w:b/>
          <w:sz w:val="28"/>
        </w:rPr>
      </w:pPr>
      <w:r w:rsidRPr="007246A8">
        <w:rPr>
          <w:rFonts w:ascii="仿宋" w:eastAsia="仿宋" w:hAnsi="仿宋" w:hint="eastAsia"/>
          <w:sz w:val="28"/>
        </w:rPr>
        <w:t>近期，</w:t>
      </w:r>
      <w:r w:rsidR="005D2307" w:rsidRPr="007246A8">
        <w:rPr>
          <w:rFonts w:ascii="仿宋" w:eastAsia="仿宋" w:hAnsi="仿宋" w:hint="eastAsia"/>
          <w:sz w:val="28"/>
        </w:rPr>
        <w:t>国联</w:t>
      </w:r>
      <w:r w:rsidR="007246A8">
        <w:rPr>
          <w:rFonts w:ascii="仿宋" w:eastAsia="仿宋" w:hAnsi="仿宋" w:hint="eastAsia"/>
          <w:sz w:val="28"/>
        </w:rPr>
        <w:t>基金管理</w:t>
      </w:r>
      <w:r w:rsidRPr="007246A8">
        <w:rPr>
          <w:rFonts w:ascii="仿宋" w:eastAsia="仿宋" w:hAnsi="仿宋" w:hint="eastAsia"/>
          <w:sz w:val="28"/>
        </w:rPr>
        <w:t>有限公司（以下简称“本基金管理人”）旗下</w:t>
      </w:r>
      <w:r w:rsidR="001C1BEE" w:rsidRPr="001C1BEE">
        <w:rPr>
          <w:rFonts w:ascii="仿宋" w:eastAsia="仿宋" w:hAnsi="仿宋" w:hint="eastAsia"/>
          <w:sz w:val="28"/>
        </w:rPr>
        <w:t>国联国证钢铁行业指数型证券投资基金</w:t>
      </w:r>
      <w:r w:rsidRPr="007246A8">
        <w:rPr>
          <w:rFonts w:ascii="仿宋" w:eastAsia="仿宋" w:hAnsi="仿宋" w:hint="eastAsia"/>
          <w:sz w:val="28"/>
        </w:rPr>
        <w:t>（</w:t>
      </w:r>
      <w:r w:rsidR="00FA6002" w:rsidRPr="00294359">
        <w:rPr>
          <w:rFonts w:ascii="仿宋" w:eastAsia="仿宋" w:hAnsi="仿宋"/>
          <w:sz w:val="28"/>
        </w:rPr>
        <w:t>基金代码：</w:t>
      </w:r>
      <w:r w:rsidR="001C1BEE">
        <w:rPr>
          <w:rFonts w:ascii="仿宋" w:eastAsia="仿宋" w:hAnsi="仿宋"/>
          <w:sz w:val="28"/>
        </w:rPr>
        <w:t>168203</w:t>
      </w:r>
      <w:r w:rsidR="00FA6002">
        <w:rPr>
          <w:rFonts w:ascii="仿宋" w:eastAsia="仿宋" w:hAnsi="仿宋" w:hint="eastAsia"/>
          <w:sz w:val="28"/>
        </w:rPr>
        <w:t>，</w:t>
      </w:r>
      <w:r w:rsidR="001C1BEE">
        <w:rPr>
          <w:rFonts w:ascii="仿宋" w:eastAsia="仿宋" w:hAnsi="仿宋" w:hint="eastAsia"/>
          <w:sz w:val="28"/>
        </w:rPr>
        <w:t>基金简称：国联钢铁</w:t>
      </w:r>
      <w:r w:rsidR="000579FD">
        <w:rPr>
          <w:rFonts w:ascii="仿宋" w:eastAsia="仿宋" w:hAnsi="仿宋" w:hint="eastAsia"/>
          <w:sz w:val="28"/>
        </w:rPr>
        <w:t>，</w:t>
      </w:r>
      <w:r w:rsidR="00294359" w:rsidRPr="00294359">
        <w:rPr>
          <w:rFonts w:ascii="仿宋" w:eastAsia="仿宋" w:hAnsi="仿宋"/>
          <w:sz w:val="28"/>
        </w:rPr>
        <w:t>场内简称</w:t>
      </w:r>
      <w:bookmarkStart w:id="0" w:name="_GoBack"/>
      <w:bookmarkEnd w:id="0"/>
      <w:r w:rsidR="00294359" w:rsidRPr="00294359">
        <w:rPr>
          <w:rFonts w:ascii="仿宋" w:eastAsia="仿宋" w:hAnsi="仿宋"/>
          <w:sz w:val="28"/>
        </w:rPr>
        <w:t>：</w:t>
      </w:r>
      <w:r w:rsidR="001C1BEE">
        <w:rPr>
          <w:rFonts w:ascii="仿宋" w:eastAsia="仿宋" w:hAnsi="仿宋" w:hint="eastAsia"/>
          <w:sz w:val="28"/>
        </w:rPr>
        <w:t>钢铁</w:t>
      </w:r>
      <w:r w:rsidR="002D5608">
        <w:rPr>
          <w:rFonts w:ascii="仿宋" w:eastAsia="仿宋" w:hAnsi="仿宋" w:hint="eastAsia"/>
          <w:sz w:val="28"/>
        </w:rPr>
        <w:t>LOF</w:t>
      </w:r>
      <w:r w:rsidR="00294359" w:rsidRPr="00294359">
        <w:rPr>
          <w:rFonts w:ascii="仿宋" w:eastAsia="仿宋" w:hAnsi="仿宋"/>
          <w:sz w:val="28"/>
        </w:rPr>
        <w:t>，以下简称“本基金”</w:t>
      </w:r>
      <w:r w:rsidRPr="007246A8">
        <w:rPr>
          <w:rFonts w:ascii="仿宋" w:eastAsia="仿宋" w:hAnsi="仿宋" w:hint="eastAsia"/>
          <w:sz w:val="28"/>
        </w:rPr>
        <w:t>）</w:t>
      </w:r>
      <w:r w:rsidR="00FA6002" w:rsidRPr="00FA6002">
        <w:rPr>
          <w:rFonts w:ascii="仿宋" w:eastAsia="仿宋" w:hAnsi="仿宋"/>
          <w:sz w:val="28"/>
        </w:rPr>
        <w:t>在二级市场的交易价格出现较大幅度溢价，交易价格偏离前一估值日的基金份额净值。</w:t>
      </w:r>
      <w:r w:rsidR="00FA6002" w:rsidRPr="00FA6002">
        <w:rPr>
          <w:rFonts w:ascii="仿宋" w:eastAsia="仿宋" w:hAnsi="仿宋"/>
          <w:b/>
          <w:sz w:val="28"/>
        </w:rPr>
        <w:t>特此提示投资者关注本基金二级市场交易价格溢价风险，投资者如果盲目投资于高溢价率的基金份额，可能遭受重大损失。</w:t>
      </w:r>
      <w:r w:rsidR="00BF15E3" w:rsidRPr="00E45F60">
        <w:rPr>
          <w:rFonts w:ascii="仿宋" w:eastAsia="仿宋" w:hAnsi="仿宋" w:hint="eastAsia"/>
          <w:b/>
          <w:sz w:val="28"/>
        </w:rPr>
        <w:t>若本基金后续二级市场交易价格溢价幅度未回落，本基金有权向深圳</w:t>
      </w:r>
      <w:r w:rsidR="007B5977" w:rsidRPr="00E45F60">
        <w:rPr>
          <w:rFonts w:ascii="仿宋" w:eastAsia="仿宋" w:hAnsi="仿宋" w:hint="eastAsia"/>
          <w:b/>
          <w:sz w:val="28"/>
        </w:rPr>
        <w:t>证券交易所申请盘中临时停牌、延长停牌时间等措施以向市场警示风险，具体以届时公告为准。</w:t>
      </w:r>
    </w:p>
    <w:p w:rsidR="000B1562" w:rsidRPr="007246A8" w:rsidRDefault="000B1562" w:rsidP="006E5BDB">
      <w:pPr>
        <w:pStyle w:val="a7"/>
        <w:spacing w:before="0" w:beforeAutospacing="0" w:after="0" w:afterAutospacing="0" w:line="360" w:lineRule="auto"/>
        <w:ind w:firstLineChars="200" w:firstLine="560"/>
        <w:jc w:val="both"/>
        <w:rPr>
          <w:rFonts w:ascii="仿宋" w:eastAsia="仿宋" w:hAnsi="仿宋"/>
          <w:sz w:val="28"/>
        </w:rPr>
      </w:pPr>
      <w:r w:rsidRPr="007246A8">
        <w:rPr>
          <w:rFonts w:ascii="仿宋" w:eastAsia="仿宋" w:hAnsi="仿宋" w:hint="eastAsia"/>
          <w:sz w:val="28"/>
        </w:rPr>
        <w:t>为此，本基金管理人</w:t>
      </w:r>
      <w:r w:rsidR="00B654A4" w:rsidRPr="007246A8">
        <w:rPr>
          <w:rFonts w:ascii="仿宋" w:eastAsia="仿宋" w:hAnsi="仿宋" w:hint="eastAsia"/>
          <w:sz w:val="28"/>
        </w:rPr>
        <w:t>提示</w:t>
      </w:r>
      <w:r w:rsidRPr="007246A8">
        <w:rPr>
          <w:rFonts w:ascii="仿宋" w:eastAsia="仿宋" w:hAnsi="仿宋" w:hint="eastAsia"/>
          <w:sz w:val="28"/>
        </w:rPr>
        <w:t>如下：</w:t>
      </w:r>
    </w:p>
    <w:p w:rsidR="000F2663" w:rsidRPr="007246A8" w:rsidRDefault="000F2663" w:rsidP="006E5BDB">
      <w:pPr>
        <w:pStyle w:val="a7"/>
        <w:spacing w:before="0" w:beforeAutospacing="0" w:after="0" w:afterAutospacing="0" w:line="360" w:lineRule="auto"/>
        <w:ind w:firstLineChars="200" w:firstLine="560"/>
        <w:jc w:val="both"/>
        <w:rPr>
          <w:rFonts w:ascii="仿宋" w:eastAsia="仿宋" w:hAnsi="仿宋"/>
          <w:sz w:val="28"/>
        </w:rPr>
      </w:pPr>
      <w:r w:rsidRPr="007246A8">
        <w:rPr>
          <w:rFonts w:ascii="仿宋" w:eastAsia="仿宋" w:hAnsi="仿宋" w:hint="eastAsia"/>
          <w:sz w:val="28"/>
        </w:rPr>
        <w:t>1、本基金为</w:t>
      </w:r>
      <w:r w:rsidR="00BF15E3" w:rsidRPr="00BF15E3">
        <w:rPr>
          <w:rFonts w:ascii="仿宋" w:eastAsia="仿宋" w:hAnsi="仿宋"/>
          <w:sz w:val="28"/>
        </w:rPr>
        <w:t>上市开放式</w:t>
      </w:r>
      <w:r w:rsidR="00FA6002">
        <w:rPr>
          <w:rFonts w:ascii="仿宋" w:eastAsia="仿宋" w:hAnsi="仿宋" w:hint="eastAsia"/>
          <w:sz w:val="28"/>
        </w:rPr>
        <w:t>（LOF）</w:t>
      </w:r>
      <w:r w:rsidRPr="007246A8">
        <w:rPr>
          <w:rFonts w:ascii="仿宋" w:eastAsia="仿宋" w:hAnsi="仿宋" w:hint="eastAsia"/>
          <w:sz w:val="28"/>
        </w:rPr>
        <w:t>基金，除可在二级市场交易外，投资者还可以申购、赎回本基金，申赎、赎回价格以申请当日收市后计算的基金份额</w:t>
      </w:r>
      <w:r w:rsidR="00E22C63" w:rsidRPr="007246A8">
        <w:rPr>
          <w:rFonts w:ascii="仿宋" w:eastAsia="仿宋" w:hAnsi="仿宋" w:hint="eastAsia"/>
          <w:sz w:val="28"/>
        </w:rPr>
        <w:t>净值进行计算，投资者可通过本基金管理人网站或交易行情系统查询本基金的最新份额净值。</w:t>
      </w:r>
    </w:p>
    <w:p w:rsidR="00FA6002" w:rsidRDefault="00E22C63" w:rsidP="006E5BDB">
      <w:pPr>
        <w:pStyle w:val="a7"/>
        <w:spacing w:before="0" w:beforeAutospacing="0" w:after="0" w:afterAutospacing="0" w:line="360" w:lineRule="auto"/>
        <w:ind w:firstLineChars="200" w:firstLine="560"/>
        <w:jc w:val="both"/>
      </w:pPr>
      <w:r w:rsidRPr="007246A8">
        <w:rPr>
          <w:rFonts w:ascii="仿宋" w:eastAsia="仿宋" w:hAnsi="仿宋"/>
          <w:sz w:val="28"/>
        </w:rPr>
        <w:t>2</w:t>
      </w:r>
      <w:r w:rsidR="000B1562" w:rsidRPr="007246A8">
        <w:rPr>
          <w:rFonts w:ascii="仿宋" w:eastAsia="仿宋" w:hAnsi="仿宋" w:hint="eastAsia"/>
          <w:sz w:val="28"/>
        </w:rPr>
        <w:t>、</w:t>
      </w:r>
      <w:r w:rsidR="00FA6002" w:rsidRPr="00FA6002">
        <w:rPr>
          <w:rFonts w:ascii="仿宋" w:eastAsia="仿宋" w:hAnsi="仿宋"/>
          <w:sz w:val="28"/>
        </w:rPr>
        <w:t>本基金的交易价格，除了有份额净值变化的风险外，还会受到市场的系统性风险、流动性风险等其他风险影响，在当前溢价水平下买入，可能使投资人面临较大损失</w:t>
      </w:r>
      <w:r w:rsidR="00FA6002">
        <w:rPr>
          <w:rFonts w:ascii="仿宋" w:eastAsia="仿宋" w:hAnsi="仿宋" w:hint="eastAsia"/>
          <w:sz w:val="28"/>
        </w:rPr>
        <w:t>。</w:t>
      </w:r>
    </w:p>
    <w:p w:rsidR="00FA6002" w:rsidRPr="00FA6002" w:rsidRDefault="00E22C63" w:rsidP="00FA6002">
      <w:pPr>
        <w:pStyle w:val="a7"/>
        <w:spacing w:before="0" w:beforeAutospacing="0" w:after="0" w:afterAutospacing="0" w:line="360" w:lineRule="auto"/>
        <w:ind w:firstLineChars="200" w:firstLine="560"/>
        <w:jc w:val="both"/>
        <w:rPr>
          <w:rFonts w:ascii="仿宋" w:eastAsia="仿宋" w:hAnsi="仿宋"/>
          <w:sz w:val="28"/>
        </w:rPr>
      </w:pPr>
      <w:r w:rsidRPr="007246A8">
        <w:rPr>
          <w:rFonts w:ascii="仿宋" w:eastAsia="仿宋" w:hAnsi="仿宋"/>
          <w:sz w:val="28"/>
        </w:rPr>
        <w:t>3</w:t>
      </w:r>
      <w:r w:rsidR="000B1562" w:rsidRPr="007246A8">
        <w:rPr>
          <w:rFonts w:ascii="仿宋" w:eastAsia="仿宋" w:hAnsi="仿宋" w:hint="eastAsia"/>
          <w:sz w:val="28"/>
        </w:rPr>
        <w:t>、</w:t>
      </w:r>
      <w:r w:rsidR="00FA6002" w:rsidRPr="00FA6002">
        <w:rPr>
          <w:rFonts w:ascii="仿宋" w:eastAsia="仿宋" w:hAnsi="仿宋"/>
          <w:sz w:val="28"/>
        </w:rPr>
        <w:t xml:space="preserve">截至本公告披露日，本基金运作正常。本基金管理人仍将严格按照法律法规及基金合同进行投资运作。 </w:t>
      </w:r>
    </w:p>
    <w:p w:rsidR="00FA6002" w:rsidRDefault="00FA6002" w:rsidP="00FA6002">
      <w:pPr>
        <w:pStyle w:val="a7"/>
        <w:spacing w:before="0" w:beforeAutospacing="0" w:after="0" w:afterAutospacing="0" w:line="360" w:lineRule="auto"/>
        <w:ind w:firstLineChars="200" w:firstLine="560"/>
        <w:jc w:val="both"/>
        <w:rPr>
          <w:rFonts w:ascii="仿宋" w:eastAsia="仿宋" w:hAnsi="仿宋"/>
          <w:sz w:val="28"/>
        </w:rPr>
      </w:pPr>
      <w:r w:rsidRPr="00FA6002">
        <w:rPr>
          <w:rFonts w:ascii="仿宋" w:eastAsia="仿宋" w:hAnsi="仿宋"/>
          <w:sz w:val="28"/>
        </w:rPr>
        <w:lastRenderedPageBreak/>
        <w:t>4、截至本公告披露日，本基金无其他应披露而未披露的重大信息。本基金管理人仍将严格按照有关规定和要求，及时做好信息披露工作。</w:t>
      </w:r>
    </w:p>
    <w:p w:rsidR="00E22C63" w:rsidRPr="007246A8" w:rsidRDefault="000B1562" w:rsidP="00FA6002">
      <w:pPr>
        <w:pStyle w:val="a7"/>
        <w:spacing w:before="0" w:beforeAutospacing="0" w:after="0" w:afterAutospacing="0" w:line="360" w:lineRule="auto"/>
        <w:ind w:firstLineChars="200" w:firstLine="560"/>
        <w:jc w:val="both"/>
        <w:rPr>
          <w:rFonts w:ascii="仿宋" w:eastAsia="仿宋" w:hAnsi="仿宋"/>
          <w:sz w:val="28"/>
        </w:rPr>
      </w:pPr>
      <w:r w:rsidRPr="007246A8">
        <w:rPr>
          <w:rFonts w:ascii="仿宋" w:eastAsia="仿宋" w:hAnsi="仿宋" w:hint="eastAsia"/>
          <w:sz w:val="28"/>
        </w:rPr>
        <w:t>风险提示：</w:t>
      </w:r>
      <w:r w:rsidR="007246A8" w:rsidRPr="007246A8">
        <w:rPr>
          <w:rFonts w:ascii="仿宋" w:eastAsia="仿宋" w:hAnsi="仿宋"/>
          <w:sz w:val="28"/>
        </w:rPr>
        <w:t>本公司承诺以诚实信用、勤勉尽责的原则管理和运用基金资产，但不保证基金一定盈利，也不保证最低收益。</w:t>
      </w:r>
      <w:r w:rsidR="00707D3A" w:rsidRPr="00707D3A">
        <w:rPr>
          <w:rFonts w:ascii="仿宋" w:eastAsia="仿宋" w:hAnsi="仿宋" w:hint="eastAsia"/>
          <w:sz w:val="28"/>
        </w:rPr>
        <w:t>基金的过往业绩及其净值高低并不预示其未来业绩表现。</w:t>
      </w:r>
      <w:r w:rsidR="007246A8" w:rsidRPr="007246A8">
        <w:rPr>
          <w:rFonts w:ascii="仿宋" w:eastAsia="仿宋" w:hAnsi="仿宋"/>
          <w:sz w:val="28"/>
        </w:rPr>
        <w:t>基金投资有风险，投资者投资基金前应认真阅读基金的《基金合同》、《招募说明书》等文件，了解所投资基金的风险收益特征，并根据自身情况购买与本人风险承受能力相匹配的产品。敬请投资者留意投资风险。</w:t>
      </w:r>
    </w:p>
    <w:p w:rsidR="000B1562" w:rsidRPr="007246A8" w:rsidRDefault="00E22C63" w:rsidP="005C4C3E">
      <w:pPr>
        <w:pStyle w:val="a7"/>
        <w:spacing w:before="0" w:beforeAutospacing="0" w:after="0" w:afterAutospacing="0" w:line="360" w:lineRule="auto"/>
        <w:ind w:firstLineChars="200" w:firstLine="560"/>
        <w:jc w:val="both"/>
        <w:rPr>
          <w:rFonts w:ascii="仿宋" w:eastAsia="仿宋" w:hAnsi="仿宋"/>
          <w:sz w:val="28"/>
        </w:rPr>
      </w:pPr>
      <w:r w:rsidRPr="007246A8">
        <w:rPr>
          <w:rFonts w:ascii="仿宋" w:eastAsia="仿宋" w:hAnsi="仿宋" w:hint="eastAsia"/>
          <w:sz w:val="28"/>
        </w:rPr>
        <w:t>基金管理人提醒投资者基金投资的“买者自负”原则，在投资者作出投资决策后，基金运营状况与基金净值变化引致的投资风险，由投资者自行负责。</w:t>
      </w:r>
    </w:p>
    <w:p w:rsidR="000C10A8" w:rsidRPr="007246A8" w:rsidRDefault="000C10A8" w:rsidP="007246A8">
      <w:pPr>
        <w:pStyle w:val="a7"/>
        <w:spacing w:before="0" w:beforeAutospacing="0" w:after="0" w:afterAutospacing="0" w:line="360" w:lineRule="auto"/>
        <w:jc w:val="both"/>
        <w:rPr>
          <w:rFonts w:ascii="仿宋" w:eastAsia="仿宋" w:hAnsi="仿宋"/>
          <w:sz w:val="28"/>
        </w:rPr>
      </w:pPr>
    </w:p>
    <w:p w:rsidR="000C10A8" w:rsidRPr="007246A8" w:rsidRDefault="000C10A8">
      <w:pPr>
        <w:pStyle w:val="a7"/>
        <w:spacing w:before="0" w:beforeAutospacing="0" w:after="0" w:afterAutospacing="0" w:line="480" w:lineRule="auto"/>
        <w:ind w:firstLine="360"/>
        <w:rPr>
          <w:rFonts w:ascii="仿宋" w:eastAsia="仿宋" w:hAnsi="仿宋"/>
          <w:sz w:val="28"/>
        </w:rPr>
      </w:pPr>
    </w:p>
    <w:p w:rsidR="000C10A8" w:rsidRPr="007246A8" w:rsidRDefault="00D70BE7">
      <w:pPr>
        <w:pStyle w:val="a7"/>
        <w:spacing w:before="0" w:beforeAutospacing="0" w:after="0" w:afterAutospacing="0" w:line="480" w:lineRule="auto"/>
        <w:jc w:val="right"/>
        <w:rPr>
          <w:rFonts w:ascii="仿宋" w:eastAsia="仿宋" w:hAnsi="仿宋"/>
          <w:sz w:val="28"/>
        </w:rPr>
      </w:pPr>
      <w:r w:rsidRPr="007246A8">
        <w:rPr>
          <w:rFonts w:ascii="仿宋" w:eastAsia="仿宋" w:hAnsi="仿宋" w:hint="eastAsia"/>
          <w:sz w:val="28"/>
        </w:rPr>
        <w:t>国联</w:t>
      </w:r>
      <w:r w:rsidR="007246A8">
        <w:rPr>
          <w:rFonts w:ascii="仿宋" w:eastAsia="仿宋" w:hAnsi="仿宋" w:hint="eastAsia"/>
          <w:sz w:val="28"/>
        </w:rPr>
        <w:t>基金管理</w:t>
      </w:r>
      <w:r w:rsidR="00297113" w:rsidRPr="007246A8">
        <w:rPr>
          <w:rFonts w:ascii="仿宋" w:eastAsia="仿宋" w:hAnsi="仿宋" w:hint="eastAsia"/>
          <w:sz w:val="28"/>
        </w:rPr>
        <w:t>有限公司</w:t>
      </w:r>
    </w:p>
    <w:p w:rsidR="000C10A8" w:rsidRPr="007246A8" w:rsidRDefault="00297113">
      <w:pPr>
        <w:pStyle w:val="a7"/>
        <w:spacing w:before="0" w:beforeAutospacing="0" w:after="0" w:afterAutospacing="0" w:line="480" w:lineRule="auto"/>
        <w:jc w:val="right"/>
        <w:rPr>
          <w:rFonts w:ascii="仿宋" w:eastAsia="仿宋" w:hAnsi="仿宋"/>
          <w:sz w:val="28"/>
        </w:rPr>
      </w:pPr>
      <w:r w:rsidRPr="007246A8">
        <w:rPr>
          <w:rFonts w:ascii="仿宋" w:eastAsia="仿宋" w:hAnsi="仿宋" w:hint="eastAsia"/>
          <w:sz w:val="28"/>
        </w:rPr>
        <w:t>20</w:t>
      </w:r>
      <w:r w:rsidR="00BF15E3">
        <w:rPr>
          <w:rFonts w:ascii="仿宋" w:eastAsia="仿宋" w:hAnsi="仿宋"/>
          <w:sz w:val="28"/>
        </w:rPr>
        <w:t>26</w:t>
      </w:r>
      <w:r w:rsidRPr="007246A8">
        <w:rPr>
          <w:rFonts w:ascii="仿宋" w:eastAsia="仿宋" w:hAnsi="仿宋" w:hint="eastAsia"/>
          <w:sz w:val="28"/>
        </w:rPr>
        <w:t>年</w:t>
      </w:r>
      <w:r w:rsidR="001C1BEE">
        <w:rPr>
          <w:rFonts w:ascii="仿宋" w:eastAsia="仿宋" w:hAnsi="仿宋"/>
          <w:sz w:val="28"/>
        </w:rPr>
        <w:t>1</w:t>
      </w:r>
      <w:r w:rsidRPr="007246A8">
        <w:rPr>
          <w:rFonts w:ascii="仿宋" w:eastAsia="仿宋" w:hAnsi="仿宋" w:hint="eastAsia"/>
          <w:sz w:val="28"/>
        </w:rPr>
        <w:t>月</w:t>
      </w:r>
      <w:r w:rsidR="001C1BEE">
        <w:rPr>
          <w:rFonts w:ascii="仿宋" w:eastAsia="仿宋" w:hAnsi="仿宋"/>
          <w:sz w:val="28"/>
        </w:rPr>
        <w:t>31</w:t>
      </w:r>
      <w:r w:rsidRPr="007246A8">
        <w:rPr>
          <w:rFonts w:ascii="仿宋" w:eastAsia="仿宋" w:hAnsi="仿宋" w:hint="eastAsia"/>
          <w:sz w:val="28"/>
        </w:rPr>
        <w:t>日</w:t>
      </w:r>
    </w:p>
    <w:p w:rsidR="000C10A8" w:rsidRPr="007246A8" w:rsidRDefault="000C10A8">
      <w:pPr>
        <w:spacing w:line="480" w:lineRule="auto"/>
        <w:rPr>
          <w:rFonts w:ascii="仿宋" w:eastAsia="仿宋" w:hAnsi="仿宋"/>
        </w:rPr>
      </w:pPr>
    </w:p>
    <w:p w:rsidR="000C10A8" w:rsidRPr="007246A8" w:rsidRDefault="000C10A8">
      <w:pPr>
        <w:spacing w:line="480" w:lineRule="auto"/>
        <w:jc w:val="left"/>
        <w:rPr>
          <w:rFonts w:ascii="仿宋" w:eastAsia="仿宋" w:hAnsi="仿宋"/>
          <w:sz w:val="28"/>
        </w:rPr>
      </w:pPr>
    </w:p>
    <w:sectPr w:rsidR="000C10A8" w:rsidRPr="007246A8" w:rsidSect="00790D3A">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12CFA" w16cex:dateUtc="2024-10-09T08:25:00Z"/>
  <w16cex:commentExtensible w16cex:durableId="2AB12CFE" w16cex:dateUtc="2024-10-09T08:25:00Z"/>
  <w16cex:commentExtensible w16cex:durableId="2AB12D04" w16cex:dateUtc="2024-10-09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CB2E17" w16cid:durableId="2AB12CFA"/>
  <w16cid:commentId w16cid:paraId="793B3B8D" w16cid:durableId="2AB12CFE"/>
  <w16cid:commentId w16cid:paraId="74C76ACB" w16cid:durableId="2AB12D0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0EB" w:rsidRDefault="005B40EB" w:rsidP="00F61429">
      <w:r>
        <w:separator/>
      </w:r>
    </w:p>
  </w:endnote>
  <w:endnote w:type="continuationSeparator" w:id="0">
    <w:p w:rsidR="005B40EB" w:rsidRDefault="005B40EB" w:rsidP="00F614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0EB" w:rsidRDefault="005B40EB" w:rsidP="00F61429">
      <w:r>
        <w:separator/>
      </w:r>
    </w:p>
  </w:footnote>
  <w:footnote w:type="continuationSeparator" w:id="0">
    <w:p w:rsidR="005B40EB" w:rsidRDefault="005B40EB" w:rsidP="00F614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E9D"/>
    <w:rsid w:val="00033FB3"/>
    <w:rsid w:val="000579FD"/>
    <w:rsid w:val="00071FC2"/>
    <w:rsid w:val="0007504D"/>
    <w:rsid w:val="0008237F"/>
    <w:rsid w:val="000934E3"/>
    <w:rsid w:val="000B1562"/>
    <w:rsid w:val="000B5E88"/>
    <w:rsid w:val="000C10A8"/>
    <w:rsid w:val="000F2663"/>
    <w:rsid w:val="000F69EC"/>
    <w:rsid w:val="00146E9A"/>
    <w:rsid w:val="00185BDF"/>
    <w:rsid w:val="001B4C44"/>
    <w:rsid w:val="001C1BEE"/>
    <w:rsid w:val="00213EFD"/>
    <w:rsid w:val="0025605F"/>
    <w:rsid w:val="00294359"/>
    <w:rsid w:val="00297113"/>
    <w:rsid w:val="002B70B8"/>
    <w:rsid w:val="002C7A52"/>
    <w:rsid w:val="002D4DDE"/>
    <w:rsid w:val="002D5608"/>
    <w:rsid w:val="002F7D7D"/>
    <w:rsid w:val="003231E3"/>
    <w:rsid w:val="00334D58"/>
    <w:rsid w:val="003469F0"/>
    <w:rsid w:val="003B57E3"/>
    <w:rsid w:val="003C4EEB"/>
    <w:rsid w:val="00434E9D"/>
    <w:rsid w:val="00455718"/>
    <w:rsid w:val="00547FB9"/>
    <w:rsid w:val="00564B3A"/>
    <w:rsid w:val="005B40EB"/>
    <w:rsid w:val="005C4C3E"/>
    <w:rsid w:val="005D2307"/>
    <w:rsid w:val="005F7E3A"/>
    <w:rsid w:val="00605408"/>
    <w:rsid w:val="0064073D"/>
    <w:rsid w:val="0065379B"/>
    <w:rsid w:val="00674DD9"/>
    <w:rsid w:val="00697D44"/>
    <w:rsid w:val="00697F8F"/>
    <w:rsid w:val="006A7029"/>
    <w:rsid w:val="006E5BDB"/>
    <w:rsid w:val="006F08AE"/>
    <w:rsid w:val="00707D3A"/>
    <w:rsid w:val="00713DCF"/>
    <w:rsid w:val="007239BF"/>
    <w:rsid w:val="007246A8"/>
    <w:rsid w:val="007504E9"/>
    <w:rsid w:val="0075212B"/>
    <w:rsid w:val="00782AF6"/>
    <w:rsid w:val="00790D3A"/>
    <w:rsid w:val="00792BDC"/>
    <w:rsid w:val="007B5977"/>
    <w:rsid w:val="007E5A6D"/>
    <w:rsid w:val="008113A1"/>
    <w:rsid w:val="00830936"/>
    <w:rsid w:val="008742D3"/>
    <w:rsid w:val="008E0776"/>
    <w:rsid w:val="008E638B"/>
    <w:rsid w:val="0091057C"/>
    <w:rsid w:val="0091106F"/>
    <w:rsid w:val="00930AF0"/>
    <w:rsid w:val="00931344"/>
    <w:rsid w:val="009B09FB"/>
    <w:rsid w:val="00A229C7"/>
    <w:rsid w:val="00A4432F"/>
    <w:rsid w:val="00A62F4D"/>
    <w:rsid w:val="00A846DB"/>
    <w:rsid w:val="00A870C8"/>
    <w:rsid w:val="00AD24DB"/>
    <w:rsid w:val="00AD6FD1"/>
    <w:rsid w:val="00AE3B53"/>
    <w:rsid w:val="00AF70EA"/>
    <w:rsid w:val="00B17766"/>
    <w:rsid w:val="00B343EB"/>
    <w:rsid w:val="00B654A4"/>
    <w:rsid w:val="00B7072D"/>
    <w:rsid w:val="00BF066D"/>
    <w:rsid w:val="00BF15E3"/>
    <w:rsid w:val="00C148FF"/>
    <w:rsid w:val="00C40F6A"/>
    <w:rsid w:val="00C57AD6"/>
    <w:rsid w:val="00C6130A"/>
    <w:rsid w:val="00C62D9B"/>
    <w:rsid w:val="00D132F6"/>
    <w:rsid w:val="00D4179A"/>
    <w:rsid w:val="00D70BE7"/>
    <w:rsid w:val="00D745C2"/>
    <w:rsid w:val="00D9695C"/>
    <w:rsid w:val="00DC197E"/>
    <w:rsid w:val="00DD5FA7"/>
    <w:rsid w:val="00E05DA9"/>
    <w:rsid w:val="00E22C63"/>
    <w:rsid w:val="00E45F60"/>
    <w:rsid w:val="00EF1E88"/>
    <w:rsid w:val="00F53FF6"/>
    <w:rsid w:val="00F61429"/>
    <w:rsid w:val="00FA6002"/>
    <w:rsid w:val="00FC281E"/>
    <w:rsid w:val="00FE0EE8"/>
    <w:rsid w:val="00FF0113"/>
    <w:rsid w:val="698D23F1"/>
    <w:rsid w:val="6D2E42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D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90D3A"/>
    <w:pPr>
      <w:jc w:val="left"/>
    </w:pPr>
  </w:style>
  <w:style w:type="paragraph" w:styleId="a4">
    <w:name w:val="Balloon Text"/>
    <w:basedOn w:val="a"/>
    <w:link w:val="Char0"/>
    <w:uiPriority w:val="99"/>
    <w:semiHidden/>
    <w:unhideWhenUsed/>
    <w:rsid w:val="00790D3A"/>
    <w:rPr>
      <w:sz w:val="18"/>
      <w:szCs w:val="18"/>
    </w:rPr>
  </w:style>
  <w:style w:type="paragraph" w:styleId="a5">
    <w:name w:val="footer"/>
    <w:basedOn w:val="a"/>
    <w:link w:val="Char1"/>
    <w:uiPriority w:val="99"/>
    <w:unhideWhenUsed/>
    <w:qFormat/>
    <w:rsid w:val="00790D3A"/>
    <w:pPr>
      <w:tabs>
        <w:tab w:val="center" w:pos="4153"/>
        <w:tab w:val="right" w:pos="8306"/>
      </w:tabs>
      <w:snapToGrid w:val="0"/>
      <w:jc w:val="left"/>
    </w:pPr>
    <w:rPr>
      <w:sz w:val="18"/>
      <w:szCs w:val="18"/>
    </w:rPr>
  </w:style>
  <w:style w:type="paragraph" w:styleId="a6">
    <w:name w:val="header"/>
    <w:basedOn w:val="a"/>
    <w:link w:val="Char2"/>
    <w:uiPriority w:val="99"/>
    <w:unhideWhenUsed/>
    <w:rsid w:val="00790D3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790D3A"/>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790D3A"/>
    <w:rPr>
      <w:b/>
      <w:bCs/>
    </w:rPr>
  </w:style>
  <w:style w:type="character" w:styleId="a9">
    <w:name w:val="annotation reference"/>
    <w:basedOn w:val="a0"/>
    <w:uiPriority w:val="99"/>
    <w:semiHidden/>
    <w:unhideWhenUsed/>
    <w:rsid w:val="00790D3A"/>
    <w:rPr>
      <w:sz w:val="21"/>
      <w:szCs w:val="21"/>
    </w:rPr>
  </w:style>
  <w:style w:type="character" w:customStyle="1" w:styleId="Char2">
    <w:name w:val="页眉 Char"/>
    <w:basedOn w:val="a0"/>
    <w:link w:val="a6"/>
    <w:uiPriority w:val="99"/>
    <w:qFormat/>
    <w:rsid w:val="00790D3A"/>
    <w:rPr>
      <w:sz w:val="18"/>
      <w:szCs w:val="18"/>
    </w:rPr>
  </w:style>
  <w:style w:type="character" w:customStyle="1" w:styleId="Char1">
    <w:name w:val="页脚 Char"/>
    <w:basedOn w:val="a0"/>
    <w:link w:val="a5"/>
    <w:uiPriority w:val="99"/>
    <w:qFormat/>
    <w:rsid w:val="00790D3A"/>
    <w:rPr>
      <w:sz w:val="18"/>
      <w:szCs w:val="18"/>
    </w:rPr>
  </w:style>
  <w:style w:type="character" w:customStyle="1" w:styleId="Char0">
    <w:name w:val="批注框文本 Char"/>
    <w:basedOn w:val="a0"/>
    <w:link w:val="a4"/>
    <w:uiPriority w:val="99"/>
    <w:semiHidden/>
    <w:rsid w:val="00790D3A"/>
    <w:rPr>
      <w:sz w:val="18"/>
      <w:szCs w:val="18"/>
    </w:rPr>
  </w:style>
  <w:style w:type="character" w:customStyle="1" w:styleId="Char">
    <w:name w:val="批注文字 Char"/>
    <w:basedOn w:val="a0"/>
    <w:link w:val="a3"/>
    <w:uiPriority w:val="99"/>
    <w:semiHidden/>
    <w:qFormat/>
    <w:rsid w:val="00790D3A"/>
  </w:style>
  <w:style w:type="character" w:customStyle="1" w:styleId="Char3">
    <w:name w:val="批注主题 Char"/>
    <w:basedOn w:val="Char"/>
    <w:link w:val="a8"/>
    <w:uiPriority w:val="99"/>
    <w:semiHidden/>
    <w:qFormat/>
    <w:rsid w:val="00790D3A"/>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732</Characters>
  <Application>Microsoft Office Word</Application>
  <DocSecurity>4</DocSecurity>
  <Lines>6</Lines>
  <Paragraphs>1</Paragraphs>
  <ScaleCrop>false</ScaleCrop>
  <Company>Microsoft</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吴怡萌</dc:creator>
  <cp:lastModifiedBy>ZHONGM</cp:lastModifiedBy>
  <cp:revision>2</cp:revision>
  <cp:lastPrinted>2024-09-27T10:19:00Z</cp:lastPrinted>
  <dcterms:created xsi:type="dcterms:W3CDTF">2026-01-30T16:01:00Z</dcterms:created>
  <dcterms:modified xsi:type="dcterms:W3CDTF">2026-01-30T16:01:00Z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skgMailInfo000">
    <vt:lpwstr>eyAibWFpbEZyb20iOiAieGlueGlwaWx1QGdsZnVuZC5jb20iLCAicmNwdFRvIjogImxrbEBzc25ld3MuY29tLmNuIiwgIm5hbWUiOiAi5Zu96IGU5Zu96K+B6ZKi6ZOB6KGM5Lia5oyH5pWw5Z6L6K+B5Yi45oqV6LWE5Z+66YeR5rqi5Lu36aOO6Zmp5o+Q56S65YWs5ZGKLmRvY3giLCAiZGF0ZSI6ICIyMDI2LTAxLTMwVDE2OjI1OjA1Ljg</vt:lpwstr>
  </property>
  <property fmtid="{D5CDD505-2E9C-101B-9397-08002B2CF9AE}" pid="4" name="skgMailId">
    <vt:lpwstr>1</vt:lpwstr>
  </property>
</Properties>
</file>