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827" w:rsidRPr="009E5827" w:rsidRDefault="009E5827" w:rsidP="009E5827">
      <w:pPr>
        <w:jc w:val="center"/>
        <w:rPr>
          <w:rFonts w:ascii="宋体" w:eastAsia="宋体" w:hAnsi="宋体"/>
          <w:b/>
          <w:sz w:val="28"/>
          <w:szCs w:val="28"/>
        </w:rPr>
      </w:pPr>
      <w:r w:rsidRPr="009E5827">
        <w:rPr>
          <w:rFonts w:ascii="宋体" w:eastAsia="宋体" w:hAnsi="宋体" w:hint="eastAsia"/>
          <w:b/>
          <w:sz w:val="28"/>
          <w:szCs w:val="28"/>
        </w:rPr>
        <w:t>银河基金管理有限公司</w:t>
      </w:r>
    </w:p>
    <w:p w:rsidR="009E5827" w:rsidRPr="009E5827" w:rsidRDefault="00AB720C" w:rsidP="009E5827">
      <w:pPr>
        <w:jc w:val="center"/>
        <w:rPr>
          <w:rFonts w:ascii="宋体" w:eastAsia="宋体" w:hAnsi="宋体"/>
          <w:b/>
          <w:sz w:val="28"/>
          <w:szCs w:val="28"/>
        </w:rPr>
      </w:pPr>
      <w:r w:rsidRPr="00AB720C">
        <w:rPr>
          <w:rFonts w:ascii="宋体" w:eastAsia="宋体" w:hAnsi="宋体"/>
          <w:b/>
          <w:sz w:val="28"/>
          <w:szCs w:val="28"/>
        </w:rPr>
        <w:t>关于银河聚星两年定期开放债券型证券投资基金规模控制的公告</w:t>
      </w:r>
    </w:p>
    <w:p w:rsidR="00AB720C" w:rsidRDefault="00AB720C" w:rsidP="006A650A">
      <w:pPr>
        <w:spacing w:beforeLines="100" w:line="360" w:lineRule="auto"/>
        <w:ind w:firstLineChars="177" w:firstLine="425"/>
        <w:rPr>
          <w:rFonts w:ascii="宋体" w:eastAsia="宋体" w:hAnsi="宋体"/>
          <w:sz w:val="24"/>
          <w:szCs w:val="24"/>
        </w:rPr>
      </w:pPr>
      <w:r>
        <w:rPr>
          <w:rFonts w:ascii="宋体" w:eastAsia="宋体" w:hAnsi="宋体" w:hint="eastAsia"/>
          <w:sz w:val="24"/>
          <w:szCs w:val="24"/>
        </w:rPr>
        <w:t>银河聚星两年定期开放债券型证券投资基金</w:t>
      </w:r>
      <w:r w:rsidRPr="00AB720C">
        <w:rPr>
          <w:rFonts w:ascii="宋体" w:eastAsia="宋体" w:hAnsi="宋体" w:hint="eastAsia"/>
          <w:sz w:val="24"/>
          <w:szCs w:val="24"/>
        </w:rPr>
        <w:t>（</w:t>
      </w:r>
      <w:r w:rsidRPr="00AB720C">
        <w:rPr>
          <w:rFonts w:ascii="宋体" w:eastAsia="宋体" w:hAnsi="宋体"/>
          <w:sz w:val="24"/>
          <w:szCs w:val="24"/>
        </w:rPr>
        <w:t>基金代码：0</w:t>
      </w:r>
      <w:r>
        <w:rPr>
          <w:rFonts w:ascii="宋体" w:eastAsia="宋体" w:hAnsi="宋体"/>
          <w:sz w:val="24"/>
          <w:szCs w:val="24"/>
        </w:rPr>
        <w:t>07890</w:t>
      </w:r>
      <w:r w:rsidRPr="00AB720C">
        <w:rPr>
          <w:rFonts w:ascii="宋体" w:eastAsia="宋体" w:hAnsi="宋体"/>
          <w:sz w:val="24"/>
          <w:szCs w:val="24"/>
        </w:rPr>
        <w:t>，以下简称“本基金”）经中国证监会证监许可</w:t>
      </w:r>
      <w:r w:rsidR="00142929">
        <w:t>【</w:t>
      </w:r>
      <w:r w:rsidRPr="00AB720C">
        <w:rPr>
          <w:rFonts w:ascii="宋体" w:eastAsia="宋体" w:hAnsi="宋体"/>
          <w:sz w:val="24"/>
          <w:szCs w:val="24"/>
        </w:rPr>
        <w:t>2019</w:t>
      </w:r>
      <w:r w:rsidR="00142929">
        <w:t>】</w:t>
      </w:r>
      <w:r w:rsidRPr="00AB720C">
        <w:rPr>
          <w:rFonts w:ascii="宋体" w:eastAsia="宋体" w:hAnsi="宋体"/>
          <w:sz w:val="24"/>
          <w:szCs w:val="24"/>
        </w:rPr>
        <w:t>1</w:t>
      </w:r>
      <w:r>
        <w:rPr>
          <w:rFonts w:ascii="宋体" w:eastAsia="宋体" w:hAnsi="宋体"/>
          <w:sz w:val="24"/>
          <w:szCs w:val="24"/>
        </w:rPr>
        <w:t>466</w:t>
      </w:r>
      <w:r w:rsidRPr="00AB720C">
        <w:rPr>
          <w:rFonts w:ascii="宋体" w:eastAsia="宋体" w:hAnsi="宋体"/>
          <w:sz w:val="24"/>
          <w:szCs w:val="24"/>
        </w:rPr>
        <w:t>号文准予注册，于20</w:t>
      </w:r>
      <w:r>
        <w:rPr>
          <w:rFonts w:ascii="宋体" w:eastAsia="宋体" w:hAnsi="宋体"/>
          <w:sz w:val="24"/>
          <w:szCs w:val="24"/>
        </w:rPr>
        <w:t>19</w:t>
      </w:r>
      <w:r w:rsidRPr="00AB720C">
        <w:rPr>
          <w:rFonts w:ascii="宋体" w:eastAsia="宋体" w:hAnsi="宋体" w:hint="eastAsia"/>
          <w:sz w:val="24"/>
          <w:szCs w:val="24"/>
        </w:rPr>
        <w:t>年</w:t>
      </w:r>
      <w:r>
        <w:rPr>
          <w:rFonts w:ascii="宋体" w:eastAsia="宋体" w:hAnsi="宋体"/>
          <w:sz w:val="24"/>
          <w:szCs w:val="24"/>
        </w:rPr>
        <w:t>12</w:t>
      </w:r>
      <w:r w:rsidRPr="00AB720C">
        <w:rPr>
          <w:rFonts w:ascii="宋体" w:eastAsia="宋体" w:hAnsi="宋体"/>
          <w:sz w:val="24"/>
          <w:szCs w:val="24"/>
        </w:rPr>
        <w:t>月</w:t>
      </w:r>
      <w:r>
        <w:rPr>
          <w:rFonts w:ascii="宋体" w:eastAsia="宋体" w:hAnsi="宋体"/>
          <w:sz w:val="24"/>
          <w:szCs w:val="24"/>
        </w:rPr>
        <w:t>1</w:t>
      </w:r>
      <w:r w:rsidRPr="00AB720C">
        <w:rPr>
          <w:rFonts w:ascii="宋体" w:eastAsia="宋体" w:hAnsi="宋体"/>
          <w:sz w:val="24"/>
          <w:szCs w:val="24"/>
        </w:rPr>
        <w:t>8日成立。根据《中华人民共和国证券投资基金法》《公开募集证券投资基金运作</w:t>
      </w:r>
      <w:r w:rsidRPr="00AB720C">
        <w:rPr>
          <w:rFonts w:ascii="宋体" w:eastAsia="宋体" w:hAnsi="宋体" w:hint="eastAsia"/>
          <w:sz w:val="24"/>
          <w:szCs w:val="24"/>
        </w:rPr>
        <w:t>管理办法》以及《</w:t>
      </w:r>
      <w:r>
        <w:rPr>
          <w:rFonts w:ascii="宋体" w:eastAsia="宋体" w:hAnsi="宋体" w:hint="eastAsia"/>
          <w:sz w:val="24"/>
          <w:szCs w:val="24"/>
        </w:rPr>
        <w:t>银河聚星两年定期开放债券型证券投资基金</w:t>
      </w:r>
      <w:r w:rsidRPr="00AB720C">
        <w:rPr>
          <w:rFonts w:ascii="宋体" w:eastAsia="宋体" w:hAnsi="宋体" w:hint="eastAsia"/>
          <w:sz w:val="24"/>
          <w:szCs w:val="24"/>
        </w:rPr>
        <w:t>基金合同》《</w:t>
      </w:r>
      <w:r>
        <w:rPr>
          <w:rFonts w:ascii="宋体" w:eastAsia="宋体" w:hAnsi="宋体" w:hint="eastAsia"/>
          <w:sz w:val="24"/>
          <w:szCs w:val="24"/>
        </w:rPr>
        <w:t>银河聚星两年定期开放债券型证券投资基金</w:t>
      </w:r>
      <w:r w:rsidRPr="00AB720C">
        <w:rPr>
          <w:rFonts w:ascii="宋体" w:eastAsia="宋体" w:hAnsi="宋体" w:hint="eastAsia"/>
          <w:sz w:val="24"/>
          <w:szCs w:val="24"/>
        </w:rPr>
        <w:t>招募说明书》的有关规定，</w:t>
      </w:r>
      <w:r w:rsidRPr="00AB720C">
        <w:rPr>
          <w:rFonts w:ascii="宋体" w:eastAsia="宋体" w:hAnsi="宋体"/>
          <w:sz w:val="24"/>
          <w:szCs w:val="24"/>
        </w:rPr>
        <w:t>为更好地维护基金份额持有人的利益，保障基金平稳运作，</w:t>
      </w:r>
      <w:r w:rsidR="006B1CAA">
        <w:rPr>
          <w:rFonts w:ascii="宋体" w:eastAsia="宋体" w:hAnsi="宋体" w:hint="eastAsia"/>
          <w:sz w:val="24"/>
          <w:szCs w:val="24"/>
        </w:rPr>
        <w:t>银河</w:t>
      </w:r>
      <w:r w:rsidR="006B1CAA" w:rsidRPr="006B1CAA">
        <w:rPr>
          <w:rFonts w:ascii="宋体" w:eastAsia="宋体" w:hAnsi="宋体" w:hint="eastAsia"/>
          <w:sz w:val="24"/>
          <w:szCs w:val="24"/>
        </w:rPr>
        <w:t>基金管理有限公司（以下简称“本公司”</w:t>
      </w:r>
      <w:r w:rsidR="006B1CAA">
        <w:rPr>
          <w:rFonts w:ascii="宋体" w:eastAsia="宋体" w:hAnsi="宋体" w:hint="eastAsia"/>
          <w:sz w:val="24"/>
          <w:szCs w:val="24"/>
        </w:rPr>
        <w:t>或“基金管理人”</w:t>
      </w:r>
      <w:r w:rsidR="006B1CAA" w:rsidRPr="006B1CAA">
        <w:rPr>
          <w:rFonts w:ascii="宋体" w:eastAsia="宋体" w:hAnsi="宋体" w:hint="eastAsia"/>
          <w:sz w:val="24"/>
          <w:szCs w:val="24"/>
        </w:rPr>
        <w:t>）决定自</w:t>
      </w:r>
      <w:r w:rsidR="006B1CAA" w:rsidRPr="006B1CAA">
        <w:rPr>
          <w:rFonts w:ascii="宋体" w:eastAsia="宋体" w:hAnsi="宋体"/>
          <w:sz w:val="24"/>
          <w:szCs w:val="24"/>
        </w:rPr>
        <w:t>202</w:t>
      </w:r>
      <w:r w:rsidR="006B1CAA">
        <w:rPr>
          <w:rFonts w:ascii="宋体" w:eastAsia="宋体" w:hAnsi="宋体"/>
          <w:sz w:val="24"/>
          <w:szCs w:val="24"/>
        </w:rPr>
        <w:t>6</w:t>
      </w:r>
      <w:r w:rsidR="006B1CAA" w:rsidRPr="006B1CAA">
        <w:rPr>
          <w:rFonts w:ascii="宋体" w:eastAsia="宋体" w:hAnsi="宋体"/>
          <w:sz w:val="24"/>
          <w:szCs w:val="24"/>
        </w:rPr>
        <w:t>年</w:t>
      </w:r>
      <w:r w:rsidR="006B1CAA">
        <w:rPr>
          <w:rFonts w:ascii="宋体" w:eastAsia="宋体" w:hAnsi="宋体"/>
          <w:sz w:val="24"/>
          <w:szCs w:val="24"/>
        </w:rPr>
        <w:t>2</w:t>
      </w:r>
      <w:r w:rsidR="006B1CAA" w:rsidRPr="006B1CAA">
        <w:rPr>
          <w:rFonts w:ascii="宋体" w:eastAsia="宋体" w:hAnsi="宋体"/>
          <w:sz w:val="24"/>
          <w:szCs w:val="24"/>
        </w:rPr>
        <w:t>月</w:t>
      </w:r>
      <w:r w:rsidR="006B1CAA">
        <w:rPr>
          <w:rFonts w:ascii="宋体" w:eastAsia="宋体" w:hAnsi="宋体"/>
          <w:sz w:val="24"/>
          <w:szCs w:val="24"/>
        </w:rPr>
        <w:t>2</w:t>
      </w:r>
      <w:r w:rsidR="006B1CAA" w:rsidRPr="006B1CAA">
        <w:rPr>
          <w:rFonts w:ascii="宋体" w:eastAsia="宋体" w:hAnsi="宋体"/>
          <w:sz w:val="24"/>
          <w:szCs w:val="24"/>
        </w:rPr>
        <w:t>日起</w:t>
      </w:r>
      <w:r w:rsidRPr="00AB720C">
        <w:rPr>
          <w:rFonts w:ascii="宋体" w:eastAsia="宋体" w:hAnsi="宋体"/>
          <w:sz w:val="24"/>
          <w:szCs w:val="24"/>
        </w:rPr>
        <w:t>，对</w:t>
      </w:r>
      <w:r w:rsidR="00142929">
        <w:rPr>
          <w:rFonts w:ascii="宋体" w:eastAsia="宋体" w:hAnsi="宋体" w:hint="eastAsia"/>
          <w:sz w:val="24"/>
          <w:szCs w:val="24"/>
        </w:rPr>
        <w:t>本</w:t>
      </w:r>
      <w:r w:rsidRPr="00AB720C">
        <w:rPr>
          <w:rFonts w:ascii="宋体" w:eastAsia="宋体" w:hAnsi="宋体"/>
          <w:sz w:val="24"/>
          <w:szCs w:val="24"/>
        </w:rPr>
        <w:t>基金规模进行控制，具体方案如下：</w:t>
      </w:r>
    </w:p>
    <w:p w:rsidR="006B1CAA" w:rsidRPr="007B6FD2" w:rsidRDefault="006B1CAA" w:rsidP="007B6FD2">
      <w:pPr>
        <w:spacing w:line="360" w:lineRule="auto"/>
        <w:ind w:firstLineChars="177" w:firstLine="425"/>
        <w:rPr>
          <w:rFonts w:ascii="宋体" w:eastAsia="宋体" w:hAnsi="宋体"/>
          <w:sz w:val="24"/>
          <w:szCs w:val="24"/>
        </w:rPr>
      </w:pPr>
      <w:r w:rsidRPr="007B6FD2">
        <w:rPr>
          <w:rFonts w:ascii="宋体" w:eastAsia="宋体" w:hAnsi="宋体" w:hint="eastAsia"/>
          <w:sz w:val="24"/>
          <w:szCs w:val="24"/>
        </w:rPr>
        <w:t>1、本基金在存续过程中的基金资产净值</w:t>
      </w:r>
      <w:r w:rsidR="00142929">
        <w:rPr>
          <w:rFonts w:ascii="宋体" w:eastAsia="宋体" w:hAnsi="宋体" w:hint="eastAsia"/>
          <w:sz w:val="24"/>
          <w:szCs w:val="24"/>
        </w:rPr>
        <w:t>总规模</w:t>
      </w:r>
      <w:r w:rsidRPr="007B6FD2">
        <w:rPr>
          <w:rFonts w:ascii="宋体" w:eastAsia="宋体" w:hAnsi="宋体" w:hint="eastAsia"/>
          <w:sz w:val="24"/>
          <w:szCs w:val="24"/>
        </w:rPr>
        <w:t>上限为</w:t>
      </w:r>
      <w:r w:rsidRPr="007B6FD2">
        <w:rPr>
          <w:rFonts w:ascii="宋体" w:eastAsia="宋体" w:hAnsi="宋体"/>
          <w:sz w:val="24"/>
          <w:szCs w:val="24"/>
        </w:rPr>
        <w:t>80亿元人民币（但</w:t>
      </w:r>
      <w:r w:rsidRPr="007B6FD2">
        <w:rPr>
          <w:rFonts w:ascii="宋体" w:eastAsia="宋体" w:hAnsi="宋体" w:hint="eastAsia"/>
          <w:sz w:val="24"/>
          <w:szCs w:val="24"/>
        </w:rPr>
        <w:t>因基金份额净值波动</w:t>
      </w:r>
      <w:r w:rsidR="00075963">
        <w:rPr>
          <w:rFonts w:ascii="宋体" w:eastAsia="宋体" w:hAnsi="宋体" w:hint="eastAsia"/>
          <w:sz w:val="24"/>
          <w:szCs w:val="24"/>
        </w:rPr>
        <w:t>等被动</w:t>
      </w:r>
      <w:r w:rsidRPr="007B6FD2">
        <w:rPr>
          <w:rFonts w:ascii="宋体" w:eastAsia="宋体" w:hAnsi="宋体" w:hint="eastAsia"/>
          <w:sz w:val="24"/>
          <w:szCs w:val="24"/>
        </w:rPr>
        <w:t>导致基金资产净值超过该金额的除外</w:t>
      </w:r>
      <w:r w:rsidRPr="007B6FD2">
        <w:rPr>
          <w:rFonts w:ascii="宋体" w:eastAsia="宋体" w:hAnsi="宋体"/>
          <w:sz w:val="24"/>
          <w:szCs w:val="24"/>
        </w:rPr>
        <w:t>）。基金在开放日常申购、赎回业务期间，若</w:t>
      </w:r>
      <w:r w:rsidR="00075963">
        <w:rPr>
          <w:rFonts w:ascii="宋体" w:eastAsia="宋体" w:hAnsi="宋体" w:hint="eastAsia"/>
          <w:sz w:val="24"/>
          <w:szCs w:val="24"/>
        </w:rPr>
        <w:t>当</w:t>
      </w:r>
      <w:r w:rsidRPr="007B6FD2">
        <w:rPr>
          <w:rFonts w:ascii="宋体" w:eastAsia="宋体" w:hAnsi="宋体"/>
          <w:sz w:val="24"/>
          <w:szCs w:val="24"/>
        </w:rPr>
        <w:t>日有效</w:t>
      </w:r>
      <w:r w:rsidR="00075963">
        <w:rPr>
          <w:rFonts w:ascii="宋体" w:eastAsia="宋体" w:hAnsi="宋体" w:hint="eastAsia"/>
          <w:sz w:val="24"/>
          <w:szCs w:val="24"/>
        </w:rPr>
        <w:t>净</w:t>
      </w:r>
      <w:r w:rsidRPr="007B6FD2">
        <w:rPr>
          <w:rFonts w:ascii="宋体" w:eastAsia="宋体" w:hAnsi="宋体"/>
          <w:sz w:val="24"/>
          <w:szCs w:val="24"/>
        </w:rPr>
        <w:t>申购</w:t>
      </w:r>
      <w:r w:rsidR="00075963" w:rsidRPr="00165C36">
        <w:rPr>
          <w:rFonts w:ascii="宋体" w:eastAsia="宋体" w:hAnsi="宋体" w:hint="eastAsia"/>
          <w:sz w:val="24"/>
          <w:szCs w:val="24"/>
        </w:rPr>
        <w:t>（指当日有效申购申请的总量减去当日有效赎回申请的总量之后的增长量）</w:t>
      </w:r>
      <w:r w:rsidRPr="007B6FD2">
        <w:rPr>
          <w:rFonts w:ascii="宋体" w:eastAsia="宋体" w:hAnsi="宋体"/>
          <w:sz w:val="24"/>
          <w:szCs w:val="24"/>
        </w:rPr>
        <w:t>申请全部确认后，基金的</w:t>
      </w:r>
      <w:r w:rsidRPr="007B6FD2">
        <w:rPr>
          <w:rFonts w:ascii="宋体" w:eastAsia="宋体" w:hAnsi="宋体" w:hint="eastAsia"/>
          <w:sz w:val="24"/>
          <w:szCs w:val="24"/>
        </w:rPr>
        <w:t>资产净值</w:t>
      </w:r>
      <w:r w:rsidR="00174591">
        <w:rPr>
          <w:rFonts w:ascii="宋体" w:eastAsia="宋体" w:hAnsi="宋体" w:hint="eastAsia"/>
          <w:sz w:val="24"/>
          <w:szCs w:val="24"/>
        </w:rPr>
        <w:t>总规模</w:t>
      </w:r>
      <w:r w:rsidRPr="007B6FD2">
        <w:rPr>
          <w:rFonts w:ascii="宋体" w:eastAsia="宋体" w:hAnsi="宋体"/>
          <w:sz w:val="24"/>
          <w:szCs w:val="24"/>
        </w:rPr>
        <w:t>不超过80亿</w:t>
      </w:r>
      <w:r w:rsidRPr="007B6FD2">
        <w:rPr>
          <w:rFonts w:ascii="宋体" w:eastAsia="宋体" w:hAnsi="宋体" w:hint="eastAsia"/>
          <w:sz w:val="24"/>
          <w:szCs w:val="24"/>
        </w:rPr>
        <w:t>元</w:t>
      </w:r>
      <w:r w:rsidR="00075963" w:rsidRPr="00165C36">
        <w:rPr>
          <w:rFonts w:ascii="宋体" w:eastAsia="宋体" w:hAnsi="宋体"/>
          <w:sz w:val="24"/>
          <w:szCs w:val="24"/>
        </w:rPr>
        <w:t>人民币</w:t>
      </w:r>
      <w:r w:rsidR="00075963" w:rsidRPr="00165C36">
        <w:rPr>
          <w:rFonts w:ascii="宋体" w:eastAsia="宋体" w:hAnsi="宋体" w:hint="eastAsia"/>
          <w:sz w:val="24"/>
          <w:szCs w:val="24"/>
        </w:rPr>
        <w:t>（含</w:t>
      </w:r>
      <w:r w:rsidR="00075963">
        <w:rPr>
          <w:rFonts w:ascii="宋体" w:eastAsia="宋体" w:hAnsi="宋体"/>
          <w:sz w:val="24"/>
          <w:szCs w:val="24"/>
        </w:rPr>
        <w:t>80</w:t>
      </w:r>
      <w:r w:rsidR="00075963" w:rsidRPr="00165C36">
        <w:rPr>
          <w:rFonts w:ascii="宋体" w:eastAsia="宋体" w:hAnsi="宋体"/>
          <w:sz w:val="24"/>
          <w:szCs w:val="24"/>
        </w:rPr>
        <w:t>亿元人民币）</w:t>
      </w:r>
      <w:r w:rsidRPr="007B6FD2">
        <w:rPr>
          <w:rFonts w:ascii="宋体" w:eastAsia="宋体" w:hAnsi="宋体"/>
          <w:sz w:val="24"/>
          <w:szCs w:val="24"/>
        </w:rPr>
        <w:t>，则对该日所有有效申购申请予以确认。</w:t>
      </w:r>
    </w:p>
    <w:p w:rsidR="006B1CAA" w:rsidRPr="007B6FD2" w:rsidRDefault="006B1CAA" w:rsidP="007B6FD2">
      <w:pPr>
        <w:spacing w:line="360" w:lineRule="auto"/>
        <w:ind w:firstLineChars="177" w:firstLine="425"/>
        <w:rPr>
          <w:rFonts w:ascii="宋体" w:eastAsia="宋体" w:hAnsi="宋体"/>
          <w:sz w:val="24"/>
          <w:szCs w:val="24"/>
        </w:rPr>
      </w:pPr>
      <w:r w:rsidRPr="007B6FD2">
        <w:rPr>
          <w:rFonts w:ascii="宋体" w:eastAsia="宋体" w:hAnsi="宋体" w:hint="eastAsia"/>
          <w:sz w:val="24"/>
          <w:szCs w:val="24"/>
        </w:rPr>
        <w:t>2、若</w:t>
      </w:r>
      <w:r w:rsidRPr="007B6FD2">
        <w:rPr>
          <w:rFonts w:ascii="宋体" w:eastAsia="宋体" w:hAnsi="宋体"/>
          <w:sz w:val="24"/>
          <w:szCs w:val="24"/>
        </w:rPr>
        <w:t>T日的有效</w:t>
      </w:r>
      <w:r w:rsidR="00075963">
        <w:rPr>
          <w:rFonts w:ascii="宋体" w:eastAsia="宋体" w:hAnsi="宋体" w:hint="eastAsia"/>
          <w:sz w:val="24"/>
          <w:szCs w:val="24"/>
        </w:rPr>
        <w:t>净</w:t>
      </w:r>
      <w:r w:rsidRPr="007B6FD2">
        <w:rPr>
          <w:rFonts w:ascii="宋体" w:eastAsia="宋体" w:hAnsi="宋体"/>
          <w:sz w:val="24"/>
          <w:szCs w:val="24"/>
        </w:rPr>
        <w:t>申购申请全部确认后，</w:t>
      </w:r>
      <w:r w:rsidR="007B6FD2" w:rsidRPr="007B6FD2">
        <w:rPr>
          <w:rFonts w:ascii="宋体" w:eastAsia="宋体" w:hAnsi="宋体" w:hint="eastAsia"/>
          <w:sz w:val="24"/>
          <w:szCs w:val="24"/>
        </w:rPr>
        <w:t>基金资产净值</w:t>
      </w:r>
      <w:r w:rsidR="00174591">
        <w:rPr>
          <w:rFonts w:ascii="宋体" w:eastAsia="宋体" w:hAnsi="宋体" w:hint="eastAsia"/>
          <w:sz w:val="24"/>
          <w:szCs w:val="24"/>
        </w:rPr>
        <w:t>总规模</w:t>
      </w:r>
      <w:r w:rsidRPr="007B6FD2">
        <w:rPr>
          <w:rFonts w:ascii="宋体" w:eastAsia="宋体" w:hAnsi="宋体"/>
          <w:sz w:val="24"/>
          <w:szCs w:val="24"/>
        </w:rPr>
        <w:t>超过80亿</w:t>
      </w:r>
      <w:r w:rsidRPr="007B6FD2">
        <w:rPr>
          <w:rFonts w:ascii="宋体" w:eastAsia="宋体" w:hAnsi="宋体" w:hint="eastAsia"/>
          <w:sz w:val="24"/>
          <w:szCs w:val="24"/>
        </w:rPr>
        <w:t>元</w:t>
      </w:r>
      <w:r w:rsidR="00075963">
        <w:rPr>
          <w:rFonts w:ascii="宋体" w:eastAsia="宋体" w:hAnsi="宋体" w:hint="eastAsia"/>
          <w:sz w:val="24"/>
          <w:szCs w:val="24"/>
        </w:rPr>
        <w:t>人民币</w:t>
      </w:r>
      <w:r w:rsidRPr="007B6FD2">
        <w:rPr>
          <w:rFonts w:ascii="宋体" w:eastAsia="宋体" w:hAnsi="宋体"/>
          <w:sz w:val="24"/>
          <w:szCs w:val="24"/>
        </w:rPr>
        <w:t>，</w:t>
      </w:r>
      <w:r w:rsidR="007B6FD2" w:rsidRPr="007B6FD2">
        <w:rPr>
          <w:rFonts w:ascii="宋体" w:eastAsia="宋体" w:hAnsi="宋体"/>
          <w:sz w:val="24"/>
          <w:szCs w:val="24"/>
        </w:rPr>
        <w:t>基金管理人有权拒绝投资者全部或部分交易申请</w:t>
      </w:r>
      <w:r w:rsidR="00F50B00">
        <w:rPr>
          <w:rFonts w:ascii="宋体" w:eastAsia="宋体" w:hAnsi="宋体" w:hint="eastAsia"/>
          <w:sz w:val="24"/>
          <w:szCs w:val="24"/>
        </w:rPr>
        <w:t>，</w:t>
      </w:r>
      <w:r w:rsidR="007B6FD2" w:rsidRPr="007B6FD2">
        <w:rPr>
          <w:rFonts w:ascii="宋体" w:eastAsia="宋体" w:hAnsi="宋体"/>
          <w:sz w:val="24"/>
          <w:szCs w:val="24"/>
        </w:rPr>
        <w:t>或</w:t>
      </w:r>
      <w:r w:rsidR="00075963">
        <w:rPr>
          <w:rFonts w:ascii="宋体" w:eastAsia="宋体" w:hAnsi="宋体" w:hint="eastAsia"/>
          <w:sz w:val="24"/>
          <w:szCs w:val="24"/>
        </w:rPr>
        <w:t>采用</w:t>
      </w:r>
      <w:r w:rsidR="007B6FD2" w:rsidRPr="007B6FD2">
        <w:rPr>
          <w:rFonts w:ascii="宋体" w:eastAsia="宋体" w:hAnsi="宋体" w:hint="eastAsia"/>
          <w:sz w:val="24"/>
          <w:szCs w:val="24"/>
        </w:rPr>
        <w:t>“</w:t>
      </w:r>
      <w:r w:rsidR="007B6FD2" w:rsidRPr="007B6FD2">
        <w:rPr>
          <w:rFonts w:ascii="宋体" w:eastAsia="宋体" w:hAnsi="宋体"/>
          <w:sz w:val="24"/>
          <w:szCs w:val="24"/>
        </w:rPr>
        <w:t>比例确认</w:t>
      </w:r>
      <w:r w:rsidR="007B6FD2" w:rsidRPr="007B6FD2">
        <w:rPr>
          <w:rFonts w:ascii="宋体" w:eastAsia="宋体" w:hAnsi="宋体" w:hint="eastAsia"/>
          <w:sz w:val="24"/>
          <w:szCs w:val="24"/>
        </w:rPr>
        <w:t>”</w:t>
      </w:r>
      <w:r w:rsidRPr="007B6FD2">
        <w:rPr>
          <w:rFonts w:ascii="宋体" w:eastAsia="宋体" w:hAnsi="宋体"/>
          <w:sz w:val="24"/>
          <w:szCs w:val="24"/>
        </w:rPr>
        <w:t>的原</w:t>
      </w:r>
      <w:r w:rsidRPr="007B6FD2">
        <w:rPr>
          <w:rFonts w:ascii="宋体" w:eastAsia="宋体" w:hAnsi="宋体" w:hint="eastAsia"/>
          <w:sz w:val="24"/>
          <w:szCs w:val="24"/>
        </w:rPr>
        <w:t>则</w:t>
      </w:r>
      <w:r w:rsidR="00075963" w:rsidRPr="00165C36">
        <w:rPr>
          <w:rFonts w:ascii="宋体" w:eastAsia="宋体" w:hAnsi="宋体" w:hint="eastAsia"/>
          <w:sz w:val="24"/>
          <w:szCs w:val="24"/>
        </w:rPr>
        <w:t>给予部分确认</w:t>
      </w:r>
      <w:r w:rsidR="00075963" w:rsidRPr="007B6FD2">
        <w:rPr>
          <w:rFonts w:ascii="宋体" w:eastAsia="宋体" w:hAnsi="宋体"/>
          <w:sz w:val="24"/>
          <w:szCs w:val="24"/>
        </w:rPr>
        <w:t>，具体以本基金登记机构确认为准</w:t>
      </w:r>
      <w:r w:rsidRPr="007B6FD2">
        <w:rPr>
          <w:rFonts w:ascii="宋体" w:eastAsia="宋体" w:hAnsi="宋体"/>
          <w:sz w:val="24"/>
          <w:szCs w:val="24"/>
        </w:rPr>
        <w:t>。未确认部分的申购款项将</w:t>
      </w:r>
      <w:r w:rsidR="00075963" w:rsidRPr="00075963">
        <w:rPr>
          <w:rFonts w:ascii="宋体" w:eastAsia="宋体" w:hAnsi="宋体" w:hint="eastAsia"/>
          <w:sz w:val="24"/>
          <w:szCs w:val="24"/>
        </w:rPr>
        <w:t>由各销售机构根据其业务规则</w:t>
      </w:r>
      <w:r w:rsidRPr="007B6FD2">
        <w:rPr>
          <w:rFonts w:ascii="宋体" w:eastAsia="宋体" w:hAnsi="宋体"/>
          <w:sz w:val="24"/>
          <w:szCs w:val="24"/>
        </w:rPr>
        <w:t>退还给投资者，由此产生的</w:t>
      </w:r>
      <w:r w:rsidRPr="007B6FD2">
        <w:rPr>
          <w:rFonts w:ascii="宋体" w:eastAsia="宋体" w:hAnsi="宋体" w:hint="eastAsia"/>
          <w:sz w:val="24"/>
          <w:szCs w:val="24"/>
        </w:rPr>
        <w:t>利息等损失需由投资者自行承担，请投资者留意资金到账情况。</w:t>
      </w:r>
    </w:p>
    <w:p w:rsidR="007B6FD2" w:rsidRPr="007B6FD2" w:rsidRDefault="00075963" w:rsidP="007B6FD2">
      <w:pPr>
        <w:spacing w:line="360" w:lineRule="auto"/>
        <w:ind w:firstLineChars="177" w:firstLine="425"/>
        <w:rPr>
          <w:rFonts w:ascii="宋体" w:eastAsia="宋体" w:hAnsi="宋体"/>
          <w:sz w:val="24"/>
          <w:szCs w:val="24"/>
        </w:rPr>
      </w:pPr>
      <w:r>
        <w:rPr>
          <w:rFonts w:ascii="宋体" w:eastAsia="宋体" w:hAnsi="宋体"/>
          <w:sz w:val="24"/>
          <w:szCs w:val="24"/>
        </w:rPr>
        <w:t>3</w:t>
      </w:r>
      <w:r w:rsidR="007B6FD2" w:rsidRPr="007B6FD2">
        <w:rPr>
          <w:rFonts w:ascii="宋体" w:eastAsia="宋体" w:hAnsi="宋体" w:hint="eastAsia"/>
          <w:sz w:val="24"/>
          <w:szCs w:val="24"/>
        </w:rPr>
        <w:t>、</w:t>
      </w:r>
      <w:r w:rsidR="007B6FD2" w:rsidRPr="007B6FD2">
        <w:rPr>
          <w:rFonts w:ascii="宋体" w:eastAsia="宋体" w:hAnsi="宋体"/>
          <w:sz w:val="24"/>
          <w:szCs w:val="24"/>
        </w:rPr>
        <w:t>申购申请确认比例的计算方式如下</w:t>
      </w:r>
      <w:r w:rsidR="007B6FD2" w:rsidRPr="007B6FD2">
        <w:rPr>
          <w:rFonts w:ascii="宋体" w:eastAsia="宋体" w:hAnsi="宋体" w:hint="eastAsia"/>
          <w:sz w:val="24"/>
          <w:szCs w:val="24"/>
        </w:rPr>
        <w:t>：</w:t>
      </w:r>
    </w:p>
    <w:p w:rsidR="006B1CAA" w:rsidRPr="007B6FD2" w:rsidRDefault="006B1CAA" w:rsidP="007B6FD2">
      <w:pPr>
        <w:spacing w:line="360" w:lineRule="auto"/>
        <w:ind w:firstLineChars="177" w:firstLine="425"/>
        <w:rPr>
          <w:rFonts w:ascii="宋体" w:eastAsia="宋体" w:hAnsi="宋体"/>
          <w:sz w:val="24"/>
          <w:szCs w:val="24"/>
        </w:rPr>
      </w:pPr>
      <w:r w:rsidRPr="007B6FD2">
        <w:rPr>
          <w:rFonts w:ascii="宋体" w:eastAsia="宋体" w:hAnsi="宋体"/>
          <w:sz w:val="24"/>
          <w:szCs w:val="24"/>
        </w:rPr>
        <w:t>T日申购申请确认比例=Max(0，80亿元－T日基金资产净值+T日基金赎回的有效金额(如</w:t>
      </w:r>
      <w:r w:rsidRPr="007B6FD2">
        <w:rPr>
          <w:rFonts w:ascii="宋体" w:eastAsia="宋体" w:hAnsi="宋体" w:hint="eastAsia"/>
          <w:sz w:val="24"/>
          <w:szCs w:val="24"/>
        </w:rPr>
        <w:t>有</w:t>
      </w:r>
      <w:r w:rsidRPr="007B6FD2">
        <w:rPr>
          <w:rFonts w:ascii="宋体" w:eastAsia="宋体" w:hAnsi="宋体"/>
          <w:sz w:val="24"/>
          <w:szCs w:val="24"/>
        </w:rPr>
        <w:t>))/T日有效申购申请金额</w:t>
      </w:r>
    </w:p>
    <w:p w:rsidR="006B1CAA" w:rsidRPr="007B6FD2" w:rsidRDefault="006B1CAA" w:rsidP="007B6FD2">
      <w:pPr>
        <w:spacing w:line="360" w:lineRule="auto"/>
        <w:ind w:firstLineChars="177" w:firstLine="425"/>
        <w:rPr>
          <w:rFonts w:ascii="宋体" w:eastAsia="宋体" w:hAnsi="宋体"/>
          <w:sz w:val="24"/>
          <w:szCs w:val="24"/>
        </w:rPr>
      </w:pPr>
      <w:r w:rsidRPr="007B6FD2">
        <w:rPr>
          <w:rFonts w:ascii="宋体" w:eastAsia="宋体" w:hAnsi="宋体" w:hint="eastAsia"/>
          <w:sz w:val="24"/>
          <w:szCs w:val="24"/>
        </w:rPr>
        <w:t>投资者申购申请确认金额</w:t>
      </w:r>
      <w:r w:rsidRPr="007B6FD2">
        <w:rPr>
          <w:rFonts w:ascii="宋体" w:eastAsia="宋体" w:hAnsi="宋体"/>
          <w:sz w:val="24"/>
          <w:szCs w:val="24"/>
        </w:rPr>
        <w:t>=投资者T日有效申购申请金额×T日申购申请确认比例</w:t>
      </w:r>
    </w:p>
    <w:p w:rsidR="006B1CAA" w:rsidRPr="007B6FD2" w:rsidRDefault="006B1CAA" w:rsidP="007B6FD2">
      <w:pPr>
        <w:spacing w:line="360" w:lineRule="auto"/>
        <w:ind w:firstLineChars="177" w:firstLine="425"/>
        <w:rPr>
          <w:rFonts w:ascii="宋体" w:eastAsia="宋体" w:hAnsi="宋体"/>
          <w:sz w:val="24"/>
          <w:szCs w:val="24"/>
        </w:rPr>
      </w:pPr>
      <w:r w:rsidRPr="007B6FD2">
        <w:rPr>
          <w:rFonts w:ascii="宋体" w:eastAsia="宋体" w:hAnsi="宋体" w:hint="eastAsia"/>
          <w:sz w:val="24"/>
          <w:szCs w:val="24"/>
        </w:rPr>
        <w:t>注：申购申请确认金额以四舍五入的方法保留到小数点后两位。</w:t>
      </w:r>
    </w:p>
    <w:p w:rsidR="006B1CAA" w:rsidRPr="007B6FD2" w:rsidRDefault="006B1CAA" w:rsidP="00DE71CE">
      <w:pPr>
        <w:spacing w:line="360" w:lineRule="auto"/>
        <w:ind w:firstLineChars="177" w:firstLine="425"/>
        <w:rPr>
          <w:rFonts w:ascii="宋体" w:eastAsia="宋体" w:hAnsi="宋体"/>
          <w:sz w:val="24"/>
          <w:szCs w:val="24"/>
        </w:rPr>
      </w:pPr>
      <w:r w:rsidRPr="007B6FD2">
        <w:rPr>
          <w:rFonts w:ascii="宋体" w:eastAsia="宋体" w:hAnsi="宋体" w:hint="eastAsia"/>
          <w:sz w:val="24"/>
          <w:szCs w:val="24"/>
        </w:rPr>
        <w:t>投资者</w:t>
      </w:r>
      <w:r w:rsidRPr="007B6FD2">
        <w:rPr>
          <w:rFonts w:ascii="宋体" w:eastAsia="宋体" w:hAnsi="宋体"/>
          <w:sz w:val="24"/>
          <w:szCs w:val="24"/>
        </w:rPr>
        <w:t>T日提交的申购申请，计算申购费用适用的申购费率为比例确认后的</w:t>
      </w:r>
      <w:r w:rsidRPr="007B6FD2">
        <w:rPr>
          <w:rFonts w:ascii="宋体" w:eastAsia="宋体" w:hAnsi="宋体"/>
          <w:sz w:val="24"/>
          <w:szCs w:val="24"/>
        </w:rPr>
        <w:lastRenderedPageBreak/>
        <w:t>确认金额所</w:t>
      </w:r>
      <w:r w:rsidRPr="007B6FD2">
        <w:rPr>
          <w:rFonts w:ascii="宋体" w:eastAsia="宋体" w:hAnsi="宋体" w:hint="eastAsia"/>
          <w:sz w:val="24"/>
          <w:szCs w:val="24"/>
        </w:rPr>
        <w:t>对应的申购费率。该部分申购申请确认金额不受申购最低限额的限制。最终申购申请确认结果以本基金登记机构计算并确认的结果为准。</w:t>
      </w:r>
    </w:p>
    <w:p w:rsidR="00AB720C" w:rsidRPr="00AB720C" w:rsidRDefault="00174591" w:rsidP="007B6FD2">
      <w:pPr>
        <w:spacing w:line="360" w:lineRule="auto"/>
        <w:ind w:firstLineChars="177" w:firstLine="425"/>
        <w:rPr>
          <w:rFonts w:ascii="宋体" w:eastAsia="宋体" w:hAnsi="宋体"/>
          <w:sz w:val="24"/>
          <w:szCs w:val="24"/>
        </w:rPr>
      </w:pPr>
      <w:r>
        <w:rPr>
          <w:rFonts w:ascii="宋体" w:eastAsia="宋体" w:hAnsi="宋体"/>
          <w:sz w:val="24"/>
          <w:szCs w:val="24"/>
        </w:rPr>
        <w:t>基金管理人</w:t>
      </w:r>
      <w:r w:rsidR="006B1CAA" w:rsidRPr="007B6FD2">
        <w:rPr>
          <w:rFonts w:ascii="宋体" w:eastAsia="宋体" w:hAnsi="宋体"/>
          <w:sz w:val="24"/>
          <w:szCs w:val="24"/>
        </w:rPr>
        <w:t>可根据基金实际情况，基于投资运作与风险控制的需要，</w:t>
      </w:r>
      <w:r>
        <w:rPr>
          <w:rFonts w:ascii="宋体" w:eastAsia="宋体" w:hAnsi="宋体" w:hint="eastAsia"/>
          <w:sz w:val="24"/>
          <w:szCs w:val="24"/>
        </w:rPr>
        <w:t>采取提前结束</w:t>
      </w:r>
      <w:r w:rsidR="006B1CAA" w:rsidRPr="007B6FD2">
        <w:rPr>
          <w:rFonts w:ascii="宋体" w:eastAsia="宋体" w:hAnsi="宋体"/>
          <w:sz w:val="24"/>
          <w:szCs w:val="24"/>
        </w:rPr>
        <w:t>本基金</w:t>
      </w:r>
      <w:r>
        <w:rPr>
          <w:rFonts w:ascii="宋体" w:eastAsia="宋体" w:hAnsi="宋体" w:hint="eastAsia"/>
          <w:sz w:val="24"/>
          <w:szCs w:val="24"/>
        </w:rPr>
        <w:t>申购、赎回业务开放期或暂停申购的方式以控制本基金</w:t>
      </w:r>
      <w:r w:rsidRPr="00174591">
        <w:rPr>
          <w:rFonts w:ascii="宋体" w:eastAsia="宋体" w:hAnsi="宋体" w:hint="eastAsia"/>
          <w:sz w:val="24"/>
          <w:szCs w:val="24"/>
        </w:rPr>
        <w:t>资产净值总规模上限</w:t>
      </w:r>
      <w:r w:rsidR="006B1CAA" w:rsidRPr="007B6FD2">
        <w:rPr>
          <w:rFonts w:ascii="宋体" w:eastAsia="宋体" w:hAnsi="宋体" w:hint="eastAsia"/>
          <w:sz w:val="24"/>
          <w:szCs w:val="24"/>
        </w:rPr>
        <w:t>，具体安排以</w:t>
      </w:r>
      <w:r>
        <w:rPr>
          <w:rFonts w:ascii="宋体" w:eastAsia="宋体" w:hAnsi="宋体" w:hint="eastAsia"/>
          <w:sz w:val="24"/>
          <w:szCs w:val="24"/>
        </w:rPr>
        <w:t>基金管理人</w:t>
      </w:r>
      <w:r w:rsidR="006B1CAA" w:rsidRPr="007B6FD2">
        <w:rPr>
          <w:rFonts w:ascii="宋体" w:eastAsia="宋体" w:hAnsi="宋体" w:hint="eastAsia"/>
          <w:sz w:val="24"/>
          <w:szCs w:val="24"/>
        </w:rPr>
        <w:t>届时发布的相关公告为准。</w:t>
      </w:r>
    </w:p>
    <w:p w:rsidR="00E56D90" w:rsidRDefault="009E5827" w:rsidP="000809D0">
      <w:pPr>
        <w:spacing w:line="360" w:lineRule="auto"/>
        <w:ind w:firstLineChars="177" w:firstLine="425"/>
        <w:rPr>
          <w:rFonts w:ascii="宋体" w:eastAsia="宋体" w:hAnsi="宋体"/>
          <w:sz w:val="24"/>
          <w:szCs w:val="24"/>
        </w:rPr>
      </w:pPr>
      <w:r w:rsidRPr="009E5827">
        <w:rPr>
          <w:rFonts w:ascii="宋体" w:eastAsia="宋体" w:hAnsi="宋体" w:hint="eastAsia"/>
          <w:sz w:val="24"/>
          <w:szCs w:val="24"/>
        </w:rPr>
        <w:t>风险提示：</w:t>
      </w:r>
    </w:p>
    <w:p w:rsidR="00E56D90" w:rsidRDefault="00E56D90" w:rsidP="00DE71CE">
      <w:pPr>
        <w:spacing w:line="360" w:lineRule="auto"/>
        <w:ind w:firstLineChars="177" w:firstLine="425"/>
        <w:rPr>
          <w:rFonts w:ascii="宋体" w:eastAsia="宋体" w:hAnsi="宋体"/>
          <w:sz w:val="24"/>
          <w:szCs w:val="24"/>
        </w:rPr>
      </w:pPr>
      <w:r w:rsidRPr="00E56D90">
        <w:rPr>
          <w:rFonts w:ascii="宋体" w:eastAsia="宋体" w:hAnsi="宋体" w:hint="eastAsia"/>
          <w:sz w:val="24"/>
          <w:szCs w:val="24"/>
        </w:rPr>
        <w:t>本基金以定期开放方式运作，在封闭期内，投资人将面临因不能赎回或卖出基金份额而出现的流动性约束。</w:t>
      </w:r>
      <w:r w:rsidR="00174591" w:rsidRPr="00174591">
        <w:rPr>
          <w:rFonts w:ascii="宋体" w:eastAsia="宋体" w:hAnsi="宋体" w:hint="eastAsia"/>
          <w:sz w:val="24"/>
          <w:szCs w:val="24"/>
        </w:rPr>
        <w:t>因本基金每日规模和赎回金额不同，每个开放日的可申购额度以及投资者申购申请确认比例可能存在较大不确定性，不同开放日的申购申请确认比例也可能存在较大差异。敬请投资者注意投资风险</w:t>
      </w:r>
      <w:r w:rsidR="00E832D8">
        <w:rPr>
          <w:rFonts w:ascii="宋体" w:eastAsia="宋体" w:hAnsi="宋体" w:hint="eastAsia"/>
          <w:sz w:val="24"/>
          <w:szCs w:val="24"/>
        </w:rPr>
        <w:t>。</w:t>
      </w:r>
    </w:p>
    <w:p w:rsidR="00E56D90" w:rsidRPr="00E56D90" w:rsidRDefault="00E56D90" w:rsidP="000809D0">
      <w:pPr>
        <w:spacing w:line="360" w:lineRule="auto"/>
        <w:ind w:firstLineChars="177" w:firstLine="425"/>
        <w:rPr>
          <w:rFonts w:ascii="宋体" w:eastAsia="宋体" w:hAnsi="宋体"/>
          <w:sz w:val="24"/>
          <w:szCs w:val="24"/>
        </w:rPr>
      </w:pPr>
      <w:bookmarkStart w:id="0" w:name="_GoBack"/>
      <w:bookmarkEnd w:id="0"/>
      <w:r w:rsidRPr="00E56D90">
        <w:rPr>
          <w:rFonts w:ascii="宋体" w:eastAsia="宋体" w:hAnsi="宋体" w:hint="eastAsia"/>
          <w:sz w:val="24"/>
          <w:szCs w:val="24"/>
        </w:rPr>
        <w:t>基金管理人承诺以诚实信用、勤勉尽责的原则管理和运用基金资产，但不保证本基金一定盈利，也不保证最低收益。基金管理人提醒投资人基金投资的“买者自负”原则，在做出投资决策后，基金运营状况与基金净值变化引致的投资风险，由投资人自行负担。基金管理人、基金托管人、基金销售机构及相关机构不对基金投资收益做出任何承诺或保证。</w:t>
      </w:r>
    </w:p>
    <w:p w:rsidR="00E56D90" w:rsidRPr="00E56D90" w:rsidRDefault="00E56D90" w:rsidP="000809D0">
      <w:pPr>
        <w:spacing w:line="360" w:lineRule="auto"/>
        <w:ind w:firstLineChars="177" w:firstLine="425"/>
        <w:rPr>
          <w:rFonts w:ascii="宋体" w:eastAsia="宋体" w:hAnsi="宋体"/>
          <w:sz w:val="24"/>
          <w:szCs w:val="24"/>
        </w:rPr>
      </w:pPr>
      <w:r w:rsidRPr="00E56D90">
        <w:rPr>
          <w:rFonts w:ascii="宋体" w:eastAsia="宋体" w:hAnsi="宋体"/>
          <w:sz w:val="24"/>
          <w:szCs w:val="24"/>
        </w:rPr>
        <w:t>投资者投资基金前应认真阅读</w:t>
      </w:r>
      <w:r w:rsidR="00A92F28">
        <w:rPr>
          <w:rFonts w:ascii="宋体" w:eastAsia="宋体" w:hAnsi="宋体" w:hint="eastAsia"/>
          <w:sz w:val="24"/>
          <w:szCs w:val="24"/>
        </w:rPr>
        <w:t>《</w:t>
      </w:r>
      <w:r w:rsidRPr="00E56D90">
        <w:rPr>
          <w:rFonts w:ascii="宋体" w:eastAsia="宋体" w:hAnsi="宋体"/>
          <w:sz w:val="24"/>
          <w:szCs w:val="24"/>
        </w:rPr>
        <w:t>基金合同</w:t>
      </w:r>
      <w:r w:rsidR="00A92F28">
        <w:rPr>
          <w:rFonts w:ascii="宋体" w:eastAsia="宋体" w:hAnsi="宋体" w:hint="eastAsia"/>
          <w:sz w:val="24"/>
          <w:szCs w:val="24"/>
        </w:rPr>
        <w:t>》</w:t>
      </w:r>
      <w:r w:rsidRPr="00E56D90">
        <w:rPr>
          <w:rFonts w:ascii="宋体" w:eastAsia="宋体" w:hAnsi="宋体"/>
          <w:sz w:val="24"/>
          <w:szCs w:val="24"/>
        </w:rPr>
        <w:t>、最新的</w:t>
      </w:r>
      <w:r w:rsidR="00A92F28">
        <w:rPr>
          <w:rFonts w:ascii="宋体" w:eastAsia="宋体" w:hAnsi="宋体" w:hint="eastAsia"/>
          <w:sz w:val="24"/>
          <w:szCs w:val="24"/>
        </w:rPr>
        <w:t>《</w:t>
      </w:r>
      <w:r w:rsidRPr="00E56D90">
        <w:rPr>
          <w:rFonts w:ascii="宋体" w:eastAsia="宋体" w:hAnsi="宋体"/>
          <w:sz w:val="24"/>
          <w:szCs w:val="24"/>
        </w:rPr>
        <w:t>招募说明书</w:t>
      </w:r>
      <w:r w:rsidR="00A92F28">
        <w:rPr>
          <w:rFonts w:ascii="宋体" w:eastAsia="宋体" w:hAnsi="宋体" w:hint="eastAsia"/>
          <w:sz w:val="24"/>
          <w:szCs w:val="24"/>
        </w:rPr>
        <w:t>》</w:t>
      </w:r>
      <w:r w:rsidRPr="00E56D90">
        <w:rPr>
          <w:rFonts w:ascii="宋体" w:eastAsia="宋体" w:hAnsi="宋体"/>
          <w:sz w:val="24"/>
          <w:szCs w:val="24"/>
        </w:rPr>
        <w:t>等法律文件，了解拟投资基金的风险收益特征，并根据自身投资目的、投资期限、投资经验、资产状况等判断基金是否和投资者的风险承受能力相匹配。</w:t>
      </w:r>
    </w:p>
    <w:p w:rsidR="00E56D90" w:rsidRPr="009E5827" w:rsidRDefault="00E56D90" w:rsidP="000809D0">
      <w:pPr>
        <w:spacing w:line="360" w:lineRule="auto"/>
        <w:ind w:firstLineChars="177" w:firstLine="425"/>
        <w:rPr>
          <w:rFonts w:ascii="宋体" w:eastAsia="宋体" w:hAnsi="宋体"/>
          <w:sz w:val="24"/>
          <w:szCs w:val="24"/>
        </w:rPr>
      </w:pPr>
      <w:r w:rsidRPr="00E56D90">
        <w:rPr>
          <w:rFonts w:ascii="宋体" w:eastAsia="宋体" w:hAnsi="宋体" w:hint="eastAsia"/>
          <w:sz w:val="24"/>
          <w:szCs w:val="24"/>
        </w:rPr>
        <w:t>特此公告。</w:t>
      </w:r>
    </w:p>
    <w:p w:rsidR="009E5827" w:rsidRPr="009E5827" w:rsidRDefault="009E5827" w:rsidP="00E56D90">
      <w:pPr>
        <w:spacing w:line="360" w:lineRule="auto"/>
        <w:rPr>
          <w:rFonts w:ascii="宋体" w:eastAsia="宋体" w:hAnsi="宋体"/>
          <w:sz w:val="24"/>
          <w:szCs w:val="24"/>
        </w:rPr>
      </w:pPr>
    </w:p>
    <w:p w:rsidR="009E5827" w:rsidRDefault="009E5827" w:rsidP="00E56D90">
      <w:pPr>
        <w:spacing w:line="360" w:lineRule="auto"/>
        <w:jc w:val="right"/>
        <w:rPr>
          <w:rFonts w:ascii="宋体" w:eastAsia="宋体" w:hAnsi="宋体"/>
          <w:sz w:val="24"/>
          <w:szCs w:val="24"/>
        </w:rPr>
      </w:pPr>
    </w:p>
    <w:p w:rsidR="009E5827" w:rsidRDefault="009E5827" w:rsidP="00E56D90">
      <w:pPr>
        <w:spacing w:line="360" w:lineRule="auto"/>
        <w:jc w:val="right"/>
        <w:rPr>
          <w:rFonts w:ascii="宋体" w:eastAsia="宋体" w:hAnsi="宋体"/>
          <w:sz w:val="24"/>
          <w:szCs w:val="24"/>
        </w:rPr>
      </w:pPr>
    </w:p>
    <w:p w:rsidR="009E5827" w:rsidRDefault="009E5827" w:rsidP="00E56D90">
      <w:pPr>
        <w:spacing w:line="360" w:lineRule="auto"/>
        <w:jc w:val="right"/>
        <w:rPr>
          <w:rFonts w:ascii="宋体" w:eastAsia="宋体" w:hAnsi="宋体"/>
          <w:sz w:val="24"/>
          <w:szCs w:val="24"/>
        </w:rPr>
      </w:pPr>
    </w:p>
    <w:p w:rsidR="009E5827" w:rsidRPr="009E5827" w:rsidRDefault="009E5827" w:rsidP="00E56D90">
      <w:pPr>
        <w:spacing w:line="360" w:lineRule="auto"/>
        <w:jc w:val="right"/>
        <w:rPr>
          <w:rFonts w:ascii="宋体" w:eastAsia="宋体" w:hAnsi="宋体"/>
          <w:sz w:val="24"/>
          <w:szCs w:val="24"/>
        </w:rPr>
      </w:pPr>
      <w:r>
        <w:rPr>
          <w:rFonts w:ascii="宋体" w:eastAsia="宋体" w:hAnsi="宋体"/>
          <w:sz w:val="24"/>
          <w:szCs w:val="24"/>
        </w:rPr>
        <w:t>银河基金管理有限公司</w:t>
      </w:r>
    </w:p>
    <w:p w:rsidR="00166ACB" w:rsidRPr="009E5827" w:rsidRDefault="009E5827" w:rsidP="00E56D90">
      <w:pPr>
        <w:spacing w:line="360" w:lineRule="auto"/>
        <w:jc w:val="right"/>
        <w:rPr>
          <w:rFonts w:ascii="宋体" w:eastAsia="宋体" w:hAnsi="宋体"/>
          <w:sz w:val="24"/>
          <w:szCs w:val="24"/>
        </w:rPr>
      </w:pPr>
      <w:r w:rsidRPr="009E5827">
        <w:rPr>
          <w:rFonts w:ascii="宋体" w:eastAsia="宋体" w:hAnsi="宋体"/>
          <w:sz w:val="24"/>
          <w:szCs w:val="24"/>
        </w:rPr>
        <w:t>20</w:t>
      </w:r>
      <w:r w:rsidR="00B84BA9">
        <w:rPr>
          <w:rFonts w:ascii="宋体" w:eastAsia="宋体" w:hAnsi="宋体"/>
          <w:sz w:val="24"/>
          <w:szCs w:val="24"/>
        </w:rPr>
        <w:t>2</w:t>
      </w:r>
      <w:r w:rsidR="007B6FD2">
        <w:rPr>
          <w:rFonts w:ascii="宋体" w:eastAsia="宋体" w:hAnsi="宋体"/>
          <w:sz w:val="24"/>
          <w:szCs w:val="24"/>
        </w:rPr>
        <w:t>6</w:t>
      </w:r>
      <w:r w:rsidRPr="009E5827">
        <w:rPr>
          <w:rFonts w:ascii="宋体" w:eastAsia="宋体" w:hAnsi="宋体"/>
          <w:sz w:val="24"/>
          <w:szCs w:val="24"/>
        </w:rPr>
        <w:t>年</w:t>
      </w:r>
      <w:r w:rsidR="007B6FD2">
        <w:rPr>
          <w:rFonts w:ascii="宋体" w:eastAsia="宋体" w:hAnsi="宋体"/>
          <w:sz w:val="24"/>
          <w:szCs w:val="24"/>
        </w:rPr>
        <w:t>1</w:t>
      </w:r>
      <w:r w:rsidRPr="009E5827">
        <w:rPr>
          <w:rFonts w:ascii="宋体" w:eastAsia="宋体" w:hAnsi="宋体"/>
          <w:sz w:val="24"/>
          <w:szCs w:val="24"/>
        </w:rPr>
        <w:t>月</w:t>
      </w:r>
      <w:r w:rsidR="000809D0">
        <w:rPr>
          <w:rFonts w:ascii="宋体" w:eastAsia="宋体" w:hAnsi="宋体" w:hint="eastAsia"/>
          <w:sz w:val="24"/>
          <w:szCs w:val="24"/>
        </w:rPr>
        <w:t>3</w:t>
      </w:r>
      <w:r w:rsidR="00B84BA9">
        <w:rPr>
          <w:rFonts w:ascii="宋体" w:eastAsia="宋体" w:hAnsi="宋体"/>
          <w:sz w:val="24"/>
          <w:szCs w:val="24"/>
        </w:rPr>
        <w:t>1</w:t>
      </w:r>
      <w:r w:rsidRPr="009E5827">
        <w:rPr>
          <w:rFonts w:ascii="宋体" w:eastAsia="宋体" w:hAnsi="宋体"/>
          <w:sz w:val="24"/>
          <w:szCs w:val="24"/>
        </w:rPr>
        <w:t>日</w:t>
      </w:r>
    </w:p>
    <w:sectPr w:rsidR="00166ACB" w:rsidRPr="009E5827" w:rsidSect="003B24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0E4" w:rsidRDefault="00A270E4" w:rsidP="00024952">
      <w:r>
        <w:separator/>
      </w:r>
    </w:p>
  </w:endnote>
  <w:endnote w:type="continuationSeparator" w:id="0">
    <w:p w:rsidR="00A270E4" w:rsidRDefault="00A270E4" w:rsidP="00024952">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0E4" w:rsidRDefault="00A270E4" w:rsidP="00024952">
      <w:r>
        <w:separator/>
      </w:r>
    </w:p>
  </w:footnote>
  <w:footnote w:type="continuationSeparator" w:id="0">
    <w:p w:rsidR="00A270E4" w:rsidRDefault="00A270E4" w:rsidP="000249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7F97"/>
    <w:rsid w:val="00024952"/>
    <w:rsid w:val="00074B59"/>
    <w:rsid w:val="00075963"/>
    <w:rsid w:val="000809D0"/>
    <w:rsid w:val="00114037"/>
    <w:rsid w:val="00142929"/>
    <w:rsid w:val="00174591"/>
    <w:rsid w:val="001D1E18"/>
    <w:rsid w:val="00230587"/>
    <w:rsid w:val="00233409"/>
    <w:rsid w:val="00246254"/>
    <w:rsid w:val="00336045"/>
    <w:rsid w:val="0035251B"/>
    <w:rsid w:val="0039228F"/>
    <w:rsid w:val="00396D8B"/>
    <w:rsid w:val="003B2416"/>
    <w:rsid w:val="00427F97"/>
    <w:rsid w:val="005931FA"/>
    <w:rsid w:val="005934DB"/>
    <w:rsid w:val="005D5329"/>
    <w:rsid w:val="00682694"/>
    <w:rsid w:val="006A650A"/>
    <w:rsid w:val="006B1CAA"/>
    <w:rsid w:val="006E2B00"/>
    <w:rsid w:val="007B6FD2"/>
    <w:rsid w:val="008063F3"/>
    <w:rsid w:val="00856016"/>
    <w:rsid w:val="008B5D7D"/>
    <w:rsid w:val="009311E8"/>
    <w:rsid w:val="00976C3E"/>
    <w:rsid w:val="009B5410"/>
    <w:rsid w:val="009E5827"/>
    <w:rsid w:val="00A01AF4"/>
    <w:rsid w:val="00A270E4"/>
    <w:rsid w:val="00A46B39"/>
    <w:rsid w:val="00A77FA2"/>
    <w:rsid w:val="00A92F28"/>
    <w:rsid w:val="00AB720C"/>
    <w:rsid w:val="00B443C2"/>
    <w:rsid w:val="00B55AB8"/>
    <w:rsid w:val="00B84BA9"/>
    <w:rsid w:val="00C33D61"/>
    <w:rsid w:val="00C82E8B"/>
    <w:rsid w:val="00C92222"/>
    <w:rsid w:val="00CE3D9A"/>
    <w:rsid w:val="00CE61ED"/>
    <w:rsid w:val="00D05703"/>
    <w:rsid w:val="00D339DC"/>
    <w:rsid w:val="00D46B9F"/>
    <w:rsid w:val="00D95C17"/>
    <w:rsid w:val="00DC373C"/>
    <w:rsid w:val="00DE71CE"/>
    <w:rsid w:val="00E0301E"/>
    <w:rsid w:val="00E1183B"/>
    <w:rsid w:val="00E56D90"/>
    <w:rsid w:val="00E832D8"/>
    <w:rsid w:val="00E973FD"/>
    <w:rsid w:val="00F04D18"/>
    <w:rsid w:val="00F079B3"/>
    <w:rsid w:val="00F50B00"/>
    <w:rsid w:val="00F83463"/>
    <w:rsid w:val="00FC0FC1"/>
    <w:rsid w:val="00FE59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4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3409"/>
    <w:pPr>
      <w:ind w:firstLineChars="200" w:firstLine="420"/>
    </w:pPr>
  </w:style>
  <w:style w:type="paragraph" w:styleId="a4">
    <w:name w:val="header"/>
    <w:basedOn w:val="a"/>
    <w:link w:val="Char"/>
    <w:uiPriority w:val="99"/>
    <w:unhideWhenUsed/>
    <w:rsid w:val="000249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24952"/>
    <w:rPr>
      <w:sz w:val="18"/>
      <w:szCs w:val="18"/>
    </w:rPr>
  </w:style>
  <w:style w:type="paragraph" w:styleId="a5">
    <w:name w:val="footer"/>
    <w:basedOn w:val="a"/>
    <w:link w:val="Char0"/>
    <w:uiPriority w:val="99"/>
    <w:unhideWhenUsed/>
    <w:rsid w:val="00024952"/>
    <w:pPr>
      <w:tabs>
        <w:tab w:val="center" w:pos="4153"/>
        <w:tab w:val="right" w:pos="8306"/>
      </w:tabs>
      <w:snapToGrid w:val="0"/>
      <w:jc w:val="left"/>
    </w:pPr>
    <w:rPr>
      <w:sz w:val="18"/>
      <w:szCs w:val="18"/>
    </w:rPr>
  </w:style>
  <w:style w:type="character" w:customStyle="1" w:styleId="Char0">
    <w:name w:val="页脚 Char"/>
    <w:basedOn w:val="a0"/>
    <w:link w:val="a5"/>
    <w:uiPriority w:val="99"/>
    <w:rsid w:val="00024952"/>
    <w:rPr>
      <w:sz w:val="18"/>
      <w:szCs w:val="18"/>
    </w:rPr>
  </w:style>
  <w:style w:type="character" w:styleId="a6">
    <w:name w:val="annotation reference"/>
    <w:basedOn w:val="a0"/>
    <w:uiPriority w:val="99"/>
    <w:semiHidden/>
    <w:unhideWhenUsed/>
    <w:rsid w:val="001D1E18"/>
    <w:rPr>
      <w:sz w:val="21"/>
      <w:szCs w:val="21"/>
    </w:rPr>
  </w:style>
  <w:style w:type="paragraph" w:styleId="a7">
    <w:name w:val="annotation text"/>
    <w:basedOn w:val="a"/>
    <w:link w:val="Char1"/>
    <w:uiPriority w:val="99"/>
    <w:semiHidden/>
    <w:unhideWhenUsed/>
    <w:rsid w:val="001D1E18"/>
    <w:pPr>
      <w:jc w:val="left"/>
    </w:pPr>
  </w:style>
  <w:style w:type="character" w:customStyle="1" w:styleId="Char1">
    <w:name w:val="批注文字 Char"/>
    <w:basedOn w:val="a0"/>
    <w:link w:val="a7"/>
    <w:uiPriority w:val="99"/>
    <w:semiHidden/>
    <w:rsid w:val="001D1E18"/>
  </w:style>
  <w:style w:type="paragraph" w:styleId="a8">
    <w:name w:val="annotation subject"/>
    <w:basedOn w:val="a7"/>
    <w:next w:val="a7"/>
    <w:link w:val="Char2"/>
    <w:uiPriority w:val="99"/>
    <w:semiHidden/>
    <w:unhideWhenUsed/>
    <w:rsid w:val="001D1E18"/>
    <w:rPr>
      <w:b/>
      <w:bCs/>
    </w:rPr>
  </w:style>
  <w:style w:type="character" w:customStyle="1" w:styleId="Char2">
    <w:name w:val="批注主题 Char"/>
    <w:basedOn w:val="Char1"/>
    <w:link w:val="a8"/>
    <w:uiPriority w:val="99"/>
    <w:semiHidden/>
    <w:rsid w:val="001D1E18"/>
    <w:rPr>
      <w:b/>
      <w:bCs/>
    </w:rPr>
  </w:style>
  <w:style w:type="paragraph" w:styleId="a9">
    <w:name w:val="Balloon Text"/>
    <w:basedOn w:val="a"/>
    <w:link w:val="Char3"/>
    <w:uiPriority w:val="99"/>
    <w:semiHidden/>
    <w:unhideWhenUsed/>
    <w:rsid w:val="001D1E18"/>
    <w:rPr>
      <w:sz w:val="18"/>
      <w:szCs w:val="18"/>
    </w:rPr>
  </w:style>
  <w:style w:type="character" w:customStyle="1" w:styleId="Char3">
    <w:name w:val="批注框文本 Char"/>
    <w:basedOn w:val="a0"/>
    <w:link w:val="a9"/>
    <w:uiPriority w:val="99"/>
    <w:semiHidden/>
    <w:rsid w:val="001D1E18"/>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1200</Characters>
  <Application>Microsoft Office Word</Application>
  <DocSecurity>4</DocSecurity>
  <Lines>10</Lines>
  <Paragraphs>2</Paragraphs>
  <ScaleCrop>false</ScaleCrop>
  <Company/>
  <LinksUpToDate>false</LinksUpToDate>
  <CharactersWithSpaces>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萨仁高娃</dc:creator>
  <cp:keywords/>
  <dc:description/>
  <cp:lastModifiedBy>ZHONGM</cp:lastModifiedBy>
  <cp:revision>2</cp:revision>
  <dcterms:created xsi:type="dcterms:W3CDTF">2026-01-30T16:00:00Z</dcterms:created>
  <dcterms:modified xsi:type="dcterms:W3CDTF">2026-01-30T16:00:00Z</dcterms:modified>
</cp:coreProperties>
</file>