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8C" w:rsidRPr="00E2260A" w:rsidRDefault="003522BB">
      <w:pPr>
        <w:autoSpaceDE w:val="0"/>
        <w:autoSpaceDN w:val="0"/>
        <w:adjustRightInd w:val="0"/>
        <w:jc w:val="center"/>
        <w:rPr>
          <w:rFonts w:ascii="宋体" w:eastAsia="宋体" w:hAnsi="Arial" w:cs="宋体"/>
          <w:b/>
          <w:bCs/>
          <w:kern w:val="0"/>
          <w:sz w:val="24"/>
          <w:szCs w:val="24"/>
        </w:rPr>
      </w:pPr>
      <w:r w:rsidRPr="003522BB">
        <w:rPr>
          <w:rFonts w:ascii="宋体" w:eastAsia="宋体" w:hAnsi="Arial" w:cs="宋体" w:hint="eastAsia"/>
          <w:b/>
          <w:bCs/>
          <w:kern w:val="0"/>
          <w:sz w:val="24"/>
          <w:szCs w:val="24"/>
        </w:rPr>
        <w:t>永赢基金管理有限公司关于</w:t>
      </w:r>
      <w:r w:rsidR="00B6481D" w:rsidRPr="00B6481D">
        <w:rPr>
          <w:rFonts w:ascii="宋体" w:eastAsia="宋体" w:hAnsi="Arial" w:cs="宋体" w:hint="eastAsia"/>
          <w:b/>
          <w:bCs/>
          <w:kern w:val="0"/>
          <w:sz w:val="24"/>
          <w:szCs w:val="24"/>
        </w:rPr>
        <w:t>旗下部分公募基金产品</w:t>
      </w:r>
      <w:r w:rsidRPr="003522BB">
        <w:rPr>
          <w:rFonts w:ascii="宋体" w:eastAsia="宋体" w:hAnsi="Arial" w:cs="宋体" w:hint="eastAsia"/>
          <w:b/>
          <w:bCs/>
          <w:kern w:val="0"/>
          <w:sz w:val="24"/>
          <w:szCs w:val="24"/>
        </w:rPr>
        <w:t>风险等级变动的</w:t>
      </w:r>
      <w:r w:rsidR="00AB7ED8">
        <w:rPr>
          <w:rFonts w:ascii="宋体" w:eastAsia="宋体" w:hAnsi="Arial" w:cs="宋体" w:hint="eastAsia"/>
          <w:b/>
          <w:bCs/>
          <w:kern w:val="0"/>
          <w:sz w:val="24"/>
          <w:szCs w:val="24"/>
        </w:rPr>
        <w:t>公告</w:t>
      </w:r>
    </w:p>
    <w:p w:rsidR="008B278C" w:rsidRDefault="008B278C"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p>
    <w:p w:rsidR="003522BB" w:rsidRDefault="003522BB"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sidRPr="003522BB">
        <w:rPr>
          <w:rFonts w:ascii="宋体" w:eastAsia="宋体" w:hAnsi="Arial" w:cs="宋体" w:hint="eastAsia"/>
          <w:kern w:val="0"/>
          <w:sz w:val="22"/>
          <w:szCs w:val="24"/>
        </w:rPr>
        <w:t>根据《证券期货投资者适当性管理办法》、《基金募集机构投资者适当性管理实施指引（试行）》等相关规定以及永赢基金管理有限公司（以下简称“本公司”）投资者适当性管理标准和要求，</w:t>
      </w:r>
      <w:r w:rsidR="00B6481D" w:rsidRPr="00B6481D">
        <w:rPr>
          <w:rFonts w:ascii="宋体" w:eastAsia="宋体" w:hAnsi="Arial" w:cs="宋体" w:hint="eastAsia"/>
          <w:kern w:val="0"/>
          <w:sz w:val="22"/>
          <w:szCs w:val="24"/>
        </w:rPr>
        <w:t>本公司委托第三方评级机构（天相投资顾问有限公司）对旗下所有公募基金进行风险评级。根据最新评级结果</w:t>
      </w:r>
      <w:r w:rsidR="00B6481D">
        <w:rPr>
          <w:rFonts w:ascii="宋体" w:eastAsia="宋体" w:hAnsi="Arial" w:cs="宋体" w:hint="eastAsia"/>
          <w:kern w:val="0"/>
          <w:sz w:val="22"/>
          <w:szCs w:val="24"/>
        </w:rPr>
        <w:t>及</w:t>
      </w:r>
      <w:r w:rsidRPr="003522BB">
        <w:rPr>
          <w:rFonts w:ascii="宋体" w:eastAsia="宋体" w:hAnsi="Arial" w:cs="宋体" w:hint="eastAsia"/>
          <w:kern w:val="0"/>
          <w:sz w:val="22"/>
          <w:szCs w:val="24"/>
        </w:rPr>
        <w:t>本公司</w:t>
      </w:r>
      <w:r w:rsidR="00595DFB">
        <w:rPr>
          <w:rFonts w:ascii="宋体" w:eastAsia="宋体" w:hAnsi="Arial" w:cs="宋体" w:hint="eastAsia"/>
          <w:kern w:val="0"/>
          <w:sz w:val="22"/>
          <w:szCs w:val="24"/>
        </w:rPr>
        <w:t>重新评估，调整了</w:t>
      </w:r>
      <w:r w:rsidR="00B6481D" w:rsidRPr="00B6481D">
        <w:rPr>
          <w:rFonts w:ascii="宋体" w:eastAsia="宋体" w:hAnsi="Arial" w:cs="宋体" w:hint="eastAsia"/>
          <w:kern w:val="0"/>
          <w:sz w:val="22"/>
          <w:szCs w:val="24"/>
        </w:rPr>
        <w:t>本公司旗下部分基金的风险等级</w:t>
      </w:r>
      <w:r w:rsidR="00B6481D">
        <w:rPr>
          <w:rFonts w:ascii="宋体" w:eastAsia="宋体" w:hAnsi="Arial" w:cs="宋体" w:hint="eastAsia"/>
          <w:kern w:val="0"/>
          <w:sz w:val="22"/>
          <w:szCs w:val="24"/>
        </w:rPr>
        <w:t>，</w:t>
      </w:r>
      <w:r w:rsidRPr="003522BB">
        <w:rPr>
          <w:rFonts w:ascii="宋体" w:eastAsia="宋体" w:hAnsi="Arial" w:cs="宋体" w:hint="eastAsia"/>
          <w:kern w:val="0"/>
          <w:sz w:val="22"/>
          <w:szCs w:val="24"/>
        </w:rPr>
        <w:t>具体见下表“风险等级评价体系变化一览表”</w:t>
      </w:r>
      <w:r>
        <w:rPr>
          <w:rFonts w:ascii="宋体" w:eastAsia="宋体" w:hAnsi="Arial" w:cs="宋体" w:hint="eastAsia"/>
          <w:kern w:val="0"/>
          <w:sz w:val="22"/>
          <w:szCs w:val="24"/>
        </w:rPr>
        <w:t>。</w:t>
      </w:r>
      <w:r w:rsidRPr="003522BB">
        <w:rPr>
          <w:rFonts w:ascii="宋体" w:eastAsia="宋体" w:hAnsi="Arial" w:cs="宋体" w:hint="eastAsia"/>
          <w:kern w:val="0"/>
          <w:sz w:val="22"/>
          <w:szCs w:val="24"/>
        </w:rPr>
        <w:t>敬请广大投资者关注</w:t>
      </w:r>
      <w:r>
        <w:rPr>
          <w:rFonts w:ascii="宋体" w:eastAsia="宋体" w:hAnsi="Arial" w:cs="宋体" w:hint="eastAsia"/>
          <w:kern w:val="0"/>
          <w:sz w:val="22"/>
          <w:szCs w:val="24"/>
        </w:rPr>
        <w:t>基金风险等级的变化以及对投资决策带来的影响</w:t>
      </w:r>
      <w:r w:rsidRPr="003522BB">
        <w:rPr>
          <w:rFonts w:ascii="宋体" w:eastAsia="宋体" w:hAnsi="Arial" w:cs="宋体" w:hint="eastAsia"/>
          <w:kern w:val="0"/>
          <w:sz w:val="22"/>
          <w:szCs w:val="24"/>
        </w:rPr>
        <w:t>。</w:t>
      </w:r>
    </w:p>
    <w:p w:rsidR="003522BB" w:rsidRDefault="003522BB"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Pr>
          <w:rFonts w:ascii="宋体" w:eastAsia="宋体" w:hAnsi="Arial" w:cs="宋体" w:hint="eastAsia"/>
          <w:kern w:val="0"/>
          <w:sz w:val="22"/>
          <w:szCs w:val="24"/>
        </w:rPr>
        <w:t>本次风险等级的调整事项自</w:t>
      </w:r>
      <w:r w:rsidR="00F440CD">
        <w:rPr>
          <w:rFonts w:ascii="宋体" w:eastAsia="宋体" w:hAnsi="Arial" w:cs="宋体" w:hint="eastAsia"/>
          <w:kern w:val="0"/>
          <w:sz w:val="22"/>
          <w:szCs w:val="24"/>
        </w:rPr>
        <w:t>2</w:t>
      </w:r>
      <w:r w:rsidR="00F440CD">
        <w:rPr>
          <w:rFonts w:ascii="宋体" w:eastAsia="宋体" w:hAnsi="Arial" w:cs="宋体"/>
          <w:kern w:val="0"/>
          <w:sz w:val="22"/>
          <w:szCs w:val="24"/>
        </w:rPr>
        <w:t>026</w:t>
      </w:r>
      <w:r w:rsidR="00F440CD">
        <w:rPr>
          <w:rFonts w:ascii="宋体" w:eastAsia="宋体" w:hAnsi="Arial" w:cs="宋体" w:hint="eastAsia"/>
          <w:kern w:val="0"/>
          <w:sz w:val="22"/>
          <w:szCs w:val="24"/>
        </w:rPr>
        <w:t>年2月2日</w:t>
      </w:r>
      <w:r>
        <w:rPr>
          <w:rFonts w:ascii="宋体" w:eastAsia="宋体" w:hAnsi="Arial" w:cs="宋体" w:hint="eastAsia"/>
          <w:kern w:val="0"/>
          <w:sz w:val="22"/>
          <w:szCs w:val="24"/>
        </w:rPr>
        <w:t>起生效。</w:t>
      </w:r>
      <w:r w:rsidRPr="003522BB">
        <w:rPr>
          <w:rFonts w:ascii="宋体" w:eastAsia="宋体" w:hAnsi="Arial" w:cs="宋体" w:hint="eastAsia"/>
          <w:kern w:val="0"/>
          <w:sz w:val="22"/>
          <w:szCs w:val="24"/>
        </w:rPr>
        <w:t>投资者可登录本公司官网查询、了解所有公募基金的风险等级，或拨打本公司客服热线400-805-8888咨询详情。</w:t>
      </w:r>
    </w:p>
    <w:p w:rsidR="001F028C" w:rsidRDefault="003522BB" w:rsidP="00A03F6B">
      <w:pPr>
        <w:autoSpaceDE w:val="0"/>
        <w:autoSpaceDN w:val="0"/>
        <w:adjustRightInd w:val="0"/>
        <w:spacing w:before="30" w:line="360" w:lineRule="auto"/>
        <w:jc w:val="center"/>
        <w:rPr>
          <w:rFonts w:ascii="宋体" w:eastAsia="宋体" w:hAnsi="Arial" w:cs="宋体"/>
          <w:kern w:val="0"/>
          <w:sz w:val="22"/>
          <w:szCs w:val="24"/>
        </w:rPr>
      </w:pPr>
      <w:r>
        <w:rPr>
          <w:rFonts w:ascii="宋体" w:eastAsia="宋体" w:hAnsi="Arial" w:cs="宋体" w:hint="eastAsia"/>
          <w:kern w:val="0"/>
          <w:sz w:val="22"/>
          <w:szCs w:val="24"/>
        </w:rPr>
        <w:t>风险等级评价体系变化一览表</w:t>
      </w:r>
    </w:p>
    <w:tbl>
      <w:tblPr>
        <w:tblStyle w:val="ae"/>
        <w:tblW w:w="10065" w:type="dxa"/>
        <w:tblInd w:w="-1139" w:type="dxa"/>
        <w:tblLook w:val="04A0"/>
      </w:tblPr>
      <w:tblGrid>
        <w:gridCol w:w="1134"/>
        <w:gridCol w:w="1985"/>
        <w:gridCol w:w="4111"/>
        <w:gridCol w:w="1417"/>
        <w:gridCol w:w="1418"/>
      </w:tblGrid>
      <w:tr w:rsidR="00D1394D" w:rsidRPr="00A03F6B" w:rsidTr="00A03F6B">
        <w:trPr>
          <w:trHeight w:val="276"/>
        </w:trPr>
        <w:tc>
          <w:tcPr>
            <w:tcW w:w="1134" w:type="dxa"/>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基金代码</w:t>
            </w:r>
          </w:p>
        </w:tc>
        <w:tc>
          <w:tcPr>
            <w:tcW w:w="1985" w:type="dxa"/>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基金简称</w:t>
            </w:r>
          </w:p>
        </w:tc>
        <w:tc>
          <w:tcPr>
            <w:tcW w:w="4111" w:type="dxa"/>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基金全称</w:t>
            </w:r>
          </w:p>
        </w:tc>
        <w:tc>
          <w:tcPr>
            <w:tcW w:w="1417" w:type="dxa"/>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风险等级（调整后）</w:t>
            </w:r>
          </w:p>
        </w:tc>
        <w:tc>
          <w:tcPr>
            <w:tcW w:w="1418" w:type="dxa"/>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风险等级（调整前）</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006252</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永赢消费主题A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永赢消费主题灵活配置混合型证券投资基金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006253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永赢消费主题C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永赢消费主题灵活配置混合型证券投资基金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006266</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永赢智能领先A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永赢智能领先混合型证券投资基金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006269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永赢智能领先C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永赢智能领先混合型证券投资基金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006836</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永赢惠泽一年</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永赢惠泽一年定期开放灵活配置混合型发起式证券投资基金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007538</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永赢沪深300ETF发起联接A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永赢沪深300交易型开放式指数证券投资基金发起式联接基金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007539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永赢沪深300ETF发起联接C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永赢沪深300交易型开放式指数证券投资基金发起式联接基金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007113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永赢高端制造A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永赢高端制造混合型证券投资基金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007114</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永赢高端制造C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永赢高端制造混合型证券投资基金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008919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永赢科技驱动A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永赢科技驱动混合型证券投资基金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008920</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永赢科技驱动C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永赢科技驱动混合型证券投资基金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008480</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永赢股息优选A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永赢股息优选混合型证券投资基金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008481</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永赢股息优选C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永赢股息优选混合型证券投资基金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008618</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永赢医药健康A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永赢医药健康股票型证券投资基金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008619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永赢医药健康C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永赢医药健康股票型证券投资基金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009983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永赢港股通品质生活慧选混合A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永赢港股通品质生活慧选混合型证券投资基金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021918</w:t>
            </w:r>
          </w:p>
        </w:tc>
        <w:tc>
          <w:tcPr>
            <w:tcW w:w="1985"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永赢港股通品质生活慧选混合C</w:t>
            </w:r>
          </w:p>
        </w:tc>
        <w:tc>
          <w:tcPr>
            <w:tcW w:w="4111"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永赢港股通品质生活慧选混合型证券投资基金</w:t>
            </w:r>
          </w:p>
        </w:tc>
        <w:tc>
          <w:tcPr>
            <w:tcW w:w="1417"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lastRenderedPageBreak/>
              <w:t>010562</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永赢成长领航混合A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永赢成长领航混合型证券投资基金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010563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永赢成长领航混合C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永赢成长领航混合型证券投资基金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011093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永赢宏泽一年定开混合</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永赢宏泽一年定期开放灵活配置混合型证券投资基金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011203</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永赢惠添益混合A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永赢惠添益混合型证券投资基金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011204</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永赢惠添益混合C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永赢惠添益混合型证券投资基金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011315</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永赢港股通优质成长一年混合</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永赢港股通优质成长一年持有期混合型证券投资基金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159721</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深证100ETF永赢</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永赢深证100交易型开放式指数证券投资基金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012406</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永赢长远价值混合A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永赢长远价值混合型证券投资基金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012407</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永赢长远价值混合C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永赢长远价值混合型证券投资基金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012530</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永赢惠添盈一年混合</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永赢惠添盈一年持有期混合型证券投资基金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015079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永赢成长远航一年持有混合A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永赢成长远航一年持有期混合型证券投资基金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015080</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永赢成长远航一年持有混合C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永赢成长远航一年持有期混合型证券投资基金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015828</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永赢新能源智选混合发起A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永赢新能源智选混合型发起式证券投资基金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015829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永赢新能源智选混合发起C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永赢新能源智选混合型发起式证券投资基金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015789</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永赢高端装备智选混合发起A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永赢高端装备智选混合型发起式证券投资基金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015790</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永赢高端装备智选混合发起C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永赢高端装备智选混合型发起式证券投资基金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015287</w:t>
            </w:r>
          </w:p>
        </w:tc>
        <w:tc>
          <w:tcPr>
            <w:tcW w:w="1985"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永赢优质生活混合A</w:t>
            </w:r>
          </w:p>
        </w:tc>
        <w:tc>
          <w:tcPr>
            <w:tcW w:w="4111"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永赢优质生活混合型证券投资基金</w:t>
            </w:r>
          </w:p>
        </w:tc>
        <w:tc>
          <w:tcPr>
            <w:tcW w:w="1417"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015288</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永赢优质生活混合C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永赢优质生活混合型证券投资基金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015967</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永赢半导体产业智选混合发起A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永赢半导体产业智选混合型发起式证券投资基金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015968</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永赢半导体产业智选混合发起C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永赢半导体产业智选混合型发起式证券投资基金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016386</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永赢低碳环保智选混合发起A</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永赢低碳环保智选混合型发起式证券投资基金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016387</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永赢低碳环保智选</w:t>
            </w:r>
            <w:r w:rsidRPr="00A03F6B">
              <w:rPr>
                <w:rFonts w:ascii="宋体" w:eastAsia="宋体" w:hAnsi="Arial" w:cs="宋体" w:hint="eastAsia"/>
                <w:kern w:val="0"/>
                <w:sz w:val="22"/>
              </w:rPr>
              <w:lastRenderedPageBreak/>
              <w:t>混合发起C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lastRenderedPageBreak/>
              <w:t>永赢低碳环保智选混合型发起式证券投</w:t>
            </w:r>
            <w:r w:rsidRPr="00A03F6B">
              <w:rPr>
                <w:rFonts w:ascii="宋体" w:eastAsia="宋体" w:hAnsi="Arial" w:cs="宋体" w:hint="eastAsia"/>
                <w:kern w:val="0"/>
                <w:sz w:val="22"/>
              </w:rPr>
              <w:lastRenderedPageBreak/>
              <w:t>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lastRenderedPageBreak/>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lastRenderedPageBreak/>
              <w:t>016384</w:t>
            </w:r>
          </w:p>
        </w:tc>
        <w:tc>
          <w:tcPr>
            <w:tcW w:w="1985"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永赢消费鑫选6个月持有混合A</w:t>
            </w:r>
          </w:p>
        </w:tc>
        <w:tc>
          <w:tcPr>
            <w:tcW w:w="4111"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永赢消费鑫选6个月持有期混合型证券投资基金</w:t>
            </w:r>
          </w:p>
        </w:tc>
        <w:tc>
          <w:tcPr>
            <w:tcW w:w="1417"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D1394D" w:rsidRPr="00A03F6B" w:rsidTr="00A03F6B">
        <w:trPr>
          <w:trHeight w:val="276"/>
        </w:trPr>
        <w:tc>
          <w:tcPr>
            <w:tcW w:w="1134"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016385</w:t>
            </w:r>
          </w:p>
        </w:tc>
        <w:tc>
          <w:tcPr>
            <w:tcW w:w="1985"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永赢消费鑫选6个月持有混合C</w:t>
            </w:r>
          </w:p>
        </w:tc>
        <w:tc>
          <w:tcPr>
            <w:tcW w:w="4111" w:type="dxa"/>
            <w:noWrap/>
            <w:vAlign w:val="center"/>
            <w:hideMark/>
          </w:tcPr>
          <w:p w:rsidR="00D1394D" w:rsidRPr="00A03F6B" w:rsidRDefault="00D1394D" w:rsidP="00A03F6B">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永赢消费鑫选6个月持有期混合型证券投资基金</w:t>
            </w:r>
          </w:p>
        </w:tc>
        <w:tc>
          <w:tcPr>
            <w:tcW w:w="1417"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D1394D" w:rsidRPr="00A03F6B" w:rsidRDefault="00D1394D" w:rsidP="00A03F6B">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015915</w:t>
            </w:r>
          </w:p>
        </w:tc>
        <w:tc>
          <w:tcPr>
            <w:tcW w:w="1985"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永赢医药创新智选混合发起A</w:t>
            </w:r>
          </w:p>
        </w:tc>
        <w:tc>
          <w:tcPr>
            <w:tcW w:w="4111" w:type="dxa"/>
            <w:noWrap/>
            <w:vAlign w:val="center"/>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永赢医药创新智选混合型发起式证券投资基金</w:t>
            </w:r>
          </w:p>
        </w:tc>
        <w:tc>
          <w:tcPr>
            <w:tcW w:w="1417"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015916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永赢医药创新智选混合发起C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永赢医药创新智选混合型发起式证券投资基金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016502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永赢新兴消费智选混合发起A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永赢新兴消费智选混合型发起式证券投资基金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016503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永赢新兴消费智选混合发起C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永赢新兴消费智选混合型发起式证券投资基金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016549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永赢消费龙头智选混合发起A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永赢消费龙头智选混合型发起式证券投资基金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016550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永赢消费龙头智选混合发起C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永赢消费龙头智选混合型发起式证券投资基金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018122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永赢数字经济智选混合发起A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永赢数字经济智选混合型发起式证券投资基金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018123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永赢数字经济智选混合发起C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永赢数字经济智选混合型发起式证券投资基金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018124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永赢先进制造智选混合发起A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永赢先进制造智选混合型发起式证券投资基金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018125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永赢先进制造智选混合发起C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永赢先进制造智选混合型发起式证券投资基金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019431</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永赢睿信混合A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永赢睿信混合型证券投资基金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019432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永赢睿信混合C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永赢睿信混合型证券投资基金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020287</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永赢红利慧选混合发起A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永赢红利慧选混合型发起式证券投资基金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020288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永赢红利慧选混合发起C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永赢红利慧选混合型发起式证券投资基金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020138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永赢启鑫混合A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永赢启鑫混合型证券投资基金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020139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永赢启鑫混合C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永赢启鑫混合型证券投资基金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020755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永赢融安混合A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永赢融安混合型证券投资基金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020758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永赢融安混合C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永赢融安混合型证券投资基金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022364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022365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永赢科技智选混合型发起式证券投资基金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022204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永赢中证A50指数增强发起A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永赢中证A50指数增强型发起式证券投资基金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022205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永赢中证A50指数增强发起C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永赢中证A50指数增强型发起式证券投资基金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563520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沪深300ETF永赢</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永赢沪深300交易型开放式指数证券投资基金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159386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A500ETF永赢</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永赢中证A500交易型开放式指数证券投资基金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022311</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永赢中证500指数增强发起A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永赢中证500指数增强型发起式证券投资基金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022312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永赢中证500指数增强发起C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永赢中证500指数增强型发起式证券投资基金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023915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永赢价值发现慧选混合发起A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永赢价值发现慧选混合型发起式证券投资基金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023925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永赢价值发现慧选混合发起C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永赢价值发现慧选混合型发起式证券投资基金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023305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永赢中证A500指数增强A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永赢中证A500指数增强型证券投资基金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023306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永赢中证A500指数增强C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永赢中证A500指数增强型证券投资基金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024202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永赢制造升级智选混合发起A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永赢制造升级智选混合型发起式证券投资基金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024203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永赢制造升级智选混合发起C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永赢制造升级智选混合型发起式证券投资基金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023755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永赢中证A500ETF发起联接A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永赢中证A500交易型开放式指数证券投资基金发起式联接基金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023756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永赢中证A500ETF发起联接C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永赢中证A500交易型开放式指数证券投资基金发起式联接基金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159223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现金流ETF永赢</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永赢国证自由现金流交易型开放式指数证券投资基金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024393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永赢恒生消费指数发起(QDII)A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永赢恒生消费指数型发起式证券投资基金(QDII)</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024394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永赢恒生消费指数发起(QDII)C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永赢恒生消费指数型发起式证券投资基金(QDII)</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159266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港股通央企红利ETF</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永赢中证港股通央企红利交易型开放式指数证券投资基金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024735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永赢港股通科技智选混合发起A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永赢港股通科技智选混合型发起式证券投资基金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024736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永赢港股通科技智选混合发起C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永赢港股通科技智选混合型发起式证券投资基金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024737</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永赢新材料智选混合发起A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永赢新材料智选混合型发起式证券投资基金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024738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永赢新材料智选混合发起C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永赢新材料智选混合型发起式证券投资基金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023420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永赢锐见先锋混合A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永赢锐见先锋混合型证券投资基金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023421</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永赢锐见先锋混合C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永赢锐见先锋混合型证券投资基金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023824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永赢国企机遇慧选混合发起A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永赢国企机遇慧选混合型发起式证券投资基金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023825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永赢国企机遇慧选混合发起C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永赢国企机遇慧选混合型发起式证券投资基金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023534</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永赢中证港股通央企红利ETF联接A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永赢中证港股通央企红利交易型开放式指数证券投资基金联接基金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023535</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永赢中证港股通央企红利ETF联接C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永赢中证港股通央企红利交易型开放式指数证券投资基金联接基金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025216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永赢资源慧选混合发起A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永赢资源慧选混合型发起式证券投资基金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025217</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永赢资源慧选混合发起C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永赢资源慧选混合型发起式证券投资基金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025168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永赢国证自由现金流ETF联接A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永赢国证自由现金流交易型开放式指数证券投资基金联接基金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025169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永赢国证自由现金流ETF联接C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永赢国证自由现金流交易型开放式指数证券投资基金联接基金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024319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永赢新兴产业智选混合发起A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永赢新兴产业智选混合型发起式证券投资基金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024320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永赢新兴产业智选混合发起C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永赢新兴产业智选混合型发起式证券投资基金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025208</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永赢先锋半导体智选混合发起A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永赢先锋半导体智选混合型发起式证券投资基金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025209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永赢先锋半导体智选混合发起C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永赢先锋半导体智选混合型发起式证券投资基金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563690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红利低波ETF永赢</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永赢中证红利低波动交易型开放式指数证券投资基金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bookmarkStart w:id="0" w:name="_GoBack" w:colFirst="1" w:colLast="1"/>
            <w:r w:rsidRPr="00A03F6B">
              <w:rPr>
                <w:rFonts w:ascii="宋体" w:eastAsia="宋体" w:hAnsi="Arial" w:cs="宋体" w:hint="eastAsia"/>
                <w:kern w:val="0"/>
                <w:sz w:val="22"/>
              </w:rPr>
              <w:t>024672</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永赢价值回报混合A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永赢价值回报混合型证券投资基金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024673</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永赢价值回报混合C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永赢价值回报混合型证券投资基金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bookmarkEnd w:id="0"/>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024576</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永赢沪深300指数增强A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永赢沪深300指数增强型证券投资基金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024577</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永赢沪深300指数增强C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永赢沪深300指数增强型证券投资基金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025439</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永赢启航慧选混合A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永赢启航慧选混合型证券投资基金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025440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永赢启航慧选混合C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永赢启航慧选混合型证券投资基金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026440</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永赢价值核心混合A</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永赢价值核心混合型证券投资基金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r w:rsidR="00901F80" w:rsidRPr="00A03F6B" w:rsidTr="00A03F6B">
        <w:trPr>
          <w:trHeight w:val="276"/>
        </w:trPr>
        <w:tc>
          <w:tcPr>
            <w:tcW w:w="1134"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026441</w:t>
            </w:r>
          </w:p>
        </w:tc>
        <w:tc>
          <w:tcPr>
            <w:tcW w:w="1985"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永赢价值核心混合C</w:t>
            </w:r>
          </w:p>
        </w:tc>
        <w:tc>
          <w:tcPr>
            <w:tcW w:w="4111" w:type="dxa"/>
            <w:noWrap/>
            <w:vAlign w:val="center"/>
            <w:hideMark/>
          </w:tcPr>
          <w:p w:rsidR="00901F80" w:rsidRPr="00A03F6B" w:rsidRDefault="00901F80" w:rsidP="00901F80">
            <w:pPr>
              <w:autoSpaceDE w:val="0"/>
              <w:autoSpaceDN w:val="0"/>
              <w:adjustRightInd w:val="0"/>
              <w:spacing w:before="30"/>
              <w:jc w:val="left"/>
              <w:rPr>
                <w:rFonts w:ascii="宋体" w:eastAsia="宋体" w:hAnsi="Arial" w:cs="宋体"/>
                <w:kern w:val="0"/>
                <w:sz w:val="22"/>
              </w:rPr>
            </w:pPr>
            <w:r w:rsidRPr="00A03F6B">
              <w:rPr>
                <w:rFonts w:ascii="宋体" w:eastAsia="宋体" w:hAnsi="Arial" w:cs="宋体" w:hint="eastAsia"/>
                <w:kern w:val="0"/>
                <w:sz w:val="22"/>
              </w:rPr>
              <w:t>永赢价值核心混合型证券投资基金</w:t>
            </w:r>
          </w:p>
        </w:tc>
        <w:tc>
          <w:tcPr>
            <w:tcW w:w="1417"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R4中高风险</w:t>
            </w:r>
          </w:p>
        </w:tc>
        <w:tc>
          <w:tcPr>
            <w:tcW w:w="1418" w:type="dxa"/>
            <w:noWrap/>
            <w:vAlign w:val="center"/>
            <w:hideMark/>
          </w:tcPr>
          <w:p w:rsidR="00901F80" w:rsidRPr="00A03F6B" w:rsidRDefault="00901F80" w:rsidP="00901F80">
            <w:pPr>
              <w:autoSpaceDE w:val="0"/>
              <w:autoSpaceDN w:val="0"/>
              <w:adjustRightInd w:val="0"/>
              <w:spacing w:before="30"/>
              <w:jc w:val="center"/>
              <w:rPr>
                <w:rFonts w:ascii="宋体" w:eastAsia="宋体" w:hAnsi="Arial" w:cs="宋体"/>
                <w:kern w:val="0"/>
                <w:sz w:val="22"/>
              </w:rPr>
            </w:pPr>
            <w:r w:rsidRPr="00A03F6B">
              <w:rPr>
                <w:rFonts w:ascii="宋体" w:eastAsia="宋体" w:hAnsi="Arial" w:cs="宋体" w:hint="eastAsia"/>
                <w:kern w:val="0"/>
                <w:sz w:val="22"/>
              </w:rPr>
              <w:t>R3中等风险</w:t>
            </w:r>
          </w:p>
        </w:tc>
      </w:tr>
    </w:tbl>
    <w:p w:rsidR="00E9034D" w:rsidRDefault="00E9034D"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sidRPr="00E9034D">
        <w:rPr>
          <w:rFonts w:ascii="宋体" w:eastAsia="宋体" w:hAnsi="Arial" w:cs="宋体" w:hint="eastAsia"/>
          <w:kern w:val="0"/>
          <w:sz w:val="22"/>
          <w:szCs w:val="24"/>
        </w:rPr>
        <w:t>风险提示：</w:t>
      </w:r>
    </w:p>
    <w:p w:rsidR="00E9034D" w:rsidRDefault="00595DFB"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Pr>
          <w:rFonts w:ascii="宋体" w:eastAsia="宋体" w:hAnsi="Arial" w:cs="宋体" w:hint="eastAsia"/>
          <w:kern w:val="0"/>
          <w:sz w:val="22"/>
          <w:szCs w:val="24"/>
        </w:rPr>
        <w:t>1.</w:t>
      </w:r>
      <w:r w:rsidR="00E9034D" w:rsidRPr="00E9034D">
        <w:rPr>
          <w:rFonts w:ascii="宋体" w:eastAsia="宋体" w:hAnsi="Arial" w:cs="宋体" w:hint="eastAsia"/>
          <w:kern w:val="0"/>
          <w:sz w:val="22"/>
          <w:szCs w:val="24"/>
        </w:rPr>
        <w:t>销售机构(包括基金管理人直销机构和</w:t>
      </w:r>
      <w:r w:rsidR="00566D89" w:rsidRPr="00566D89">
        <w:rPr>
          <w:rFonts w:ascii="宋体" w:eastAsia="宋体" w:hAnsi="Arial" w:cs="宋体" w:hint="eastAsia"/>
          <w:kern w:val="0"/>
          <w:sz w:val="22"/>
          <w:szCs w:val="24"/>
        </w:rPr>
        <w:t>其他</w:t>
      </w:r>
      <w:r w:rsidR="00E9034D" w:rsidRPr="00E9034D">
        <w:rPr>
          <w:rFonts w:ascii="宋体" w:eastAsia="宋体" w:hAnsi="Arial" w:cs="宋体" w:hint="eastAsia"/>
          <w:kern w:val="0"/>
          <w:sz w:val="22"/>
          <w:szCs w:val="24"/>
        </w:rPr>
        <w:t>销</w:t>
      </w:r>
      <w:r w:rsidR="00566D89">
        <w:rPr>
          <w:rFonts w:ascii="宋体" w:eastAsia="宋体" w:hAnsi="Arial" w:cs="宋体" w:hint="eastAsia"/>
          <w:kern w:val="0"/>
          <w:sz w:val="22"/>
          <w:szCs w:val="24"/>
        </w:rPr>
        <w:t>售</w:t>
      </w:r>
      <w:r w:rsidR="00E9034D" w:rsidRPr="00E9034D">
        <w:rPr>
          <w:rFonts w:ascii="宋体" w:eastAsia="宋体" w:hAnsi="Arial" w:cs="宋体" w:hint="eastAsia"/>
          <w:kern w:val="0"/>
          <w:sz w:val="22"/>
          <w:szCs w:val="24"/>
        </w:rPr>
        <w:t>机构)根据投资者适当性法律法规对基金进行风险评价，不同的销售机构采用的评价方法不同，因此不同销售机构对基金的风险等级评价结果可能存在不同。</w:t>
      </w:r>
    </w:p>
    <w:p w:rsidR="00E9034D" w:rsidRDefault="00E9034D"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sidRPr="00E9034D">
        <w:rPr>
          <w:rFonts w:ascii="宋体" w:eastAsia="宋体" w:hAnsi="Arial" w:cs="宋体" w:hint="eastAsia"/>
          <w:kern w:val="0"/>
          <w:sz w:val="22"/>
          <w:szCs w:val="24"/>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3522BB" w:rsidRDefault="00E9034D"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sidRPr="00E9034D">
        <w:rPr>
          <w:rFonts w:ascii="宋体" w:eastAsia="宋体" w:hAnsi="Arial" w:cs="宋体" w:hint="eastAsia"/>
          <w:kern w:val="0"/>
          <w:sz w:val="22"/>
          <w:szCs w:val="24"/>
        </w:rPr>
        <w:t>3.基金管理人承诺以诚实信用、勤勉尽责的原则管理和运用基金资产，但不保证基金一定盈利，也不保证最低收益。</w:t>
      </w:r>
      <w:r w:rsidR="003E2744" w:rsidRPr="003E2744">
        <w:rPr>
          <w:rFonts w:ascii="宋体" w:eastAsia="宋体" w:hAnsi="Arial" w:cs="宋体" w:hint="eastAsia"/>
          <w:kern w:val="0"/>
          <w:sz w:val="22"/>
          <w:szCs w:val="24"/>
        </w:rPr>
        <w:t>基金的过往业绩及其净值高低并不预示其未来业绩表现，基金管理人管理的其他基金的业绩不构成对本基金业绩表现的保证。</w:t>
      </w:r>
      <w:r w:rsidR="003E2744" w:rsidRPr="00463624">
        <w:rPr>
          <w:rFonts w:ascii="Times New Roman" w:hAnsi="Times New Roman" w:cs="Times New Roman"/>
          <w:sz w:val="22"/>
        </w:rPr>
        <w:t>投资有风险，敬请投资者在投资基金前</w:t>
      </w:r>
      <w:r w:rsidRPr="00E9034D">
        <w:rPr>
          <w:rFonts w:ascii="宋体" w:eastAsia="宋体" w:hAnsi="Arial" w:cs="宋体" w:hint="eastAsia"/>
          <w:kern w:val="0"/>
          <w:sz w:val="22"/>
          <w:szCs w:val="24"/>
        </w:rPr>
        <w:t>认真阅读基金合同</w:t>
      </w:r>
      <w:r w:rsidR="003E2744">
        <w:rPr>
          <w:rFonts w:ascii="宋体" w:eastAsia="宋体" w:hAnsi="Arial" w:cs="宋体" w:hint="eastAsia"/>
          <w:kern w:val="0"/>
          <w:sz w:val="22"/>
          <w:szCs w:val="24"/>
        </w:rPr>
        <w:t>、</w:t>
      </w:r>
      <w:r w:rsidRPr="00E9034D">
        <w:rPr>
          <w:rFonts w:ascii="宋体" w:eastAsia="宋体" w:hAnsi="Arial" w:cs="宋体" w:hint="eastAsia"/>
          <w:kern w:val="0"/>
          <w:sz w:val="22"/>
          <w:szCs w:val="24"/>
        </w:rPr>
        <w:t>招募说明书</w:t>
      </w:r>
      <w:r w:rsidR="003E2744" w:rsidRPr="00463624">
        <w:rPr>
          <w:rFonts w:ascii="Times New Roman" w:hAnsi="Times New Roman" w:cs="Times New Roman"/>
          <w:sz w:val="22"/>
        </w:rPr>
        <w:t>、基金产品资料概要</w:t>
      </w:r>
      <w:r w:rsidRPr="00E9034D">
        <w:rPr>
          <w:rFonts w:ascii="宋体" w:eastAsia="宋体" w:hAnsi="Arial" w:cs="宋体" w:hint="eastAsia"/>
          <w:kern w:val="0"/>
          <w:sz w:val="22"/>
          <w:szCs w:val="24"/>
        </w:rPr>
        <w:t>等</w:t>
      </w:r>
      <w:r w:rsidR="003E2744">
        <w:rPr>
          <w:rFonts w:ascii="宋体" w:eastAsia="宋体" w:hAnsi="Arial" w:cs="宋体" w:hint="eastAsia"/>
          <w:kern w:val="0"/>
          <w:sz w:val="22"/>
          <w:szCs w:val="24"/>
        </w:rPr>
        <w:t>基金</w:t>
      </w:r>
      <w:r w:rsidRPr="00E9034D">
        <w:rPr>
          <w:rFonts w:ascii="宋体" w:eastAsia="宋体" w:hAnsi="Arial" w:cs="宋体" w:hint="eastAsia"/>
          <w:kern w:val="0"/>
          <w:sz w:val="22"/>
          <w:szCs w:val="24"/>
        </w:rPr>
        <w:t>法律文件，了解基金的风险收益特征，根据自身的风险承受能力</w:t>
      </w:r>
      <w:r w:rsidR="003E2744" w:rsidRPr="003E2744">
        <w:rPr>
          <w:rFonts w:ascii="宋体" w:eastAsia="宋体" w:hAnsi="Arial" w:cs="宋体" w:hint="eastAsia"/>
          <w:kern w:val="0"/>
          <w:sz w:val="22"/>
          <w:szCs w:val="24"/>
        </w:rPr>
        <w:t>选择适合自己的基金产品</w:t>
      </w:r>
      <w:r w:rsidRPr="00E9034D">
        <w:rPr>
          <w:rFonts w:ascii="宋体" w:eastAsia="宋体" w:hAnsi="Arial" w:cs="宋体" w:hint="eastAsia"/>
          <w:kern w:val="0"/>
          <w:sz w:val="22"/>
          <w:szCs w:val="24"/>
        </w:rPr>
        <w:t>，独立承担投资风险。</w:t>
      </w:r>
      <w:r w:rsidR="003E2744" w:rsidRPr="003E2744">
        <w:rPr>
          <w:rFonts w:ascii="宋体" w:eastAsia="宋体" w:hAnsi="Arial" w:cs="宋体" w:hint="eastAsia"/>
          <w:kern w:val="0"/>
          <w:sz w:val="22"/>
          <w:szCs w:val="24"/>
        </w:rPr>
        <w:t>敬请投资者在购买基金前认真考虑、谨慎决策。</w:t>
      </w:r>
    </w:p>
    <w:p w:rsidR="003E2744" w:rsidRDefault="00AB7ED8" w:rsidP="00E2260A">
      <w:pPr>
        <w:autoSpaceDE w:val="0"/>
        <w:autoSpaceDN w:val="0"/>
        <w:adjustRightInd w:val="0"/>
        <w:spacing w:before="30" w:line="360" w:lineRule="auto"/>
        <w:ind w:left="15" w:firstLineChars="200" w:firstLine="440"/>
        <w:rPr>
          <w:rFonts w:ascii="宋体" w:eastAsia="宋体" w:hAnsi="Arial" w:cs="宋体"/>
          <w:kern w:val="0"/>
          <w:sz w:val="22"/>
          <w:szCs w:val="24"/>
        </w:rPr>
      </w:pPr>
      <w:r>
        <w:rPr>
          <w:rFonts w:ascii="宋体" w:eastAsia="宋体" w:hAnsi="Arial" w:cs="宋体" w:hint="eastAsia"/>
          <w:kern w:val="0"/>
          <w:sz w:val="22"/>
          <w:szCs w:val="24"/>
        </w:rPr>
        <w:t>特此公告。</w:t>
      </w:r>
    </w:p>
    <w:p w:rsidR="003E2744" w:rsidRDefault="003E2744">
      <w:pPr>
        <w:autoSpaceDE w:val="0"/>
        <w:autoSpaceDN w:val="0"/>
        <w:adjustRightInd w:val="0"/>
        <w:spacing w:before="29"/>
        <w:ind w:left="15"/>
        <w:jc w:val="right"/>
        <w:rPr>
          <w:rFonts w:ascii="宋体" w:eastAsia="宋体" w:hAnsi="Arial" w:cs="宋体"/>
          <w:kern w:val="0"/>
          <w:sz w:val="22"/>
          <w:szCs w:val="24"/>
        </w:rPr>
      </w:pPr>
    </w:p>
    <w:p w:rsidR="00A03F6B" w:rsidRDefault="00A03F6B">
      <w:pPr>
        <w:autoSpaceDE w:val="0"/>
        <w:autoSpaceDN w:val="0"/>
        <w:adjustRightInd w:val="0"/>
        <w:spacing w:before="29"/>
        <w:ind w:left="15"/>
        <w:jc w:val="right"/>
        <w:rPr>
          <w:rFonts w:ascii="宋体" w:eastAsia="宋体" w:hAnsi="Arial" w:cs="宋体"/>
          <w:kern w:val="0"/>
          <w:sz w:val="22"/>
          <w:szCs w:val="24"/>
        </w:rPr>
      </w:pPr>
    </w:p>
    <w:p w:rsidR="003E2744" w:rsidRDefault="003E2744">
      <w:pPr>
        <w:autoSpaceDE w:val="0"/>
        <w:autoSpaceDN w:val="0"/>
        <w:adjustRightInd w:val="0"/>
        <w:spacing w:before="29"/>
        <w:ind w:left="15"/>
        <w:jc w:val="right"/>
        <w:rPr>
          <w:rFonts w:ascii="宋体" w:eastAsia="宋体" w:hAnsi="Arial" w:cs="宋体"/>
          <w:kern w:val="0"/>
          <w:sz w:val="22"/>
          <w:szCs w:val="24"/>
        </w:rPr>
      </w:pPr>
    </w:p>
    <w:p w:rsidR="001F028C" w:rsidRPr="00E2260A" w:rsidRDefault="004E233E">
      <w:pPr>
        <w:autoSpaceDE w:val="0"/>
        <w:autoSpaceDN w:val="0"/>
        <w:adjustRightInd w:val="0"/>
        <w:spacing w:before="29"/>
        <w:ind w:left="15"/>
        <w:jc w:val="right"/>
        <w:rPr>
          <w:rFonts w:ascii="宋体" w:eastAsia="宋体" w:hAnsi="Arial" w:cs="宋体"/>
          <w:kern w:val="0"/>
          <w:sz w:val="22"/>
          <w:szCs w:val="24"/>
        </w:rPr>
      </w:pPr>
      <w:r w:rsidRPr="00E2260A">
        <w:rPr>
          <w:rFonts w:ascii="宋体" w:eastAsia="宋体" w:hAnsi="Arial" w:cs="宋体" w:hint="eastAsia"/>
          <w:kern w:val="0"/>
          <w:sz w:val="22"/>
          <w:szCs w:val="24"/>
        </w:rPr>
        <w:t>永赢基金管理有限公司</w:t>
      </w:r>
    </w:p>
    <w:p w:rsidR="001F028C" w:rsidRPr="00E2260A" w:rsidRDefault="000B2436">
      <w:pPr>
        <w:autoSpaceDE w:val="0"/>
        <w:autoSpaceDN w:val="0"/>
        <w:adjustRightInd w:val="0"/>
        <w:spacing w:before="29"/>
        <w:ind w:left="15"/>
        <w:jc w:val="right"/>
        <w:rPr>
          <w:rFonts w:ascii="宋体" w:eastAsia="宋体" w:hAnsi="Arial" w:cs="宋体"/>
          <w:kern w:val="0"/>
          <w:sz w:val="22"/>
          <w:szCs w:val="24"/>
        </w:rPr>
      </w:pPr>
      <w:r>
        <w:rPr>
          <w:rFonts w:ascii="宋体" w:eastAsia="宋体" w:hAnsi="Arial" w:cs="宋体"/>
          <w:kern w:val="0"/>
          <w:sz w:val="22"/>
          <w:szCs w:val="24"/>
        </w:rPr>
        <w:t>202</w:t>
      </w:r>
      <w:r w:rsidR="00595DFB">
        <w:rPr>
          <w:rFonts w:ascii="宋体" w:eastAsia="宋体" w:hAnsi="Arial" w:cs="宋体"/>
          <w:kern w:val="0"/>
          <w:sz w:val="22"/>
          <w:szCs w:val="24"/>
        </w:rPr>
        <w:t>6</w:t>
      </w:r>
      <w:r w:rsidR="004E233E" w:rsidRPr="00E2260A">
        <w:rPr>
          <w:rFonts w:ascii="宋体" w:eastAsia="宋体" w:hAnsi="Arial" w:cs="宋体" w:hint="eastAsia"/>
          <w:kern w:val="0"/>
          <w:sz w:val="22"/>
          <w:szCs w:val="24"/>
        </w:rPr>
        <w:t>年</w:t>
      </w:r>
      <w:r w:rsidR="00595DFB">
        <w:rPr>
          <w:rFonts w:ascii="宋体" w:eastAsia="宋体" w:hAnsi="Arial" w:cs="宋体"/>
          <w:kern w:val="0"/>
          <w:sz w:val="22"/>
          <w:szCs w:val="24"/>
        </w:rPr>
        <w:t>1</w:t>
      </w:r>
      <w:r w:rsidR="004E233E" w:rsidRPr="00E2260A">
        <w:rPr>
          <w:rFonts w:ascii="宋体" w:eastAsia="宋体" w:hAnsi="Arial" w:cs="宋体" w:hint="eastAsia"/>
          <w:kern w:val="0"/>
          <w:sz w:val="22"/>
          <w:szCs w:val="24"/>
        </w:rPr>
        <w:t>月</w:t>
      </w:r>
      <w:r w:rsidR="00D1394D">
        <w:rPr>
          <w:rFonts w:ascii="宋体" w:eastAsia="宋体" w:hAnsi="Arial" w:cs="宋体"/>
          <w:kern w:val="0"/>
          <w:sz w:val="22"/>
          <w:szCs w:val="24"/>
        </w:rPr>
        <w:t>31</w:t>
      </w:r>
      <w:r w:rsidR="004E233E" w:rsidRPr="00E2260A">
        <w:rPr>
          <w:rFonts w:ascii="宋体" w:eastAsia="宋体" w:hAnsi="Arial" w:cs="宋体" w:hint="eastAsia"/>
          <w:kern w:val="0"/>
          <w:sz w:val="22"/>
          <w:szCs w:val="24"/>
        </w:rPr>
        <w:t>日</w:t>
      </w:r>
    </w:p>
    <w:sectPr w:rsidR="001F028C" w:rsidRPr="00E2260A" w:rsidSect="00B93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83" w:rsidRDefault="003F2483">
      <w:r>
        <w:separator/>
      </w:r>
    </w:p>
  </w:endnote>
  <w:endnote w:type="continuationSeparator" w:id="0">
    <w:p w:rsidR="003F2483" w:rsidRDefault="003F24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83" w:rsidRDefault="003F2483">
      <w:r>
        <w:separator/>
      </w:r>
    </w:p>
  </w:footnote>
  <w:footnote w:type="continuationSeparator" w:id="0">
    <w:p w:rsidR="003F2483" w:rsidRDefault="003F2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F78"/>
    <w:rsid w:val="000124F0"/>
    <w:rsid w:val="00013F91"/>
    <w:rsid w:val="0001651F"/>
    <w:rsid w:val="00024CEA"/>
    <w:rsid w:val="00077AD3"/>
    <w:rsid w:val="00082DD1"/>
    <w:rsid w:val="000A77E6"/>
    <w:rsid w:val="000A78BC"/>
    <w:rsid w:val="000B2436"/>
    <w:rsid w:val="000C065B"/>
    <w:rsid w:val="000C20CA"/>
    <w:rsid w:val="000D5965"/>
    <w:rsid w:val="000F3CEB"/>
    <w:rsid w:val="0011094B"/>
    <w:rsid w:val="001116B9"/>
    <w:rsid w:val="001347EE"/>
    <w:rsid w:val="00144FA6"/>
    <w:rsid w:val="00175AB1"/>
    <w:rsid w:val="00177381"/>
    <w:rsid w:val="001829E0"/>
    <w:rsid w:val="00191079"/>
    <w:rsid w:val="00195F78"/>
    <w:rsid w:val="001A7F34"/>
    <w:rsid w:val="001B3504"/>
    <w:rsid w:val="001C070C"/>
    <w:rsid w:val="001C29B0"/>
    <w:rsid w:val="001C6036"/>
    <w:rsid w:val="001C6704"/>
    <w:rsid w:val="001D3CCD"/>
    <w:rsid w:val="001E0974"/>
    <w:rsid w:val="001E2B6D"/>
    <w:rsid w:val="001F028C"/>
    <w:rsid w:val="001F4AED"/>
    <w:rsid w:val="0020072F"/>
    <w:rsid w:val="002165A9"/>
    <w:rsid w:val="002235DE"/>
    <w:rsid w:val="002269B0"/>
    <w:rsid w:val="0023031A"/>
    <w:rsid w:val="0023178F"/>
    <w:rsid w:val="002547DA"/>
    <w:rsid w:val="00295030"/>
    <w:rsid w:val="00295C0C"/>
    <w:rsid w:val="002A4236"/>
    <w:rsid w:val="002A6B42"/>
    <w:rsid w:val="002A7AFA"/>
    <w:rsid w:val="002C0469"/>
    <w:rsid w:val="002C2070"/>
    <w:rsid w:val="002C3164"/>
    <w:rsid w:val="002D4263"/>
    <w:rsid w:val="002D609D"/>
    <w:rsid w:val="002E1072"/>
    <w:rsid w:val="0032172F"/>
    <w:rsid w:val="0032182E"/>
    <w:rsid w:val="0032646F"/>
    <w:rsid w:val="003522BB"/>
    <w:rsid w:val="00362CD0"/>
    <w:rsid w:val="003716E6"/>
    <w:rsid w:val="003725A8"/>
    <w:rsid w:val="003736FC"/>
    <w:rsid w:val="00377B58"/>
    <w:rsid w:val="00383A23"/>
    <w:rsid w:val="00397B88"/>
    <w:rsid w:val="00397FDE"/>
    <w:rsid w:val="003A0A27"/>
    <w:rsid w:val="003A6165"/>
    <w:rsid w:val="003B6FD4"/>
    <w:rsid w:val="003C7017"/>
    <w:rsid w:val="003D00E4"/>
    <w:rsid w:val="003E2744"/>
    <w:rsid w:val="003E2A18"/>
    <w:rsid w:val="003F21FC"/>
    <w:rsid w:val="003F2483"/>
    <w:rsid w:val="00405115"/>
    <w:rsid w:val="00405E35"/>
    <w:rsid w:val="00420BB9"/>
    <w:rsid w:val="00420FD5"/>
    <w:rsid w:val="00431875"/>
    <w:rsid w:val="00433634"/>
    <w:rsid w:val="0044406D"/>
    <w:rsid w:val="00451122"/>
    <w:rsid w:val="004618B6"/>
    <w:rsid w:val="00484677"/>
    <w:rsid w:val="0048737B"/>
    <w:rsid w:val="004974CC"/>
    <w:rsid w:val="004A57C6"/>
    <w:rsid w:val="004B0974"/>
    <w:rsid w:val="004B0F4B"/>
    <w:rsid w:val="004B2749"/>
    <w:rsid w:val="004B3123"/>
    <w:rsid w:val="004D7C55"/>
    <w:rsid w:val="004E233E"/>
    <w:rsid w:val="004E4E42"/>
    <w:rsid w:val="004E5F2B"/>
    <w:rsid w:val="004F3651"/>
    <w:rsid w:val="00523D67"/>
    <w:rsid w:val="00542AD3"/>
    <w:rsid w:val="00546941"/>
    <w:rsid w:val="00546DFB"/>
    <w:rsid w:val="00557045"/>
    <w:rsid w:val="00557355"/>
    <w:rsid w:val="0056448D"/>
    <w:rsid w:val="005657F3"/>
    <w:rsid w:val="00566D89"/>
    <w:rsid w:val="00582C27"/>
    <w:rsid w:val="00595DFB"/>
    <w:rsid w:val="005A7216"/>
    <w:rsid w:val="005B2A49"/>
    <w:rsid w:val="005E062A"/>
    <w:rsid w:val="00604BA3"/>
    <w:rsid w:val="00610119"/>
    <w:rsid w:val="00615FA3"/>
    <w:rsid w:val="00617410"/>
    <w:rsid w:val="00635CFD"/>
    <w:rsid w:val="0063774A"/>
    <w:rsid w:val="00641090"/>
    <w:rsid w:val="006503C1"/>
    <w:rsid w:val="00664797"/>
    <w:rsid w:val="00666430"/>
    <w:rsid w:val="00683688"/>
    <w:rsid w:val="006914EB"/>
    <w:rsid w:val="00691939"/>
    <w:rsid w:val="0069298A"/>
    <w:rsid w:val="00693140"/>
    <w:rsid w:val="006B411E"/>
    <w:rsid w:val="006B6EB8"/>
    <w:rsid w:val="006C78F5"/>
    <w:rsid w:val="006D4E7E"/>
    <w:rsid w:val="006E1828"/>
    <w:rsid w:val="006E61BD"/>
    <w:rsid w:val="006F5A3E"/>
    <w:rsid w:val="006F5B76"/>
    <w:rsid w:val="00700F0A"/>
    <w:rsid w:val="00712F9C"/>
    <w:rsid w:val="00727E8D"/>
    <w:rsid w:val="00733D9A"/>
    <w:rsid w:val="00734178"/>
    <w:rsid w:val="00734191"/>
    <w:rsid w:val="00736221"/>
    <w:rsid w:val="00760527"/>
    <w:rsid w:val="007648DA"/>
    <w:rsid w:val="00766F0B"/>
    <w:rsid w:val="00767E7F"/>
    <w:rsid w:val="007708B9"/>
    <w:rsid w:val="00774A46"/>
    <w:rsid w:val="007A246C"/>
    <w:rsid w:val="007C4338"/>
    <w:rsid w:val="007E0816"/>
    <w:rsid w:val="007E0A6E"/>
    <w:rsid w:val="007F371A"/>
    <w:rsid w:val="007F3A8C"/>
    <w:rsid w:val="00803EB9"/>
    <w:rsid w:val="008061CF"/>
    <w:rsid w:val="008102DA"/>
    <w:rsid w:val="00821B5E"/>
    <w:rsid w:val="00841105"/>
    <w:rsid w:val="00850284"/>
    <w:rsid w:val="008507C5"/>
    <w:rsid w:val="00860101"/>
    <w:rsid w:val="00875287"/>
    <w:rsid w:val="0088290B"/>
    <w:rsid w:val="00893DB9"/>
    <w:rsid w:val="008A1626"/>
    <w:rsid w:val="008A255E"/>
    <w:rsid w:val="008A522A"/>
    <w:rsid w:val="008B278C"/>
    <w:rsid w:val="008B3243"/>
    <w:rsid w:val="008C60FB"/>
    <w:rsid w:val="008C6B66"/>
    <w:rsid w:val="008E5975"/>
    <w:rsid w:val="008F4B49"/>
    <w:rsid w:val="009001B4"/>
    <w:rsid w:val="009006C0"/>
    <w:rsid w:val="00901F80"/>
    <w:rsid w:val="0091598A"/>
    <w:rsid w:val="009174DC"/>
    <w:rsid w:val="009441AD"/>
    <w:rsid w:val="0094759F"/>
    <w:rsid w:val="009544F8"/>
    <w:rsid w:val="009727B9"/>
    <w:rsid w:val="00986ABA"/>
    <w:rsid w:val="009926A6"/>
    <w:rsid w:val="009943FA"/>
    <w:rsid w:val="009A3B6A"/>
    <w:rsid w:val="009A7E01"/>
    <w:rsid w:val="009C0093"/>
    <w:rsid w:val="009F3266"/>
    <w:rsid w:val="009F3F43"/>
    <w:rsid w:val="009F62BA"/>
    <w:rsid w:val="009F70DB"/>
    <w:rsid w:val="00A037C7"/>
    <w:rsid w:val="00A03F6B"/>
    <w:rsid w:val="00A21138"/>
    <w:rsid w:val="00A23D1C"/>
    <w:rsid w:val="00A400FB"/>
    <w:rsid w:val="00A44550"/>
    <w:rsid w:val="00A70D59"/>
    <w:rsid w:val="00A81431"/>
    <w:rsid w:val="00A83AE8"/>
    <w:rsid w:val="00A83CBB"/>
    <w:rsid w:val="00AA1D5D"/>
    <w:rsid w:val="00AA2D6E"/>
    <w:rsid w:val="00AB1B02"/>
    <w:rsid w:val="00AB7ED8"/>
    <w:rsid w:val="00AC5863"/>
    <w:rsid w:val="00AF2AFA"/>
    <w:rsid w:val="00AF70E2"/>
    <w:rsid w:val="00B06C06"/>
    <w:rsid w:val="00B13050"/>
    <w:rsid w:val="00B14028"/>
    <w:rsid w:val="00B354CE"/>
    <w:rsid w:val="00B35F06"/>
    <w:rsid w:val="00B41F52"/>
    <w:rsid w:val="00B44EC0"/>
    <w:rsid w:val="00B45107"/>
    <w:rsid w:val="00B54384"/>
    <w:rsid w:val="00B637BD"/>
    <w:rsid w:val="00B6481D"/>
    <w:rsid w:val="00B663BD"/>
    <w:rsid w:val="00B67DA0"/>
    <w:rsid w:val="00B76A13"/>
    <w:rsid w:val="00B83DA5"/>
    <w:rsid w:val="00B93EEB"/>
    <w:rsid w:val="00BC68BB"/>
    <w:rsid w:val="00BC7CE8"/>
    <w:rsid w:val="00BD42C2"/>
    <w:rsid w:val="00BD4E78"/>
    <w:rsid w:val="00BE1CEE"/>
    <w:rsid w:val="00BE7234"/>
    <w:rsid w:val="00BF33B9"/>
    <w:rsid w:val="00BF64ED"/>
    <w:rsid w:val="00C06701"/>
    <w:rsid w:val="00C223FE"/>
    <w:rsid w:val="00C27D12"/>
    <w:rsid w:val="00C42DED"/>
    <w:rsid w:val="00C54CC8"/>
    <w:rsid w:val="00C6187A"/>
    <w:rsid w:val="00C67003"/>
    <w:rsid w:val="00C7136F"/>
    <w:rsid w:val="00C91B25"/>
    <w:rsid w:val="00CA536F"/>
    <w:rsid w:val="00CB50BC"/>
    <w:rsid w:val="00CB6ADE"/>
    <w:rsid w:val="00D02434"/>
    <w:rsid w:val="00D047D4"/>
    <w:rsid w:val="00D1394D"/>
    <w:rsid w:val="00D170D9"/>
    <w:rsid w:val="00D270A2"/>
    <w:rsid w:val="00D2715E"/>
    <w:rsid w:val="00D33626"/>
    <w:rsid w:val="00D409D7"/>
    <w:rsid w:val="00D52898"/>
    <w:rsid w:val="00D534FA"/>
    <w:rsid w:val="00D56960"/>
    <w:rsid w:val="00D62CDB"/>
    <w:rsid w:val="00D67669"/>
    <w:rsid w:val="00D907F6"/>
    <w:rsid w:val="00D917A0"/>
    <w:rsid w:val="00DA7765"/>
    <w:rsid w:val="00DB28CA"/>
    <w:rsid w:val="00DB33DB"/>
    <w:rsid w:val="00DB705F"/>
    <w:rsid w:val="00DC7488"/>
    <w:rsid w:val="00DE3E24"/>
    <w:rsid w:val="00DE4753"/>
    <w:rsid w:val="00DF7BB1"/>
    <w:rsid w:val="00E071FA"/>
    <w:rsid w:val="00E1680B"/>
    <w:rsid w:val="00E2260A"/>
    <w:rsid w:val="00E2623D"/>
    <w:rsid w:val="00E37EBD"/>
    <w:rsid w:val="00E472EC"/>
    <w:rsid w:val="00E5011C"/>
    <w:rsid w:val="00E574BA"/>
    <w:rsid w:val="00E62151"/>
    <w:rsid w:val="00E75C8E"/>
    <w:rsid w:val="00E76720"/>
    <w:rsid w:val="00E86D95"/>
    <w:rsid w:val="00E9034D"/>
    <w:rsid w:val="00E94C20"/>
    <w:rsid w:val="00EA278A"/>
    <w:rsid w:val="00EB441F"/>
    <w:rsid w:val="00F07D29"/>
    <w:rsid w:val="00F17A18"/>
    <w:rsid w:val="00F26D38"/>
    <w:rsid w:val="00F26F9D"/>
    <w:rsid w:val="00F27A75"/>
    <w:rsid w:val="00F422AF"/>
    <w:rsid w:val="00F440CD"/>
    <w:rsid w:val="00F51862"/>
    <w:rsid w:val="00F54374"/>
    <w:rsid w:val="00F557D9"/>
    <w:rsid w:val="00F95910"/>
    <w:rsid w:val="00FA60EA"/>
    <w:rsid w:val="00FB51EA"/>
    <w:rsid w:val="00FC72E4"/>
    <w:rsid w:val="00FD082B"/>
    <w:rsid w:val="00FD1358"/>
    <w:rsid w:val="00FD1A5E"/>
    <w:rsid w:val="00FD24B3"/>
    <w:rsid w:val="00FD25E1"/>
    <w:rsid w:val="00FD284D"/>
    <w:rsid w:val="00FD36EE"/>
    <w:rsid w:val="00FE3526"/>
    <w:rsid w:val="00FE3F29"/>
    <w:rsid w:val="00FF1B55"/>
    <w:rsid w:val="66681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93EEB"/>
    <w:pPr>
      <w:jc w:val="left"/>
    </w:pPr>
  </w:style>
  <w:style w:type="paragraph" w:styleId="a4">
    <w:name w:val="endnote text"/>
    <w:basedOn w:val="a"/>
    <w:link w:val="Char0"/>
    <w:uiPriority w:val="99"/>
    <w:semiHidden/>
    <w:unhideWhenUsed/>
    <w:rsid w:val="00B93EEB"/>
    <w:pPr>
      <w:snapToGrid w:val="0"/>
      <w:jc w:val="left"/>
    </w:pPr>
  </w:style>
  <w:style w:type="paragraph" w:styleId="a5">
    <w:name w:val="Balloon Text"/>
    <w:basedOn w:val="a"/>
    <w:link w:val="Char1"/>
    <w:uiPriority w:val="99"/>
    <w:semiHidden/>
    <w:unhideWhenUsed/>
    <w:rsid w:val="00B93EEB"/>
    <w:rPr>
      <w:sz w:val="18"/>
      <w:szCs w:val="18"/>
    </w:rPr>
  </w:style>
  <w:style w:type="paragraph" w:styleId="a6">
    <w:name w:val="footer"/>
    <w:basedOn w:val="a"/>
    <w:link w:val="Char2"/>
    <w:uiPriority w:val="99"/>
    <w:unhideWhenUsed/>
    <w:rsid w:val="00B93EEB"/>
    <w:pPr>
      <w:tabs>
        <w:tab w:val="center" w:pos="4153"/>
        <w:tab w:val="right" w:pos="8306"/>
      </w:tabs>
      <w:snapToGrid w:val="0"/>
      <w:jc w:val="left"/>
    </w:pPr>
    <w:rPr>
      <w:sz w:val="18"/>
      <w:szCs w:val="18"/>
    </w:rPr>
  </w:style>
  <w:style w:type="paragraph" w:styleId="a7">
    <w:name w:val="header"/>
    <w:basedOn w:val="a"/>
    <w:link w:val="Char3"/>
    <w:uiPriority w:val="99"/>
    <w:unhideWhenUsed/>
    <w:rsid w:val="00B93EEB"/>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B93EEB"/>
    <w:pPr>
      <w:snapToGrid w:val="0"/>
      <w:jc w:val="left"/>
    </w:pPr>
    <w:rPr>
      <w:sz w:val="18"/>
      <w:szCs w:val="18"/>
    </w:rPr>
  </w:style>
  <w:style w:type="paragraph" w:styleId="a9">
    <w:name w:val="annotation subject"/>
    <w:basedOn w:val="a3"/>
    <w:next w:val="a3"/>
    <w:link w:val="Char5"/>
    <w:uiPriority w:val="99"/>
    <w:semiHidden/>
    <w:unhideWhenUsed/>
    <w:rsid w:val="00B93EEB"/>
    <w:rPr>
      <w:b/>
      <w:bCs/>
    </w:rPr>
  </w:style>
  <w:style w:type="character" w:styleId="aa">
    <w:name w:val="endnote reference"/>
    <w:basedOn w:val="a0"/>
    <w:uiPriority w:val="99"/>
    <w:semiHidden/>
    <w:unhideWhenUsed/>
    <w:rsid w:val="00B93EEB"/>
    <w:rPr>
      <w:vertAlign w:val="superscript"/>
    </w:rPr>
  </w:style>
  <w:style w:type="character" w:styleId="ab">
    <w:name w:val="annotation reference"/>
    <w:basedOn w:val="a0"/>
    <w:uiPriority w:val="99"/>
    <w:semiHidden/>
    <w:unhideWhenUsed/>
    <w:rsid w:val="00B93EEB"/>
    <w:rPr>
      <w:sz w:val="21"/>
      <w:szCs w:val="21"/>
    </w:rPr>
  </w:style>
  <w:style w:type="character" w:styleId="ac">
    <w:name w:val="footnote reference"/>
    <w:basedOn w:val="a0"/>
    <w:uiPriority w:val="99"/>
    <w:semiHidden/>
    <w:unhideWhenUsed/>
    <w:rsid w:val="00B93EEB"/>
    <w:rPr>
      <w:vertAlign w:val="superscript"/>
    </w:rPr>
  </w:style>
  <w:style w:type="character" w:customStyle="1" w:styleId="Char3">
    <w:name w:val="页眉 Char"/>
    <w:basedOn w:val="a0"/>
    <w:link w:val="a7"/>
    <w:uiPriority w:val="99"/>
    <w:rsid w:val="00B93EEB"/>
    <w:rPr>
      <w:sz w:val="18"/>
      <w:szCs w:val="18"/>
    </w:rPr>
  </w:style>
  <w:style w:type="character" w:customStyle="1" w:styleId="Char2">
    <w:name w:val="页脚 Char"/>
    <w:basedOn w:val="a0"/>
    <w:link w:val="a6"/>
    <w:uiPriority w:val="99"/>
    <w:rsid w:val="00B93EEB"/>
    <w:rPr>
      <w:sz w:val="18"/>
      <w:szCs w:val="18"/>
    </w:rPr>
  </w:style>
  <w:style w:type="character" w:customStyle="1" w:styleId="Char1">
    <w:name w:val="批注框文本 Char"/>
    <w:basedOn w:val="a0"/>
    <w:link w:val="a5"/>
    <w:uiPriority w:val="99"/>
    <w:semiHidden/>
    <w:rsid w:val="00B93EEB"/>
    <w:rPr>
      <w:sz w:val="18"/>
      <w:szCs w:val="18"/>
    </w:rPr>
  </w:style>
  <w:style w:type="character" w:customStyle="1" w:styleId="Char">
    <w:name w:val="批注文字 Char"/>
    <w:basedOn w:val="a0"/>
    <w:link w:val="a3"/>
    <w:uiPriority w:val="99"/>
    <w:rsid w:val="00B93EEB"/>
  </w:style>
  <w:style w:type="character" w:customStyle="1" w:styleId="Char5">
    <w:name w:val="批注主题 Char"/>
    <w:basedOn w:val="Char"/>
    <w:link w:val="a9"/>
    <w:uiPriority w:val="99"/>
    <w:semiHidden/>
    <w:rsid w:val="00B93EEB"/>
    <w:rPr>
      <w:b/>
      <w:bCs/>
    </w:rPr>
  </w:style>
  <w:style w:type="character" w:customStyle="1" w:styleId="Char4">
    <w:name w:val="脚注文本 Char"/>
    <w:basedOn w:val="a0"/>
    <w:link w:val="a8"/>
    <w:uiPriority w:val="99"/>
    <w:semiHidden/>
    <w:rsid w:val="00B93EEB"/>
    <w:rPr>
      <w:sz w:val="18"/>
      <w:szCs w:val="18"/>
    </w:rPr>
  </w:style>
  <w:style w:type="character" w:customStyle="1" w:styleId="Char0">
    <w:name w:val="尾注文本 Char"/>
    <w:basedOn w:val="a0"/>
    <w:link w:val="a4"/>
    <w:uiPriority w:val="99"/>
    <w:semiHidden/>
    <w:rsid w:val="00B93EEB"/>
  </w:style>
  <w:style w:type="paragraph" w:styleId="ad">
    <w:name w:val="List Paragraph"/>
    <w:basedOn w:val="a"/>
    <w:uiPriority w:val="99"/>
    <w:rsid w:val="00BD42C2"/>
    <w:pPr>
      <w:ind w:firstLineChars="200" w:firstLine="420"/>
    </w:pPr>
  </w:style>
  <w:style w:type="table" w:styleId="ae">
    <w:name w:val="Table Grid"/>
    <w:basedOn w:val="a1"/>
    <w:uiPriority w:val="59"/>
    <w:rsid w:val="0035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8125208">
      <w:bodyDiv w:val="1"/>
      <w:marLeft w:val="0"/>
      <w:marRight w:val="0"/>
      <w:marTop w:val="0"/>
      <w:marBottom w:val="0"/>
      <w:divBdr>
        <w:top w:val="none" w:sz="0" w:space="0" w:color="auto"/>
        <w:left w:val="none" w:sz="0" w:space="0" w:color="auto"/>
        <w:bottom w:val="none" w:sz="0" w:space="0" w:color="auto"/>
        <w:right w:val="none" w:sz="0" w:space="0" w:color="auto"/>
      </w:divBdr>
    </w:div>
    <w:div w:id="1093084553">
      <w:bodyDiv w:val="1"/>
      <w:marLeft w:val="0"/>
      <w:marRight w:val="0"/>
      <w:marTop w:val="0"/>
      <w:marBottom w:val="0"/>
      <w:divBdr>
        <w:top w:val="none" w:sz="0" w:space="0" w:color="auto"/>
        <w:left w:val="none" w:sz="0" w:space="0" w:color="auto"/>
        <w:bottom w:val="none" w:sz="0" w:space="0" w:color="auto"/>
        <w:right w:val="none" w:sz="0" w:space="0" w:color="auto"/>
      </w:divBdr>
    </w:div>
    <w:div w:id="1647591867">
      <w:bodyDiv w:val="1"/>
      <w:marLeft w:val="0"/>
      <w:marRight w:val="0"/>
      <w:marTop w:val="0"/>
      <w:marBottom w:val="0"/>
      <w:divBdr>
        <w:top w:val="none" w:sz="0" w:space="0" w:color="auto"/>
        <w:left w:val="none" w:sz="0" w:space="0" w:color="auto"/>
        <w:bottom w:val="none" w:sz="0" w:space="0" w:color="auto"/>
        <w:right w:val="none" w:sz="0" w:space="0" w:color="auto"/>
      </w:divBdr>
    </w:div>
    <w:div w:id="1753620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51289-73F2-45BA-96A2-C1EEE735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5631</Characters>
  <Application>Microsoft Office Word</Application>
  <DocSecurity>4</DocSecurity>
  <Lines>46</Lines>
  <Paragraphs>13</Paragraphs>
  <ScaleCrop>false</ScaleCrop>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dc:creator>
  <cp:lastModifiedBy>ZHONGM</cp:lastModifiedBy>
  <cp:revision>2</cp:revision>
  <cp:lastPrinted>2018-10-17T07:42:00Z</cp:lastPrinted>
  <dcterms:created xsi:type="dcterms:W3CDTF">2026-01-30T16:01:00Z</dcterms:created>
  <dcterms:modified xsi:type="dcterms:W3CDTF">2026-01-30T16:01:00Z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