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A47FD" w:rsidRDefault="00FA47FD">
      <w:pPr>
        <w:pStyle w:val="XBRL2"/>
        <w:spacing w:before="156"/>
        <w:rPr>
          <w:lang w:eastAsia="zh-CN"/>
        </w:rPr>
      </w:pPr>
      <w:bookmarkStart w:id="0" w:name="_Toc510201001"/>
      <w:bookmarkEnd w:id="0"/>
      <w:r>
        <w:rPr>
          <w:lang w:eastAsia="zh-CN"/>
        </w:rPr>
        <w:t xml:space="preserve">　</w:t>
      </w:r>
      <w:r>
        <w:rPr>
          <w:lang w:eastAsia="zh-CN"/>
        </w:rPr>
        <w:t xml:space="preserve"> </w:t>
      </w:r>
    </w:p>
    <w:p w:rsidR="00FA47FD" w:rsidRDefault="00FA47FD">
      <w:pPr>
        <w:jc w:val="center"/>
      </w:pPr>
      <w:r>
        <w:rPr>
          <w:rFonts w:cs="Times New Roman" w:hint="eastAsia"/>
          <w:b/>
          <w:sz w:val="48"/>
          <w:szCs w:val="48"/>
        </w:rPr>
        <w:t>银河睿鑫纯债债券型证券投资基金恢复并限制大额申购、转换转入和定期定额投资业务的公告</w:t>
      </w:r>
    </w:p>
    <w:p w:rsidR="00FA47FD" w:rsidRDefault="00FA47FD">
      <w:pPr>
        <w:spacing w:line="560" w:lineRule="exact"/>
        <w:jc w:val="center"/>
        <w:rPr>
          <w:rFonts w:hint="eastAsia"/>
          <w:color w:val="000000"/>
          <w:kern w:val="0"/>
          <w:sz w:val="18"/>
        </w:rPr>
      </w:pPr>
      <w:r>
        <w:rPr>
          <w:rFonts w:hint="eastAsia"/>
          <w:color w:val="000000"/>
          <w:kern w:val="0"/>
          <w:sz w:val="18"/>
        </w:rPr>
        <w:t xml:space="preserve">　 </w:t>
      </w:r>
    </w:p>
    <w:p w:rsidR="00FA47FD" w:rsidRDefault="00FA47FD">
      <w:pPr>
        <w:spacing w:line="560" w:lineRule="exact"/>
        <w:jc w:val="center"/>
        <w:rPr>
          <w:rFonts w:hint="eastAsia"/>
          <w:color w:val="000000"/>
          <w:kern w:val="0"/>
          <w:sz w:val="18"/>
        </w:rPr>
      </w:pPr>
      <w:r>
        <w:rPr>
          <w:rFonts w:hint="eastAsia"/>
          <w:color w:val="000000"/>
          <w:kern w:val="0"/>
          <w:sz w:val="18"/>
        </w:rPr>
        <w:t xml:space="preserve">　 </w:t>
      </w:r>
    </w:p>
    <w:p w:rsidR="00FA47FD" w:rsidRDefault="00FA47FD">
      <w:pPr>
        <w:spacing w:line="560" w:lineRule="exact"/>
        <w:jc w:val="center"/>
        <w:rPr>
          <w:rFonts w:hint="eastAsia"/>
          <w:color w:val="000000"/>
          <w:kern w:val="0"/>
          <w:sz w:val="18"/>
        </w:rPr>
      </w:pPr>
      <w:r>
        <w:rPr>
          <w:rFonts w:hint="eastAsia"/>
          <w:color w:val="000000"/>
          <w:kern w:val="0"/>
          <w:sz w:val="18"/>
        </w:rPr>
        <w:t xml:space="preserve">　 </w:t>
      </w:r>
    </w:p>
    <w:p w:rsidR="00FA47FD" w:rsidRDefault="00FA47FD">
      <w:pPr>
        <w:spacing w:line="560" w:lineRule="exact"/>
        <w:jc w:val="center"/>
        <w:rPr>
          <w:rFonts w:hint="eastAsia"/>
          <w:color w:val="000000"/>
          <w:kern w:val="0"/>
          <w:sz w:val="18"/>
        </w:rPr>
      </w:pPr>
      <w:r>
        <w:rPr>
          <w:rFonts w:hint="eastAsia"/>
          <w:color w:val="000000"/>
          <w:kern w:val="0"/>
          <w:sz w:val="18"/>
        </w:rPr>
        <w:t xml:space="preserve">　 </w:t>
      </w:r>
    </w:p>
    <w:p w:rsidR="00FA47FD" w:rsidRDefault="00FA47FD">
      <w:pPr>
        <w:spacing w:line="560" w:lineRule="exact"/>
        <w:jc w:val="center"/>
        <w:rPr>
          <w:rFonts w:hint="eastAsia"/>
          <w:color w:val="000000"/>
          <w:kern w:val="0"/>
          <w:sz w:val="18"/>
        </w:rPr>
      </w:pPr>
      <w:r>
        <w:rPr>
          <w:rFonts w:hint="eastAsia"/>
          <w:color w:val="000000"/>
          <w:kern w:val="0"/>
          <w:sz w:val="18"/>
        </w:rPr>
        <w:t xml:space="preserve">　 </w:t>
      </w:r>
    </w:p>
    <w:p w:rsidR="00FA47FD" w:rsidRDefault="00FA47FD">
      <w:pPr>
        <w:spacing w:line="560" w:lineRule="exact"/>
        <w:jc w:val="center"/>
        <w:rPr>
          <w:rFonts w:hint="eastAsia"/>
          <w:color w:val="000000"/>
          <w:kern w:val="0"/>
          <w:sz w:val="18"/>
        </w:rPr>
      </w:pPr>
      <w:r>
        <w:rPr>
          <w:rFonts w:hint="eastAsia"/>
          <w:color w:val="000000"/>
          <w:kern w:val="0"/>
          <w:sz w:val="18"/>
        </w:rPr>
        <w:t xml:space="preserve">　 </w:t>
      </w:r>
    </w:p>
    <w:p w:rsidR="00FA47FD" w:rsidRDefault="00FA47FD">
      <w:pPr>
        <w:spacing w:line="560" w:lineRule="exact"/>
        <w:jc w:val="center"/>
        <w:rPr>
          <w:rFonts w:hint="eastAsia"/>
          <w:color w:val="000000"/>
          <w:kern w:val="0"/>
          <w:sz w:val="18"/>
        </w:rPr>
      </w:pPr>
      <w:r>
        <w:rPr>
          <w:rFonts w:hint="eastAsia"/>
          <w:color w:val="000000"/>
          <w:kern w:val="0"/>
          <w:sz w:val="18"/>
        </w:rPr>
        <w:t xml:space="preserve">　 </w:t>
      </w:r>
    </w:p>
    <w:p w:rsidR="00FA47FD" w:rsidRDefault="00FA47FD">
      <w:pPr>
        <w:spacing w:line="560" w:lineRule="exact"/>
        <w:jc w:val="center"/>
        <w:rPr>
          <w:rFonts w:hint="eastAsia"/>
          <w:color w:val="000000"/>
          <w:kern w:val="0"/>
          <w:sz w:val="18"/>
        </w:rPr>
      </w:pPr>
      <w:r>
        <w:rPr>
          <w:rFonts w:hint="eastAsia"/>
          <w:color w:val="000000"/>
          <w:kern w:val="0"/>
          <w:sz w:val="18"/>
        </w:rPr>
        <w:t xml:space="preserve">　 </w:t>
      </w:r>
    </w:p>
    <w:p w:rsidR="00FA47FD" w:rsidRDefault="00FA47FD">
      <w:pPr>
        <w:spacing w:line="560" w:lineRule="exact"/>
        <w:jc w:val="center"/>
        <w:rPr>
          <w:rFonts w:hint="eastAsia"/>
          <w:color w:val="000000"/>
          <w:kern w:val="0"/>
          <w:sz w:val="18"/>
        </w:rPr>
      </w:pPr>
      <w:r>
        <w:rPr>
          <w:rFonts w:hint="eastAsia"/>
          <w:color w:val="000000"/>
          <w:kern w:val="0"/>
          <w:sz w:val="18"/>
        </w:rPr>
        <w:t xml:space="preserve">　 </w:t>
      </w:r>
    </w:p>
    <w:p w:rsidR="00FA47FD" w:rsidRDefault="00FA47FD">
      <w:pPr>
        <w:spacing w:line="560" w:lineRule="exact"/>
        <w:jc w:val="center"/>
        <w:rPr>
          <w:rFonts w:hint="eastAsia"/>
          <w:color w:val="000000"/>
          <w:kern w:val="0"/>
          <w:sz w:val="18"/>
        </w:rPr>
      </w:pPr>
      <w:r>
        <w:rPr>
          <w:rFonts w:hint="eastAsia"/>
          <w:color w:val="000000"/>
          <w:kern w:val="0"/>
          <w:sz w:val="18"/>
        </w:rPr>
        <w:t xml:space="preserve">　 </w:t>
      </w:r>
    </w:p>
    <w:p w:rsidR="00FA47FD" w:rsidRDefault="00FA47FD">
      <w:pPr>
        <w:spacing w:line="560" w:lineRule="exact"/>
        <w:jc w:val="center"/>
        <w:rPr>
          <w:rFonts w:hint="eastAsia"/>
          <w:color w:val="000000"/>
          <w:kern w:val="0"/>
          <w:sz w:val="18"/>
        </w:rPr>
      </w:pPr>
      <w:r>
        <w:rPr>
          <w:rFonts w:hint="eastAsia"/>
          <w:color w:val="000000"/>
          <w:kern w:val="0"/>
          <w:sz w:val="18"/>
        </w:rPr>
        <w:t xml:space="preserve">　 </w:t>
      </w:r>
    </w:p>
    <w:p w:rsidR="00FA47FD" w:rsidRDefault="00FA47FD">
      <w:pPr>
        <w:spacing w:line="560" w:lineRule="exact"/>
        <w:jc w:val="center"/>
        <w:rPr>
          <w:rFonts w:hint="eastAsia"/>
          <w:color w:val="000000"/>
          <w:kern w:val="0"/>
          <w:sz w:val="18"/>
        </w:rPr>
      </w:pPr>
      <w:r>
        <w:rPr>
          <w:rFonts w:hint="eastAsia"/>
          <w:color w:val="000000"/>
          <w:kern w:val="0"/>
          <w:sz w:val="18"/>
        </w:rPr>
        <w:t xml:space="preserve">　 </w:t>
      </w:r>
    </w:p>
    <w:p w:rsidR="00FA47FD" w:rsidRDefault="00FA47FD">
      <w:pPr>
        <w:spacing w:line="560" w:lineRule="exact"/>
        <w:jc w:val="center"/>
        <w:rPr>
          <w:rFonts w:hint="eastAsia"/>
          <w:color w:val="000000"/>
          <w:kern w:val="0"/>
          <w:sz w:val="18"/>
        </w:rPr>
      </w:pPr>
      <w:r>
        <w:rPr>
          <w:rFonts w:hint="eastAsia"/>
          <w:color w:val="000000"/>
          <w:kern w:val="0"/>
          <w:sz w:val="18"/>
        </w:rPr>
        <w:t xml:space="preserve">　 </w:t>
      </w:r>
    </w:p>
    <w:p w:rsidR="00FA47FD" w:rsidRDefault="00FA47FD">
      <w:pPr>
        <w:spacing w:line="360" w:lineRule="auto"/>
        <w:jc w:val="center"/>
        <w:rPr>
          <w:rFonts w:hint="eastAsia"/>
        </w:rPr>
      </w:pPr>
      <w:r>
        <w:rPr>
          <w:rFonts w:hint="eastAsia"/>
          <w:b/>
          <w:bCs/>
          <w:sz w:val="24"/>
          <w:szCs w:val="30"/>
        </w:rPr>
        <w:t>公告送出日期：2026年1月31日</w:t>
      </w:r>
    </w:p>
    <w:p w:rsidR="00FA47FD" w:rsidRDefault="00FA47FD">
      <w:pPr>
        <w:pStyle w:val="XBRLTitle1"/>
        <w:spacing w:before="156"/>
        <w:ind w:left="425"/>
        <w:jc w:val="left"/>
        <w:rPr>
          <w:rFonts w:hint="eastAsia"/>
        </w:rPr>
      </w:pPr>
      <w:r>
        <w:rPr>
          <w:rFonts w:hint="eastAsia"/>
          <w:b w:val="0"/>
          <w:bCs w:val="0"/>
          <w:color w:val="404040"/>
          <w:kern w:val="0"/>
        </w:rPr>
        <w:br w:type="page"/>
      </w:r>
      <w:bookmarkStart w:id="1" w:name="_Toc34322059"/>
      <w:bookmarkStart w:id="2" w:name="_Toc513295892"/>
      <w:bookmarkStart w:id="3" w:name="_Toc513295846"/>
      <w:bookmarkStart w:id="4" w:name="_Toc490050000"/>
      <w:bookmarkStart w:id="5" w:name="_Toc438646451"/>
      <w:bookmarkStart w:id="6" w:name="_Toc481075046"/>
      <w:bookmarkStart w:id="7" w:name="_Toc512519480"/>
      <w:bookmarkStart w:id="8" w:name="_Toc17897936"/>
      <w:bookmarkStart w:id="9" w:name="_Toc17898178"/>
      <w:bookmarkStart w:id="10" w:name="_Toc194311890"/>
      <w:bookmarkStart w:id="11" w:name="m01_01"/>
      <w:bookmarkStart w:id="12" w:name="m101"/>
      <w:r>
        <w:rPr>
          <w:rFonts w:hint="eastAsia"/>
          <w:szCs w:val="24"/>
        </w:rPr>
        <w:lastRenderedPageBreak/>
        <w:t>公告基本信息</w:t>
      </w:r>
      <w:bookmarkEnd w:id="1"/>
      <w:bookmarkEnd w:id="2"/>
      <w:bookmarkEnd w:id="3"/>
      <w:bookmarkEnd w:id="4"/>
      <w:bookmarkEnd w:id="5"/>
      <w:bookmarkEnd w:id="6"/>
      <w:bookmarkEnd w:id="7"/>
      <w:bookmarkEnd w:id="8"/>
      <w:bookmarkEnd w:id="9"/>
      <w:r>
        <w:rPr>
          <w:rFonts w:hint="eastAsia"/>
          <w:szCs w:val="24"/>
        </w:rPr>
        <w:t xml:space="preserve"> </w:t>
      </w:r>
      <w:bookmarkEnd w:id="10"/>
      <w:bookmarkEnd w:id="11"/>
      <w:bookmarkEnd w:id="12"/>
    </w:p>
    <w:tbl>
      <w:tblPr>
        <w:tblW w:w="0" w:type="auto"/>
        <w:tblBorders>
          <w:top w:val="single" w:sz="4" w:space="0" w:color="000000"/>
          <w:left w:val="single" w:sz="4" w:space="0" w:color="000000"/>
          <w:bottom w:val="single" w:sz="4" w:space="0" w:color="000000"/>
          <w:right w:val="single" w:sz="4" w:space="0" w:color="000000"/>
        </w:tblBorders>
        <w:tblLayout w:type="fixed"/>
        <w:tblLook w:val="04A0"/>
      </w:tblPr>
      <w:tblGrid>
        <w:gridCol w:w="1384"/>
        <w:gridCol w:w="2977"/>
        <w:gridCol w:w="4161"/>
      </w:tblGrid>
      <w:tr w:rsidR="00FA47FD" w:rsidTr="00A147E9">
        <w:tc>
          <w:tcPr>
            <w:tcW w:w="4361" w:type="dxa"/>
            <w:gridSpan w:val="2"/>
            <w:tcBorders>
              <w:top w:val="single" w:sz="4" w:space="0" w:color="000000"/>
              <w:left w:val="single" w:sz="4" w:space="0" w:color="000000"/>
              <w:bottom w:val="single" w:sz="4" w:space="0" w:color="000000"/>
              <w:right w:val="single" w:sz="4" w:space="0" w:color="000000"/>
            </w:tcBorders>
            <w:vAlign w:val="center"/>
            <w:hideMark/>
          </w:tcPr>
          <w:p w:rsidR="00FA47FD" w:rsidRDefault="00FA47FD">
            <w:pPr>
              <w:rPr>
                <w:rFonts w:hint="eastAsia"/>
              </w:rPr>
            </w:pPr>
            <w:r w:rsidRPr="00C31856">
              <w:rPr>
                <w:rFonts w:ascii="Calibri" w:hAnsi="Calibri" w:hint="eastAsia"/>
              </w:rPr>
              <w:t>基金名称</w:t>
            </w:r>
          </w:p>
        </w:tc>
        <w:tc>
          <w:tcPr>
            <w:tcW w:w="4161" w:type="dxa"/>
            <w:tcBorders>
              <w:top w:val="single" w:sz="4" w:space="0" w:color="000000"/>
              <w:left w:val="single" w:sz="4" w:space="0" w:color="000000"/>
              <w:bottom w:val="single" w:sz="4" w:space="0" w:color="000000"/>
              <w:right w:val="single" w:sz="4" w:space="0" w:color="000000"/>
            </w:tcBorders>
            <w:vAlign w:val="center"/>
            <w:hideMark/>
          </w:tcPr>
          <w:p w:rsidR="00FA47FD" w:rsidRDefault="00FA47FD">
            <w:pPr>
              <w:rPr>
                <w:rFonts w:hint="eastAsia"/>
              </w:rPr>
            </w:pPr>
            <w:r w:rsidRPr="00C31856">
              <w:rPr>
                <w:rFonts w:hint="eastAsia"/>
              </w:rPr>
              <w:t>银河睿鑫纯债债券型证券投资基金</w:t>
            </w:r>
          </w:p>
        </w:tc>
      </w:tr>
      <w:tr w:rsidR="00FA47FD" w:rsidTr="00A147E9">
        <w:tc>
          <w:tcPr>
            <w:tcW w:w="4361" w:type="dxa"/>
            <w:gridSpan w:val="2"/>
            <w:tcBorders>
              <w:top w:val="single" w:sz="4" w:space="0" w:color="000000"/>
              <w:left w:val="single" w:sz="4" w:space="0" w:color="000000"/>
              <w:bottom w:val="single" w:sz="4" w:space="0" w:color="000000"/>
              <w:right w:val="single" w:sz="4" w:space="0" w:color="000000"/>
            </w:tcBorders>
            <w:vAlign w:val="center"/>
            <w:hideMark/>
          </w:tcPr>
          <w:p w:rsidR="00FA47FD" w:rsidRDefault="00FA47FD">
            <w:pPr>
              <w:rPr>
                <w:rFonts w:hint="eastAsia"/>
              </w:rPr>
            </w:pPr>
            <w:r w:rsidRPr="00C31856">
              <w:rPr>
                <w:rFonts w:ascii="Calibri" w:hAnsi="Calibri" w:hint="eastAsia"/>
              </w:rPr>
              <w:t>基金简称</w:t>
            </w:r>
          </w:p>
        </w:tc>
        <w:tc>
          <w:tcPr>
            <w:tcW w:w="4161" w:type="dxa"/>
            <w:tcBorders>
              <w:top w:val="single" w:sz="4" w:space="0" w:color="000000"/>
              <w:left w:val="single" w:sz="4" w:space="0" w:color="000000"/>
              <w:bottom w:val="single" w:sz="4" w:space="0" w:color="000000"/>
              <w:right w:val="single" w:sz="4" w:space="0" w:color="000000"/>
            </w:tcBorders>
            <w:vAlign w:val="center"/>
            <w:hideMark/>
          </w:tcPr>
          <w:p w:rsidR="00FA47FD" w:rsidRDefault="00FA47FD">
            <w:pPr>
              <w:rPr>
                <w:rFonts w:hint="eastAsia"/>
              </w:rPr>
            </w:pPr>
            <w:r w:rsidRPr="00C31856">
              <w:rPr>
                <w:rFonts w:hint="eastAsia"/>
              </w:rPr>
              <w:t>银河睿鑫债券</w:t>
            </w:r>
            <w:r>
              <w:rPr>
                <w:rFonts w:cs="Calibri" w:hint="eastAsia"/>
              </w:rPr>
              <w:t xml:space="preserve"> </w:t>
            </w:r>
          </w:p>
        </w:tc>
      </w:tr>
      <w:tr w:rsidR="00FA47FD" w:rsidTr="00A147E9">
        <w:tc>
          <w:tcPr>
            <w:tcW w:w="4361" w:type="dxa"/>
            <w:gridSpan w:val="2"/>
            <w:tcBorders>
              <w:top w:val="single" w:sz="4" w:space="0" w:color="000000"/>
              <w:left w:val="single" w:sz="4" w:space="0" w:color="000000"/>
              <w:bottom w:val="single" w:sz="4" w:space="0" w:color="000000"/>
              <w:right w:val="single" w:sz="4" w:space="0" w:color="000000"/>
            </w:tcBorders>
            <w:vAlign w:val="center"/>
            <w:hideMark/>
          </w:tcPr>
          <w:p w:rsidR="00FA47FD" w:rsidRDefault="00FA47FD">
            <w:pPr>
              <w:rPr>
                <w:rFonts w:hint="eastAsia"/>
              </w:rPr>
            </w:pPr>
            <w:r w:rsidRPr="00C31856">
              <w:rPr>
                <w:rFonts w:ascii="Calibri" w:hAnsi="Calibri" w:hint="eastAsia"/>
              </w:rPr>
              <w:t>基金主代码</w:t>
            </w:r>
          </w:p>
        </w:tc>
        <w:tc>
          <w:tcPr>
            <w:tcW w:w="4161" w:type="dxa"/>
            <w:tcBorders>
              <w:top w:val="single" w:sz="4" w:space="0" w:color="000000"/>
              <w:left w:val="single" w:sz="4" w:space="0" w:color="000000"/>
              <w:bottom w:val="single" w:sz="4" w:space="0" w:color="000000"/>
              <w:right w:val="single" w:sz="4" w:space="0" w:color="000000"/>
            </w:tcBorders>
            <w:vAlign w:val="center"/>
            <w:hideMark/>
          </w:tcPr>
          <w:p w:rsidR="00FA47FD" w:rsidRDefault="00FA47FD">
            <w:pPr>
              <w:rPr>
                <w:rFonts w:hint="eastAsia"/>
              </w:rPr>
            </w:pPr>
            <w:r w:rsidRPr="00C31856">
              <w:rPr>
                <w:rFonts w:hint="eastAsia"/>
              </w:rPr>
              <w:t>007406</w:t>
            </w:r>
          </w:p>
        </w:tc>
      </w:tr>
      <w:tr w:rsidR="00FA47FD" w:rsidTr="00A147E9">
        <w:tc>
          <w:tcPr>
            <w:tcW w:w="4361" w:type="dxa"/>
            <w:gridSpan w:val="2"/>
            <w:tcBorders>
              <w:top w:val="single" w:sz="4" w:space="0" w:color="000000"/>
              <w:left w:val="single" w:sz="4" w:space="0" w:color="000000"/>
              <w:bottom w:val="single" w:sz="4" w:space="0" w:color="000000"/>
              <w:right w:val="single" w:sz="4" w:space="0" w:color="000000"/>
            </w:tcBorders>
            <w:vAlign w:val="center"/>
            <w:hideMark/>
          </w:tcPr>
          <w:p w:rsidR="00FA47FD" w:rsidRDefault="00FA47FD">
            <w:pPr>
              <w:rPr>
                <w:rFonts w:hint="eastAsia"/>
              </w:rPr>
            </w:pPr>
            <w:r w:rsidRPr="00C31856">
              <w:rPr>
                <w:rFonts w:ascii="Calibri" w:hAnsi="Calibri" w:hint="eastAsia"/>
              </w:rPr>
              <w:t>基金管理人名称</w:t>
            </w:r>
          </w:p>
        </w:tc>
        <w:tc>
          <w:tcPr>
            <w:tcW w:w="4161" w:type="dxa"/>
            <w:tcBorders>
              <w:top w:val="single" w:sz="4" w:space="0" w:color="000000"/>
              <w:left w:val="single" w:sz="4" w:space="0" w:color="000000"/>
              <w:bottom w:val="single" w:sz="4" w:space="0" w:color="000000"/>
              <w:right w:val="single" w:sz="4" w:space="0" w:color="000000"/>
            </w:tcBorders>
            <w:vAlign w:val="center"/>
            <w:hideMark/>
          </w:tcPr>
          <w:p w:rsidR="00FA47FD" w:rsidRDefault="00FA47FD">
            <w:pPr>
              <w:rPr>
                <w:rFonts w:hint="eastAsia"/>
              </w:rPr>
            </w:pPr>
            <w:r w:rsidRPr="00C31856">
              <w:rPr>
                <w:rFonts w:hint="eastAsia"/>
              </w:rPr>
              <w:t>银河基金管理有限公司</w:t>
            </w:r>
          </w:p>
        </w:tc>
      </w:tr>
      <w:tr w:rsidR="00FA47FD" w:rsidTr="00A147E9">
        <w:tc>
          <w:tcPr>
            <w:tcW w:w="4361" w:type="dxa"/>
            <w:gridSpan w:val="2"/>
            <w:tcBorders>
              <w:top w:val="single" w:sz="4" w:space="0" w:color="000000"/>
              <w:left w:val="single" w:sz="4" w:space="0" w:color="000000"/>
              <w:bottom w:val="single" w:sz="4" w:space="0" w:color="000000"/>
              <w:right w:val="single" w:sz="4" w:space="0" w:color="000000"/>
            </w:tcBorders>
            <w:vAlign w:val="center"/>
            <w:hideMark/>
          </w:tcPr>
          <w:p w:rsidR="00FA47FD" w:rsidRDefault="00FA47FD">
            <w:pPr>
              <w:rPr>
                <w:rFonts w:hint="eastAsia"/>
              </w:rPr>
            </w:pPr>
            <w:r w:rsidRPr="00C31856">
              <w:rPr>
                <w:rFonts w:ascii="Calibri" w:hAnsi="Calibri" w:hint="eastAsia"/>
              </w:rPr>
              <w:t>公告依据</w:t>
            </w:r>
          </w:p>
        </w:tc>
        <w:tc>
          <w:tcPr>
            <w:tcW w:w="4161" w:type="dxa"/>
            <w:tcBorders>
              <w:top w:val="single" w:sz="4" w:space="0" w:color="000000"/>
              <w:left w:val="single" w:sz="4" w:space="0" w:color="000000"/>
              <w:bottom w:val="single" w:sz="4" w:space="0" w:color="000000"/>
              <w:right w:val="single" w:sz="4" w:space="0" w:color="000000"/>
            </w:tcBorders>
            <w:vAlign w:val="center"/>
            <w:hideMark/>
          </w:tcPr>
          <w:p w:rsidR="00FA47FD" w:rsidRDefault="00FA47FD">
            <w:pPr>
              <w:rPr>
                <w:rFonts w:hint="eastAsia"/>
              </w:rPr>
            </w:pPr>
            <w:r w:rsidRPr="00C31856">
              <w:rPr>
                <w:rFonts w:hint="eastAsia"/>
              </w:rPr>
              <w:t xml:space="preserve">《中华人民共和国证券投资基金法》、《公开募集证券投资基金运作管理办法》、《银河睿鑫纯债债券型证券投资基金基金合同》、《银河睿鑫纯债债券型证券投资基金招募说明书》 </w:t>
            </w:r>
          </w:p>
        </w:tc>
      </w:tr>
      <w:tr w:rsidR="00A147E9" w:rsidTr="00A147E9">
        <w:trPr>
          <w:trHeight w:val="506"/>
        </w:trPr>
        <w:tc>
          <w:tcPr>
            <w:tcW w:w="1384" w:type="dxa"/>
            <w:vMerge w:val="restart"/>
            <w:tcBorders>
              <w:top w:val="nil"/>
              <w:left w:val="single" w:sz="4" w:space="0" w:color="000000"/>
              <w:bottom w:val="single" w:sz="4" w:space="0" w:color="000000"/>
              <w:right w:val="single" w:sz="4" w:space="0" w:color="000000"/>
            </w:tcBorders>
            <w:vAlign w:val="center"/>
            <w:hideMark/>
          </w:tcPr>
          <w:p w:rsidR="00A147E9" w:rsidRDefault="00A147E9" w:rsidP="00A147E9">
            <w:pPr>
              <w:rPr>
                <w:rFonts w:hint="eastAsia"/>
              </w:rPr>
            </w:pPr>
            <w:r w:rsidRPr="00C31856">
              <w:rPr>
                <w:rFonts w:ascii="Calibri" w:hAnsi="Calibri" w:hint="eastAsia"/>
              </w:rPr>
              <w:t>暂停相关业务的起始日、金额及原因说明</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A147E9" w:rsidRDefault="00A147E9" w:rsidP="00A147E9">
            <w:pPr>
              <w:rPr>
                <w:rFonts w:hint="eastAsia"/>
              </w:rPr>
            </w:pPr>
            <w:r>
              <w:rPr>
                <w:rFonts w:ascii="Calibri" w:hAnsi="Calibri" w:hint="eastAsia"/>
              </w:rPr>
              <w:t>恢复申购及</w:t>
            </w:r>
            <w:r w:rsidRPr="00572BE4">
              <w:rPr>
                <w:rFonts w:ascii="Calibri" w:hAnsi="Calibri" w:hint="eastAsia"/>
              </w:rPr>
              <w:t>暂停大额申购起始日</w:t>
            </w:r>
          </w:p>
        </w:tc>
        <w:tc>
          <w:tcPr>
            <w:tcW w:w="4161" w:type="dxa"/>
            <w:tcBorders>
              <w:top w:val="single" w:sz="4" w:space="0" w:color="000000"/>
              <w:left w:val="single" w:sz="4" w:space="0" w:color="000000"/>
              <w:bottom w:val="single" w:sz="4" w:space="0" w:color="000000"/>
              <w:right w:val="single" w:sz="4" w:space="0" w:color="000000"/>
            </w:tcBorders>
            <w:vAlign w:val="center"/>
            <w:hideMark/>
          </w:tcPr>
          <w:p w:rsidR="00A147E9" w:rsidRDefault="00A147E9" w:rsidP="00A147E9">
            <w:pPr>
              <w:rPr>
                <w:rFonts w:hint="eastAsia"/>
              </w:rPr>
            </w:pPr>
            <w:r w:rsidRPr="00C31856">
              <w:rPr>
                <w:rFonts w:hint="eastAsia"/>
              </w:rPr>
              <w:t>2026年2月2日</w:t>
            </w:r>
          </w:p>
        </w:tc>
      </w:tr>
      <w:tr w:rsidR="00A147E9" w:rsidTr="00A147E9">
        <w:trPr>
          <w:trHeight w:val="506"/>
        </w:trPr>
        <w:tc>
          <w:tcPr>
            <w:tcW w:w="1384" w:type="dxa"/>
            <w:vMerge/>
            <w:tcBorders>
              <w:top w:val="nil"/>
              <w:left w:val="single" w:sz="4" w:space="0" w:color="000000"/>
              <w:bottom w:val="single" w:sz="4" w:space="0" w:color="000000"/>
              <w:right w:val="single" w:sz="4" w:space="0" w:color="000000"/>
            </w:tcBorders>
            <w:vAlign w:val="center"/>
            <w:hideMark/>
          </w:tcPr>
          <w:p w:rsidR="00A147E9" w:rsidRDefault="00A147E9" w:rsidP="00A147E9">
            <w:pPr>
              <w:widowControl/>
              <w:jc w:val="left"/>
            </w:pP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A147E9" w:rsidRDefault="00A147E9" w:rsidP="00A147E9">
            <w:pPr>
              <w:rPr>
                <w:rFonts w:hint="eastAsia"/>
              </w:rPr>
            </w:pPr>
            <w:r>
              <w:rPr>
                <w:rFonts w:ascii="Calibri" w:hAnsi="Calibri" w:hint="eastAsia"/>
              </w:rPr>
              <w:t>恢复申购及</w:t>
            </w:r>
            <w:r w:rsidRPr="00572BE4">
              <w:rPr>
                <w:rFonts w:ascii="Calibri" w:hAnsi="Calibri" w:hint="eastAsia"/>
              </w:rPr>
              <w:t>暂停大额转换转入起始日</w:t>
            </w:r>
          </w:p>
        </w:tc>
        <w:tc>
          <w:tcPr>
            <w:tcW w:w="4161" w:type="dxa"/>
            <w:tcBorders>
              <w:top w:val="single" w:sz="4" w:space="0" w:color="000000"/>
              <w:left w:val="single" w:sz="4" w:space="0" w:color="000000"/>
              <w:bottom w:val="single" w:sz="4" w:space="0" w:color="000000"/>
              <w:right w:val="single" w:sz="4" w:space="0" w:color="000000"/>
            </w:tcBorders>
            <w:vAlign w:val="center"/>
            <w:hideMark/>
          </w:tcPr>
          <w:p w:rsidR="00A147E9" w:rsidRDefault="00A147E9" w:rsidP="00A147E9">
            <w:pPr>
              <w:rPr>
                <w:rFonts w:hint="eastAsia"/>
              </w:rPr>
            </w:pPr>
            <w:r w:rsidRPr="00C31856">
              <w:rPr>
                <w:rFonts w:hint="eastAsia"/>
              </w:rPr>
              <w:t>2026年2月2日</w:t>
            </w:r>
          </w:p>
        </w:tc>
      </w:tr>
      <w:tr w:rsidR="00A147E9" w:rsidTr="00A147E9">
        <w:trPr>
          <w:trHeight w:val="506"/>
        </w:trPr>
        <w:tc>
          <w:tcPr>
            <w:tcW w:w="1384" w:type="dxa"/>
            <w:vMerge/>
            <w:tcBorders>
              <w:top w:val="nil"/>
              <w:left w:val="single" w:sz="4" w:space="0" w:color="000000"/>
              <w:bottom w:val="single" w:sz="4" w:space="0" w:color="000000"/>
              <w:right w:val="single" w:sz="4" w:space="0" w:color="000000"/>
            </w:tcBorders>
            <w:vAlign w:val="center"/>
            <w:hideMark/>
          </w:tcPr>
          <w:p w:rsidR="00A147E9" w:rsidRDefault="00A147E9" w:rsidP="00A147E9">
            <w:pPr>
              <w:widowControl/>
              <w:jc w:val="left"/>
            </w:pP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A147E9" w:rsidRDefault="00A147E9" w:rsidP="00A147E9">
            <w:pPr>
              <w:rPr>
                <w:rFonts w:hint="eastAsia"/>
              </w:rPr>
            </w:pPr>
            <w:r>
              <w:rPr>
                <w:rFonts w:ascii="Calibri" w:hAnsi="Calibri" w:hint="eastAsia"/>
              </w:rPr>
              <w:t>恢复申购及</w:t>
            </w:r>
            <w:r w:rsidRPr="00572BE4">
              <w:rPr>
                <w:rFonts w:ascii="Calibri" w:hAnsi="Calibri" w:hint="eastAsia"/>
              </w:rPr>
              <w:t>暂停定期定额投资起始日</w:t>
            </w:r>
          </w:p>
        </w:tc>
        <w:tc>
          <w:tcPr>
            <w:tcW w:w="4161" w:type="dxa"/>
            <w:tcBorders>
              <w:top w:val="single" w:sz="4" w:space="0" w:color="000000"/>
              <w:left w:val="single" w:sz="4" w:space="0" w:color="000000"/>
              <w:bottom w:val="single" w:sz="4" w:space="0" w:color="000000"/>
              <w:right w:val="single" w:sz="4" w:space="0" w:color="000000"/>
            </w:tcBorders>
            <w:vAlign w:val="center"/>
            <w:hideMark/>
          </w:tcPr>
          <w:p w:rsidR="00A147E9" w:rsidRDefault="00A147E9" w:rsidP="00A147E9">
            <w:pPr>
              <w:rPr>
                <w:rFonts w:hint="eastAsia"/>
              </w:rPr>
            </w:pPr>
            <w:r w:rsidRPr="00C31856">
              <w:rPr>
                <w:rFonts w:hint="eastAsia"/>
              </w:rPr>
              <w:t>2026年2月2日</w:t>
            </w:r>
          </w:p>
        </w:tc>
      </w:tr>
      <w:tr w:rsidR="00FA47FD" w:rsidTr="00A147E9">
        <w:trPr>
          <w:trHeight w:val="506"/>
        </w:trPr>
        <w:tc>
          <w:tcPr>
            <w:tcW w:w="1384" w:type="dxa"/>
            <w:vMerge/>
            <w:tcBorders>
              <w:top w:val="nil"/>
              <w:left w:val="single" w:sz="4" w:space="0" w:color="000000"/>
              <w:bottom w:val="single" w:sz="4" w:space="0" w:color="000000"/>
              <w:right w:val="single" w:sz="4" w:space="0" w:color="000000"/>
            </w:tcBorders>
            <w:vAlign w:val="center"/>
            <w:hideMark/>
          </w:tcPr>
          <w:p w:rsidR="00FA47FD" w:rsidRDefault="00FA47FD">
            <w:pPr>
              <w:widowControl/>
              <w:jc w:val="left"/>
            </w:pP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FA47FD" w:rsidRDefault="00FA47FD">
            <w:pPr>
              <w:rPr>
                <w:rFonts w:hint="eastAsia"/>
              </w:rPr>
            </w:pPr>
            <w:r w:rsidRPr="00C31856">
              <w:rPr>
                <w:rFonts w:ascii="Calibri" w:hAnsi="Calibri" w:hint="eastAsia"/>
              </w:rPr>
              <w:t>限制申购金额（单位：人民币元</w:t>
            </w:r>
            <w:r>
              <w:rPr>
                <w:rFonts w:hint="eastAsia"/>
              </w:rPr>
              <w:t xml:space="preserve"> </w:t>
            </w:r>
            <w:r w:rsidRPr="00C31856">
              <w:rPr>
                <w:rFonts w:ascii="Calibri" w:hAnsi="Calibri" w:hint="eastAsia"/>
              </w:rPr>
              <w:t>）</w:t>
            </w:r>
          </w:p>
        </w:tc>
        <w:tc>
          <w:tcPr>
            <w:tcW w:w="4161" w:type="dxa"/>
            <w:tcBorders>
              <w:top w:val="single" w:sz="4" w:space="0" w:color="000000"/>
              <w:left w:val="single" w:sz="4" w:space="0" w:color="000000"/>
              <w:bottom w:val="single" w:sz="4" w:space="0" w:color="000000"/>
              <w:right w:val="single" w:sz="4" w:space="0" w:color="000000"/>
            </w:tcBorders>
            <w:vAlign w:val="center"/>
            <w:hideMark/>
          </w:tcPr>
          <w:p w:rsidR="00FA47FD" w:rsidRDefault="00FA47FD">
            <w:pPr>
              <w:rPr>
                <w:rFonts w:hint="eastAsia"/>
              </w:rPr>
            </w:pPr>
            <w:r w:rsidRPr="00C31856">
              <w:rPr>
                <w:rFonts w:hint="eastAsia"/>
              </w:rPr>
              <w:t>1,000,000.00</w:t>
            </w:r>
          </w:p>
        </w:tc>
      </w:tr>
      <w:tr w:rsidR="00FA47FD" w:rsidTr="00A147E9">
        <w:trPr>
          <w:trHeight w:val="506"/>
        </w:trPr>
        <w:tc>
          <w:tcPr>
            <w:tcW w:w="1384" w:type="dxa"/>
            <w:vMerge/>
            <w:tcBorders>
              <w:top w:val="nil"/>
              <w:left w:val="single" w:sz="4" w:space="0" w:color="000000"/>
              <w:bottom w:val="single" w:sz="4" w:space="0" w:color="000000"/>
              <w:right w:val="single" w:sz="4" w:space="0" w:color="000000"/>
            </w:tcBorders>
            <w:vAlign w:val="center"/>
            <w:hideMark/>
          </w:tcPr>
          <w:p w:rsidR="00FA47FD" w:rsidRDefault="00FA47FD">
            <w:pPr>
              <w:widowControl/>
              <w:jc w:val="left"/>
            </w:pP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FA47FD" w:rsidRDefault="00FA47FD">
            <w:pPr>
              <w:rPr>
                <w:rFonts w:hint="eastAsia"/>
              </w:rPr>
            </w:pPr>
            <w:r w:rsidRPr="00C31856">
              <w:rPr>
                <w:rFonts w:hint="eastAsia"/>
              </w:rPr>
              <w:t xml:space="preserve">限制转换转入金额（单位：人民币元 ） </w:t>
            </w:r>
          </w:p>
        </w:tc>
        <w:tc>
          <w:tcPr>
            <w:tcW w:w="4161" w:type="dxa"/>
            <w:tcBorders>
              <w:top w:val="single" w:sz="4" w:space="0" w:color="000000"/>
              <w:left w:val="single" w:sz="4" w:space="0" w:color="000000"/>
              <w:bottom w:val="single" w:sz="4" w:space="0" w:color="000000"/>
              <w:right w:val="single" w:sz="4" w:space="0" w:color="000000"/>
            </w:tcBorders>
            <w:vAlign w:val="center"/>
            <w:hideMark/>
          </w:tcPr>
          <w:p w:rsidR="00FA47FD" w:rsidRDefault="00FA47FD">
            <w:pPr>
              <w:rPr>
                <w:rFonts w:hint="eastAsia"/>
              </w:rPr>
            </w:pPr>
            <w:r w:rsidRPr="00C31856">
              <w:rPr>
                <w:rFonts w:hint="eastAsia"/>
              </w:rPr>
              <w:t>1,000,000.00</w:t>
            </w:r>
          </w:p>
        </w:tc>
      </w:tr>
      <w:tr w:rsidR="00FA47FD" w:rsidTr="00A147E9">
        <w:trPr>
          <w:trHeight w:val="506"/>
        </w:trPr>
        <w:tc>
          <w:tcPr>
            <w:tcW w:w="1384" w:type="dxa"/>
            <w:vMerge/>
            <w:tcBorders>
              <w:top w:val="nil"/>
              <w:left w:val="single" w:sz="4" w:space="0" w:color="000000"/>
              <w:bottom w:val="single" w:sz="4" w:space="0" w:color="000000"/>
              <w:right w:val="single" w:sz="4" w:space="0" w:color="000000"/>
            </w:tcBorders>
            <w:vAlign w:val="center"/>
            <w:hideMark/>
          </w:tcPr>
          <w:p w:rsidR="00FA47FD" w:rsidRDefault="00FA47FD">
            <w:pPr>
              <w:widowControl/>
              <w:jc w:val="left"/>
            </w:pP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FA47FD" w:rsidRDefault="00FA47FD">
            <w:pPr>
              <w:rPr>
                <w:rFonts w:hint="eastAsia"/>
              </w:rPr>
            </w:pPr>
            <w:r w:rsidRPr="00C31856">
              <w:rPr>
                <w:rFonts w:ascii="Calibri" w:hAnsi="Calibri" w:cs="Times New Roman"/>
              </w:rPr>
              <w:t>限制定期定额投资金额（单位：人民币元</w:t>
            </w:r>
            <w:r w:rsidRPr="00C31856">
              <w:rPr>
                <w:rFonts w:ascii="Calibri" w:hAnsi="Calibri" w:cs="Times New Roman"/>
              </w:rPr>
              <w:t xml:space="preserve"> </w:t>
            </w:r>
            <w:r w:rsidRPr="00C31856">
              <w:rPr>
                <w:rFonts w:ascii="Calibri" w:hAnsi="Calibri" w:cs="Times New Roman"/>
              </w:rPr>
              <w:t>）</w:t>
            </w:r>
            <w:r>
              <w:rPr>
                <w:rFonts w:hint="eastAsia"/>
              </w:rPr>
              <w:t xml:space="preserve"> </w:t>
            </w:r>
          </w:p>
        </w:tc>
        <w:tc>
          <w:tcPr>
            <w:tcW w:w="4161" w:type="dxa"/>
            <w:tcBorders>
              <w:top w:val="single" w:sz="4" w:space="0" w:color="000000"/>
              <w:left w:val="single" w:sz="4" w:space="0" w:color="000000"/>
              <w:bottom w:val="single" w:sz="4" w:space="0" w:color="000000"/>
              <w:right w:val="single" w:sz="4" w:space="0" w:color="000000"/>
            </w:tcBorders>
            <w:vAlign w:val="center"/>
            <w:hideMark/>
          </w:tcPr>
          <w:p w:rsidR="00FA47FD" w:rsidRDefault="00FA47FD">
            <w:pPr>
              <w:rPr>
                <w:rFonts w:hint="eastAsia"/>
              </w:rPr>
            </w:pPr>
            <w:r w:rsidRPr="00C31856">
              <w:rPr>
                <w:rFonts w:hint="eastAsia"/>
              </w:rPr>
              <w:t>1,000,000.00</w:t>
            </w:r>
          </w:p>
        </w:tc>
      </w:tr>
      <w:tr w:rsidR="00FA47FD" w:rsidTr="00A147E9">
        <w:trPr>
          <w:trHeight w:val="506"/>
        </w:trPr>
        <w:tc>
          <w:tcPr>
            <w:tcW w:w="1384" w:type="dxa"/>
            <w:vMerge/>
            <w:tcBorders>
              <w:top w:val="nil"/>
              <w:left w:val="single" w:sz="4" w:space="0" w:color="000000"/>
              <w:bottom w:val="single" w:sz="4" w:space="0" w:color="000000"/>
              <w:right w:val="single" w:sz="4" w:space="0" w:color="000000"/>
            </w:tcBorders>
            <w:vAlign w:val="center"/>
            <w:hideMark/>
          </w:tcPr>
          <w:p w:rsidR="00FA47FD" w:rsidRDefault="00FA47FD">
            <w:pPr>
              <w:widowControl/>
              <w:jc w:val="left"/>
            </w:pP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FA47FD" w:rsidRDefault="00FA47FD">
            <w:pPr>
              <w:rPr>
                <w:rFonts w:hint="eastAsia"/>
              </w:rPr>
            </w:pPr>
            <w:r w:rsidRPr="00C31856">
              <w:rPr>
                <w:rFonts w:hint="eastAsia"/>
              </w:rPr>
              <w:t>暂停大额申购、大额转换转入、定期定额投资的原因说明</w:t>
            </w:r>
          </w:p>
        </w:tc>
        <w:tc>
          <w:tcPr>
            <w:tcW w:w="4161" w:type="dxa"/>
            <w:tcBorders>
              <w:top w:val="single" w:sz="4" w:space="0" w:color="000000"/>
              <w:left w:val="single" w:sz="4" w:space="0" w:color="000000"/>
              <w:bottom w:val="single" w:sz="4" w:space="0" w:color="000000"/>
              <w:right w:val="single" w:sz="4" w:space="0" w:color="000000"/>
            </w:tcBorders>
            <w:vAlign w:val="center"/>
            <w:hideMark/>
          </w:tcPr>
          <w:p w:rsidR="00FA47FD" w:rsidRDefault="00FA47FD">
            <w:pPr>
              <w:rPr>
                <w:rFonts w:hint="eastAsia"/>
              </w:rPr>
            </w:pPr>
            <w:r w:rsidRPr="00C31856">
              <w:rPr>
                <w:rFonts w:hint="eastAsia"/>
              </w:rPr>
              <w:t>为维护现有基金份额持有人利益,保护基金的平稳运行</w:t>
            </w:r>
          </w:p>
        </w:tc>
      </w:tr>
    </w:tbl>
    <w:p w:rsidR="00FA47FD" w:rsidRDefault="00FA47FD">
      <w:pPr>
        <w:adjustRightInd w:val="0"/>
        <w:snapToGrid w:val="0"/>
        <w:spacing w:line="360" w:lineRule="auto"/>
        <w:jc w:val="left"/>
        <w:rPr>
          <w:rFonts w:hint="eastAsia"/>
        </w:rPr>
      </w:pPr>
      <w:r>
        <w:rPr>
          <w:rFonts w:hint="eastAsia"/>
        </w:rPr>
        <w:t>注:</w:t>
      </w:r>
      <w:r>
        <w:rPr>
          <w:rFonts w:hint="eastAsia"/>
          <w:szCs w:val="24"/>
          <w:lang/>
        </w:rPr>
        <w:t xml:space="preserve">（1）银河睿鑫纯债债券型证券投资基金以下简称“本基金”。 </w:t>
      </w:r>
      <w:r>
        <w:rPr>
          <w:rFonts w:hint="eastAsia"/>
          <w:szCs w:val="24"/>
          <w:lang/>
        </w:rPr>
        <w:br/>
        <w:t xml:space="preserve">　　（2）银河基金管理有限公司以下简称“本公司”或“基金管理人”。 </w:t>
      </w:r>
      <w:r>
        <w:rPr>
          <w:rFonts w:hint="eastAsia"/>
          <w:szCs w:val="24"/>
          <w:lang/>
        </w:rPr>
        <w:br/>
        <w:t xml:space="preserve">　　（3）本公司决定自2026年2月2日起，恢复办理本基金的申购、转换转入和定期定额投资业务，同时限制本基金申购、转换转入、定期定额投资业务的金额，即如单日单个基金账户对本基金的申购、转换转入、定期定额申请金额大于100万元，则100万元确认申购成功，超过100万元（不含）金额的部分将确认失败；如单日单个基金账户多笔累计申购金额大于100万元，按申请金额从大到小排序，本公司将逐笔累加至100万元的申请确认成功，其余超出部分的申请金额本公司有权确认失败。</w:t>
      </w:r>
      <w:r>
        <w:rPr>
          <w:rFonts w:hint="eastAsia"/>
          <w:szCs w:val="24"/>
          <w:lang/>
        </w:rPr>
        <w:br/>
        <w:t xml:space="preserve">　　（4）在本基金限制大额申购、定期定额投资及转换转入业务期间，本公司正常办理本基金的赎回等业务。</w:t>
      </w:r>
      <w:r>
        <w:rPr>
          <w:rFonts w:hint="eastAsia"/>
          <w:szCs w:val="24"/>
          <w:lang/>
        </w:rPr>
        <w:br/>
        <w:t xml:space="preserve">　　（5）本基金取消或调整上述大额申购、转换转入和定期定额投资业务限制的具体时间将另行公告。</w:t>
      </w:r>
      <w:r>
        <w:rPr>
          <w:rFonts w:hint="eastAsia"/>
          <w:szCs w:val="24"/>
        </w:rPr>
        <w:t xml:space="preserve"> </w:t>
      </w:r>
    </w:p>
    <w:p w:rsidR="00FA47FD" w:rsidRDefault="00FA47FD">
      <w:pPr>
        <w:pStyle w:val="XBRLTitle1"/>
        <w:spacing w:before="156" w:line="360" w:lineRule="auto"/>
        <w:ind w:left="425"/>
        <w:jc w:val="left"/>
        <w:rPr>
          <w:rFonts w:hint="eastAsia"/>
        </w:rPr>
      </w:pPr>
      <w:bookmarkStart w:id="13" w:name="_Toc34322063"/>
      <w:bookmarkStart w:id="14" w:name="_Toc513295941"/>
      <w:bookmarkStart w:id="15" w:name="_Toc513295878"/>
      <w:bookmarkStart w:id="16" w:name="_Toc438646481"/>
      <w:bookmarkStart w:id="17" w:name="_Toc481075097"/>
      <w:bookmarkStart w:id="18" w:name="_Toc490050049"/>
      <w:bookmarkStart w:id="19" w:name="_Toc512519529"/>
      <w:bookmarkStart w:id="20" w:name="_Toc17897969"/>
      <w:bookmarkStart w:id="21" w:name="_Toc17898228"/>
      <w:bookmarkStart w:id="22" w:name="m201_01"/>
      <w:r>
        <w:rPr>
          <w:rFonts w:hAnsi="宋体" w:hint="eastAsia"/>
          <w:szCs w:val="24"/>
        </w:rPr>
        <w:t>其他需要提示的事项</w:t>
      </w:r>
      <w:bookmarkEnd w:id="13"/>
      <w:bookmarkEnd w:id="14"/>
      <w:bookmarkEnd w:id="15"/>
      <w:bookmarkEnd w:id="16"/>
      <w:bookmarkEnd w:id="17"/>
      <w:bookmarkEnd w:id="18"/>
      <w:bookmarkEnd w:id="19"/>
      <w:bookmarkEnd w:id="20"/>
      <w:bookmarkEnd w:id="21"/>
      <w:r>
        <w:rPr>
          <w:rFonts w:hAnsi="宋体" w:hint="eastAsia"/>
          <w:szCs w:val="24"/>
        </w:rPr>
        <w:t xml:space="preserve"> </w:t>
      </w:r>
    </w:p>
    <w:p w:rsidR="00FA47FD" w:rsidRDefault="00FA47FD">
      <w:pPr>
        <w:spacing w:line="360" w:lineRule="auto"/>
        <w:ind w:firstLineChars="200" w:firstLine="420"/>
        <w:jc w:val="left"/>
        <w:rPr>
          <w:rFonts w:hint="eastAsia"/>
        </w:rPr>
      </w:pPr>
      <w:r>
        <w:rPr>
          <w:rFonts w:hint="eastAsia"/>
          <w:szCs w:val="21"/>
        </w:rPr>
        <w:t xml:space="preserve">1、投资者亦可通过登录本公司网站或联系本公司客服了解基金销售相关事宜。 </w:t>
      </w:r>
      <w:r>
        <w:rPr>
          <w:rFonts w:hint="eastAsia"/>
          <w:szCs w:val="21"/>
        </w:rPr>
        <w:br/>
        <w:t xml:space="preserve">　　公司网站：www.cgf.cn</w:t>
      </w:r>
      <w:r>
        <w:rPr>
          <w:rFonts w:hint="eastAsia"/>
          <w:szCs w:val="21"/>
        </w:rPr>
        <w:br/>
      </w:r>
      <w:r>
        <w:rPr>
          <w:rFonts w:hint="eastAsia"/>
          <w:szCs w:val="21"/>
        </w:rPr>
        <w:lastRenderedPageBreak/>
        <w:t xml:space="preserve">　　客户服务电话：400－820－0860</w:t>
      </w:r>
      <w:r>
        <w:rPr>
          <w:rFonts w:hint="eastAsia"/>
          <w:szCs w:val="21"/>
        </w:rPr>
        <w:br/>
        <w:t xml:space="preserve">　　2、上述业务的解释权归银河基金管理有限公司。 </w:t>
      </w:r>
      <w:r>
        <w:rPr>
          <w:rFonts w:hint="eastAsia"/>
          <w:szCs w:val="21"/>
        </w:rPr>
        <w:br/>
        <w:t xml:space="preserve">　　3、风险提示：基金在投资运作过程中可能面临各种风险，既包括市场风险，也包括基金自身的管理风险、技术风险和合规风险等。巨额赎回风险是开放式基金所特有的一种风险，即当单个开放日基金的净赎回申请超过基金总份额的一定比例（开放式基金为百分之十，定期开放基金为百分之二十，中国证监会规定的特殊产品除外）时，投资人将可能无法及时赎回申请的全部基金份额，或赎回的款项可能延缓支付。 </w:t>
      </w:r>
      <w:r>
        <w:rPr>
          <w:rFonts w:hint="eastAsia"/>
          <w:szCs w:val="21"/>
        </w:rPr>
        <w:br/>
        <w:t xml:space="preserve">　　基金管理人承诺以诚实信用、勤勉尽责的原则管理和运用基金资产，但不保证本基金一定盈利，也不保证最低收益。本基金的过往业绩及其净值高低并不预示其未来业绩表现，基金管理人管理的其他基金的业绩并不构成对本基金业绩表现的保证。基金管理人提醒投资人基金投资的“买者自负”原则，在做出投资决策后，基金运营状况与基金净值变化引致的投资风险，由投资人自行负担。基金管理人、基金托管人、基金销售机构及相关机构不对基金投资收益做出任何承诺或保证。 </w:t>
      </w:r>
      <w:r>
        <w:rPr>
          <w:rFonts w:hint="eastAsia"/>
          <w:szCs w:val="21"/>
        </w:rPr>
        <w:br/>
        <w:t xml:space="preserve">　　特此公告。 </w:t>
      </w:r>
    </w:p>
    <w:p w:rsidR="00FA47FD" w:rsidRDefault="00FA47FD">
      <w:pPr>
        <w:spacing w:line="360" w:lineRule="auto"/>
        <w:ind w:firstLineChars="600" w:firstLine="1446"/>
        <w:jc w:val="right"/>
        <w:rPr>
          <w:rFonts w:hint="eastAsia"/>
          <w:b/>
          <w:bCs/>
          <w:sz w:val="24"/>
          <w:szCs w:val="30"/>
        </w:rPr>
      </w:pPr>
      <w:r>
        <w:rPr>
          <w:rFonts w:hint="eastAsia"/>
          <w:b/>
          <w:bCs/>
          <w:sz w:val="24"/>
          <w:szCs w:val="30"/>
        </w:rPr>
        <w:t xml:space="preserve">　 </w:t>
      </w:r>
    </w:p>
    <w:p w:rsidR="00FA47FD" w:rsidRDefault="00FA47FD">
      <w:pPr>
        <w:spacing w:line="360" w:lineRule="auto"/>
        <w:ind w:firstLineChars="600" w:firstLine="1446"/>
        <w:jc w:val="right"/>
        <w:rPr>
          <w:rFonts w:hint="eastAsia"/>
          <w:b/>
          <w:bCs/>
          <w:sz w:val="24"/>
          <w:szCs w:val="30"/>
        </w:rPr>
      </w:pPr>
      <w:r>
        <w:rPr>
          <w:rFonts w:hint="eastAsia"/>
          <w:b/>
          <w:bCs/>
          <w:sz w:val="24"/>
          <w:szCs w:val="30"/>
        </w:rPr>
        <w:t xml:space="preserve">　 </w:t>
      </w:r>
    </w:p>
    <w:p w:rsidR="00FA47FD" w:rsidRDefault="00FA47FD">
      <w:pPr>
        <w:spacing w:line="360" w:lineRule="auto"/>
        <w:ind w:firstLineChars="600" w:firstLine="1446"/>
        <w:jc w:val="right"/>
        <w:rPr>
          <w:rFonts w:hint="eastAsia"/>
        </w:rPr>
      </w:pPr>
      <w:r>
        <w:rPr>
          <w:rFonts w:hint="eastAsia"/>
          <w:b/>
          <w:bCs/>
          <w:sz w:val="24"/>
          <w:szCs w:val="24"/>
        </w:rPr>
        <w:t>银河基金管理有限公司</w:t>
      </w:r>
    </w:p>
    <w:p w:rsidR="00FA47FD" w:rsidRDefault="00FA47FD">
      <w:pPr>
        <w:spacing w:line="360" w:lineRule="auto"/>
        <w:ind w:firstLineChars="600" w:firstLine="1446"/>
        <w:jc w:val="right"/>
        <w:rPr>
          <w:rFonts w:hint="eastAsia"/>
        </w:rPr>
      </w:pPr>
      <w:r>
        <w:rPr>
          <w:rFonts w:hint="eastAsia"/>
          <w:b/>
          <w:bCs/>
          <w:sz w:val="24"/>
          <w:szCs w:val="24"/>
        </w:rPr>
        <w:t>2026年1月31日</w:t>
      </w:r>
      <w:bookmarkEnd w:id="22"/>
      <w:r>
        <w:rPr>
          <w:rFonts w:hint="eastAsia"/>
          <w:b/>
          <w:bCs/>
          <w:sz w:val="24"/>
          <w:szCs w:val="24"/>
        </w:rPr>
        <w:t xml:space="preserve"> </w:t>
      </w:r>
    </w:p>
    <w:sectPr w:rsidR="00FA47FD">
      <w:headerReference w:type="default" r:id="rId8"/>
      <w:footerReference w:type="default" r:id="rId9"/>
      <w:headerReference w:type="first" r:id="rId10"/>
      <w:footerReference w:type="firs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1F17" w:rsidRDefault="00F11F17">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endnote>
  <w:endnote w:type="continuationSeparator" w:id="0">
    <w:p w:rsidR="00F11F17" w:rsidRDefault="00F11F17">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7FD" w:rsidRDefault="00FA47FD">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F33DC4">
      <w:rPr>
        <w:noProof/>
        <w:sz w:val="18"/>
        <w:szCs w:val="18"/>
      </w:rPr>
      <w:t>2</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F33DC4">
      <w:rPr>
        <w:noProof/>
        <w:sz w:val="18"/>
        <w:szCs w:val="18"/>
      </w:rPr>
      <w:t>2</w:t>
    </w:r>
    <w:r>
      <w:rPr>
        <w:rFonts w:hint="eastAsia"/>
        <w:sz w:val="18"/>
        <w:szCs w:val="18"/>
      </w:rPr>
      <w:fldChar w:fldCharType="end"/>
    </w:r>
    <w:r>
      <w:rPr>
        <w:rFonts w:hint="eastAsia"/>
        <w:sz w:val="18"/>
        <w:szCs w:val="18"/>
      </w:rPr>
      <w:t>页</w:t>
    </w:r>
    <w:r>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7FD" w:rsidRDefault="00FA47FD">
    <w:pPr>
      <w:pStyle w:val="aa"/>
      <w:rPr>
        <w:rFonts w:hint="eastAsia"/>
      </w:rPr>
    </w:pPr>
  </w:p>
  <w:p w:rsidR="00FA47FD" w:rsidRDefault="00FA47FD">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F33DC4">
      <w:rPr>
        <w:noProof/>
        <w:sz w:val="18"/>
        <w:szCs w:val="18"/>
      </w:rPr>
      <w:t>1</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F33DC4">
      <w:rPr>
        <w:noProof/>
        <w:sz w:val="18"/>
        <w:szCs w:val="18"/>
      </w:rPr>
      <w:t>1</w:t>
    </w:r>
    <w:r>
      <w:rPr>
        <w:rFonts w:hint="eastAsia"/>
        <w:sz w:val="18"/>
        <w:szCs w:val="18"/>
      </w:rPr>
      <w:fldChar w:fldCharType="end"/>
    </w:r>
    <w:r>
      <w:rPr>
        <w:rFonts w:hint="eastAsia"/>
        <w:sz w:val="18"/>
        <w:szCs w:val="18"/>
      </w:rPr>
      <w:t>页</w:t>
    </w:r>
    <w:r>
      <w:rPr>
        <w:rFonts w:hint="eastAsia"/>
      </w:rPr>
      <w:t xml:space="preserve"> </w:t>
    </w:r>
  </w:p>
  <w:p w:rsidR="00FA47FD" w:rsidRDefault="00FA47FD">
    <w:pPr>
      <w:pStyle w:val="aa"/>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1F17" w:rsidRDefault="00F11F17">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footnote>
  <w:footnote w:type="continuationSeparator" w:id="0">
    <w:p w:rsidR="00F11F17" w:rsidRDefault="00F11F17">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7FD" w:rsidRDefault="00FA47FD">
    <w:pPr>
      <w:pStyle w:val="a8"/>
      <w:jc w:val="right"/>
    </w:pPr>
    <w:r>
      <w:rPr>
        <w:rFonts w:hint="eastAsia"/>
      </w:rPr>
      <w:t>银河睿鑫纯债债券型证券投资基金恢复并限制大额申购、转换转入和定期定额投资业务的公告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7FD" w:rsidRDefault="00FA47FD">
    <w:pPr>
      <w:pStyle w:val="a8"/>
      <w:jc w:val="right"/>
      <w:rPr>
        <w:rFonts w:hint="eastAsia"/>
      </w:rPr>
    </w:pPr>
    <w:r>
      <w:rPr>
        <w:rFonts w:hint="eastAsia"/>
      </w:rPr>
      <w:t>银河睿鑫纯债债券型证券投资基金恢复并限制大额申购、转换转入和定期定额投资业务的公告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bordersDoNotSurroundHeader/>
  <w:bordersDoNotSurroundFooter/>
  <w:attachedTemplate r:id="rId1"/>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31856"/>
    <w:rsid w:val="004A37DE"/>
    <w:rsid w:val="004E1373"/>
    <w:rsid w:val="00A147E9"/>
    <w:rsid w:val="00C31856"/>
    <w:rsid w:val="00F11F17"/>
    <w:rsid w:val="00F33DC4"/>
    <w:rsid w:val="00FA47F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uiPriority="59"/>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rPr>
  </w:style>
  <w:style w:type="paragraph" w:styleId="2">
    <w:name w:val="heading 2"/>
    <w:basedOn w:val="a"/>
    <w:next w:val="a"/>
    <w:link w:val="21"/>
    <w:uiPriority w:val="9"/>
    <w:qFormat/>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rPr>
  </w:style>
  <w:style w:type="paragraph" w:styleId="4">
    <w:name w:val="heading 4"/>
    <w:basedOn w:val="a"/>
    <w:next w:val="a"/>
    <w:link w:val="41"/>
    <w:qFormat/>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1"/>
    <w:uiPriority w:val="9"/>
    <w:semiHidden/>
    <w:unhideWhenUsed/>
    <w:qFormat/>
    <w:pPr>
      <w:keepNext/>
      <w:keepLines/>
      <w:spacing w:before="240" w:after="290" w:line="372" w:lineRule="auto"/>
      <w:outlineLvl w:val="4"/>
    </w:pPr>
    <w:rPr>
      <w:b/>
      <w:bCs/>
      <w:sz w:val="24"/>
      <w:szCs w:val="24"/>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0000FF"/>
      <w:u w:val="single"/>
    </w:rPr>
  </w:style>
  <w:style w:type="character" w:styleId="a4">
    <w:name w:val="访问过的超链接"/>
    <w:uiPriority w:val="99"/>
    <w:semiHidden/>
    <w:unhideWhenUsed/>
    <w:rPr>
      <w:color w:val="800080"/>
      <w:u w:val="single"/>
    </w:rPr>
  </w:style>
  <w:style w:type="character" w:customStyle="1" w:styleId="10">
    <w:name w:val="标题 1 字符"/>
    <w:link w:val="1"/>
    <w:uiPriority w:val="9"/>
    <w:locked/>
    <w:rPr>
      <w:b/>
      <w:bCs/>
      <w:kern w:val="44"/>
      <w:sz w:val="44"/>
      <w:szCs w:val="44"/>
    </w:rPr>
  </w:style>
  <w:style w:type="character" w:customStyle="1" w:styleId="20">
    <w:name w:val="标题 2 字符"/>
    <w:link w:val="2"/>
    <w:uiPriority w:val="9"/>
    <w:locked/>
    <w:rPr>
      <w:rFonts w:ascii="Cambria" w:eastAsia="宋体" w:hAnsi="Cambria" w:cs="Times New Roman" w:hint="default"/>
      <w:b/>
      <w:bCs/>
      <w:kern w:val="2"/>
      <w:sz w:val="32"/>
      <w:szCs w:val="32"/>
    </w:rPr>
  </w:style>
  <w:style w:type="character" w:customStyle="1" w:styleId="30">
    <w:name w:val="标题 3 字符"/>
    <w:link w:val="3"/>
    <w:uiPriority w:val="9"/>
    <w:locked/>
    <w:rPr>
      <w:b/>
      <w:bCs/>
      <w:kern w:val="2"/>
      <w:sz w:val="32"/>
      <w:szCs w:val="32"/>
    </w:rPr>
  </w:style>
  <w:style w:type="character" w:customStyle="1" w:styleId="40">
    <w:name w:val="标题 4 字符"/>
    <w:link w:val="4"/>
    <w:locked/>
    <w:rPr>
      <w:rFonts w:ascii="Cambria" w:eastAsia="宋体" w:hAnsi="Cambria" w:cs="Times New Roman" w:hint="default"/>
      <w:b/>
      <w:bCs/>
      <w:kern w:val="2"/>
      <w:sz w:val="24"/>
      <w:szCs w:val="24"/>
    </w:rPr>
  </w:style>
  <w:style w:type="character" w:customStyle="1" w:styleId="50">
    <w:name w:val="标题 5 字符"/>
    <w:link w:val="5"/>
    <w:uiPriority w:val="9"/>
    <w:semiHidden/>
    <w:rPr>
      <w:rFonts w:cs="宋体"/>
      <w:b/>
      <w:bCs/>
      <w:kern w:val="2"/>
      <w:sz w:val="28"/>
      <w:szCs w:val="28"/>
    </w:rPr>
  </w:style>
  <w:style w:type="character" w:customStyle="1" w:styleId="60">
    <w:name w:val="标题 6 字符"/>
    <w:link w:val="6"/>
    <w:uiPriority w:val="9"/>
    <w:semiHidden/>
    <w:rPr>
      <w:rFonts w:ascii="Cambria" w:eastAsia="宋体" w:hAnsi="Cambria" w:cs="Times New Roman"/>
      <w:b/>
      <w:bCs/>
      <w:kern w:val="2"/>
      <w:sz w:val="24"/>
      <w:szCs w:val="24"/>
    </w:rPr>
  </w:style>
  <w:style w:type="paragraph" w:customStyle="1" w:styleId="msonormal0">
    <w:name w:val="msonormal"/>
    <w:basedOn w:val="a"/>
    <w:pPr>
      <w:widowControl/>
      <w:spacing w:before="100" w:beforeAutospacing="1" w:after="100" w:afterAutospacing="1"/>
      <w:jc w:val="left"/>
    </w:pPr>
    <w:rPr>
      <w:kern w:val="0"/>
      <w:sz w:val="24"/>
    </w:rPr>
  </w:style>
  <w:style w:type="paragraph" w:styleId="a5">
    <w:name w:val="Normal (Web)"/>
    <w:basedOn w:val="a"/>
    <w:pPr>
      <w:widowControl/>
      <w:spacing w:before="100" w:beforeAutospacing="1" w:after="100" w:afterAutospacing="1"/>
      <w:jc w:val="left"/>
    </w:pPr>
    <w:rPr>
      <w:kern w:val="0"/>
      <w:sz w:val="24"/>
    </w:rPr>
  </w:style>
  <w:style w:type="paragraph" w:styleId="TOC1">
    <w:name w:val="TOC 1"/>
    <w:basedOn w:val="a"/>
    <w:next w:val="a"/>
    <w:autoRedefine/>
    <w:uiPriority w:val="39"/>
    <w:semiHidden/>
    <w:unhideWhenUsed/>
    <w:pPr>
      <w:tabs>
        <w:tab w:val="right" w:leader="dot" w:pos="8835"/>
      </w:tabs>
    </w:pPr>
    <w:rPr>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style>
  <w:style w:type="paragraph" w:styleId="a6">
    <w:name w:val="footnote text"/>
    <w:basedOn w:val="a"/>
    <w:link w:val="12"/>
    <w:pPr>
      <w:snapToGrid w:val="0"/>
      <w:jc w:val="left"/>
    </w:pPr>
    <w:rPr>
      <w:sz w:val="18"/>
      <w:szCs w:val="18"/>
    </w:rPr>
  </w:style>
  <w:style w:type="character" w:customStyle="1" w:styleId="a7">
    <w:name w:val="脚注文本 字符"/>
    <w:link w:val="a6"/>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link w:val="a8"/>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link w:val="aa"/>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link w:val="ac"/>
    <w:uiPriority w:val="10"/>
    <w:locked/>
    <w:rPr>
      <w:rFonts w:ascii="Cambria" w:eastAsia="宋体" w:hAnsi="Cambria" w:cs="Times New Roman" w:hint="default"/>
      <w:b/>
      <w:bCs/>
      <w:kern w:val="2"/>
      <w:sz w:val="32"/>
      <w:szCs w:val="32"/>
    </w:rPr>
  </w:style>
  <w:style w:type="paragraph" w:styleId="ae">
    <w:name w:val="Subtitle"/>
    <w:basedOn w:val="2"/>
    <w:next w:val="3"/>
    <w:link w:val="15"/>
    <w:qFormat/>
    <w:pPr>
      <w:spacing w:before="240" w:after="60" w:line="312" w:lineRule="auto"/>
      <w:jc w:val="left"/>
    </w:pPr>
    <w:rPr>
      <w:bCs w:val="0"/>
      <w:kern w:val="24"/>
      <w:sz w:val="24"/>
    </w:rPr>
  </w:style>
  <w:style w:type="character" w:customStyle="1" w:styleId="af">
    <w:name w:val="副标题 字符"/>
    <w:link w:val="ae"/>
    <w:locked/>
    <w:rPr>
      <w:rFonts w:ascii="Calibri" w:eastAsia="宋体" w:hAnsi="Calibri" w:cs="Times New Roman" w:hint="default"/>
      <w:b/>
      <w:bCs/>
      <w:kern w:val="24"/>
      <w:sz w:val="32"/>
      <w:szCs w:val="32"/>
    </w:rPr>
  </w:style>
  <w:style w:type="paragraph" w:styleId="af0">
    <w:name w:val="Date"/>
    <w:basedOn w:val="a"/>
    <w:next w:val="a"/>
    <w:link w:val="16"/>
    <w:rPr>
      <w:sz w:val="32"/>
      <w:lang/>
    </w:rPr>
  </w:style>
  <w:style w:type="character" w:customStyle="1" w:styleId="af1">
    <w:name w:val="日期 字符"/>
    <w:link w:val="af0"/>
    <w:locked/>
    <w:rPr>
      <w:kern w:val="2"/>
      <w:sz w:val="21"/>
    </w:rPr>
  </w:style>
  <w:style w:type="paragraph" w:styleId="af2">
    <w:name w:val="Document Map"/>
    <w:basedOn w:val="a"/>
    <w:link w:val="17"/>
    <w:pPr>
      <w:shd w:val="clear" w:color="auto" w:fill="000080"/>
    </w:pPr>
  </w:style>
  <w:style w:type="character" w:customStyle="1" w:styleId="af3">
    <w:name w:val="文档结构图 字符"/>
    <w:link w:val="af2"/>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link w:val="af4"/>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XBRLTitle6">
    <w:name w:val="XBRLTitle6"/>
    <w:basedOn w:val="ae"/>
    <w:next w:val="4"/>
    <w:qFormat/>
    <w:pPr>
      <w:numPr>
        <w:ilvl w:val="5"/>
        <w:numId w:val="2"/>
      </w:numPr>
      <w:spacing w:beforeLines="50" w:after="0" w:line="240" w:lineRule="auto"/>
      <w:ind w:left="2042"/>
      <w:outlineLvl w:val="9"/>
    </w:pPr>
    <w:rPr>
      <w:bCs/>
    </w:rPr>
  </w:style>
  <w:style w:type="paragraph" w:customStyle="1" w:styleId="af6">
    <w:name w:val="次标题"/>
    <w:basedOn w:val="3"/>
    <w:next w:val="a"/>
    <w:pPr>
      <w:spacing w:before="120" w:after="120"/>
      <w:jc w:val="left"/>
    </w:pPr>
    <w:rPr>
      <w:sz w:val="21"/>
    </w:rPr>
  </w:style>
  <w:style w:type="paragraph" w:customStyle="1" w:styleId="XBRL6">
    <w:name w:val="XBRL标题6"/>
    <w:basedOn w:val="ae"/>
    <w:next w:val="4"/>
    <w:qFormat/>
    <w:pPr>
      <w:spacing w:beforeLines="50" w:after="0" w:line="240" w:lineRule="auto"/>
      <w:outlineLvl w:val="9"/>
    </w:pPr>
    <w:rPr>
      <w:bCs/>
    </w:rPr>
  </w:style>
  <w:style w:type="paragraph" w:customStyle="1" w:styleId="XBRL2">
    <w:name w:val="XBRL标题2"/>
    <w:basedOn w:val="ae"/>
    <w:next w:val="4"/>
    <w:qFormat/>
    <w:pPr>
      <w:spacing w:beforeLines="50" w:after="0" w:line="240" w:lineRule="auto"/>
    </w:pPr>
    <w:rPr>
      <w:bCs/>
    </w:rPr>
  </w:style>
  <w:style w:type="paragraph" w:customStyle="1" w:styleId="XBRL3">
    <w:name w:val="XBRL标题3"/>
    <w:basedOn w:val="ae"/>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after="0" w:line="240" w:lineRule="auto"/>
      <w:ind w:left="850"/>
      <w:jc w:val="center"/>
    </w:pPr>
    <w:rPr>
      <w:rFonts w:hAnsi="Cambria"/>
      <w:sz w:val="24"/>
    </w:rPr>
  </w:style>
  <w:style w:type="paragraph" w:customStyle="1" w:styleId="XBRLTitle2">
    <w:name w:val="XBRLTitle2"/>
    <w:basedOn w:val="ae"/>
    <w:next w:val="4"/>
    <w:qFormat/>
    <w:pPr>
      <w:keepNext w:val="0"/>
      <w:keepLines w:val="0"/>
      <w:numPr>
        <w:ilvl w:val="1"/>
        <w:numId w:val="2"/>
      </w:numPr>
      <w:spacing w:beforeLines="50" w:after="0" w:line="240" w:lineRule="auto"/>
      <w:ind w:left="3602"/>
    </w:pPr>
    <w:rPr>
      <w:rFonts w:ascii="宋体"/>
      <w:bCs/>
    </w:rPr>
  </w:style>
  <w:style w:type="paragraph" w:customStyle="1" w:styleId="XBRLTitle5">
    <w:name w:val="XBRLTitle5"/>
    <w:basedOn w:val="ae"/>
    <w:next w:val="4"/>
    <w:qFormat/>
    <w:pPr>
      <w:numPr>
        <w:ilvl w:val="4"/>
        <w:numId w:val="2"/>
      </w:numPr>
      <w:spacing w:beforeLines="5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e"/>
    <w:next w:val="4"/>
    <w:qFormat/>
    <w:pPr>
      <w:spacing w:beforeLines="50" w:after="0" w:line="240" w:lineRule="auto"/>
      <w:outlineLvl w:val="9"/>
    </w:pPr>
    <w:rPr>
      <w:bCs/>
    </w:rPr>
  </w:style>
  <w:style w:type="paragraph" w:customStyle="1" w:styleId="XBRL4">
    <w:name w:val="XBRL标题4"/>
    <w:basedOn w:val="ae"/>
    <w:next w:val="4"/>
    <w:qFormat/>
    <w:pPr>
      <w:spacing w:beforeLines="50" w:after="0" w:line="240" w:lineRule="auto"/>
      <w:outlineLvl w:val="9"/>
    </w:pPr>
    <w:rPr>
      <w:bCs/>
    </w:rPr>
  </w:style>
  <w:style w:type="paragraph" w:customStyle="1" w:styleId="XBRLTitle4">
    <w:name w:val="XBRLTitle4"/>
    <w:basedOn w:val="ae"/>
    <w:next w:val="4"/>
    <w:qFormat/>
    <w:pPr>
      <w:numPr>
        <w:ilvl w:val="3"/>
        <w:numId w:val="2"/>
      </w:numPr>
      <w:spacing w:beforeLines="5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styleId="af7">
    <w:name w:val="footnote reference"/>
    <w:rPr>
      <w:vertAlign w:val="superscript"/>
    </w:rPr>
  </w:style>
  <w:style w:type="character" w:customStyle="1" w:styleId="1Char">
    <w:name w:val="标题 1 Char"/>
    <w:link w:val="1"/>
    <w:uiPriority w:val="9"/>
    <w:locked/>
    <w:rPr>
      <w:b/>
      <w:bCs/>
      <w:kern w:val="44"/>
      <w:sz w:val="44"/>
      <w:szCs w:val="44"/>
    </w:rPr>
  </w:style>
  <w:style w:type="character" w:customStyle="1" w:styleId="2Char">
    <w:name w:val="标题 2 Char"/>
    <w:link w:val="2"/>
    <w:uiPriority w:val="9"/>
    <w:locked/>
    <w:rPr>
      <w:rFonts w:ascii="Cambria" w:eastAsia="宋体" w:hAnsi="Cambria" w:cs="Times New Roman" w:hint="default"/>
      <w:b/>
      <w:bCs/>
      <w:kern w:val="2"/>
      <w:sz w:val="32"/>
      <w:szCs w:val="32"/>
    </w:rPr>
  </w:style>
  <w:style w:type="character" w:customStyle="1" w:styleId="3Char">
    <w:name w:val="标题 3 Char"/>
    <w:link w:val="3"/>
    <w:uiPriority w:val="9"/>
    <w:locked/>
    <w:rPr>
      <w:b/>
      <w:bCs/>
      <w:kern w:val="2"/>
      <w:sz w:val="32"/>
      <w:szCs w:val="32"/>
    </w:rPr>
  </w:style>
  <w:style w:type="character" w:customStyle="1" w:styleId="4Char">
    <w:name w:val="标题 4 Char"/>
    <w:link w:val="4"/>
    <w:locked/>
    <w:rPr>
      <w:rFonts w:ascii="Cambria" w:eastAsia="宋体" w:hAnsi="Cambria" w:cs="Times New Roman" w:hint="default"/>
      <w:b/>
      <w:bCs/>
      <w:kern w:val="2"/>
      <w:sz w:val="24"/>
      <w:szCs w:val="24"/>
    </w:rPr>
  </w:style>
  <w:style w:type="character" w:customStyle="1" w:styleId="5Char">
    <w:name w:val="标题 5 Char"/>
    <w:link w:val="5"/>
    <w:uiPriority w:val="9"/>
    <w:semiHidden/>
    <w:locked/>
    <w:rPr>
      <w:b/>
      <w:bCs/>
      <w:kern w:val="2"/>
      <w:sz w:val="24"/>
      <w:szCs w:val="24"/>
    </w:rPr>
  </w:style>
  <w:style w:type="character" w:customStyle="1" w:styleId="6Char">
    <w:name w:val="标题 6 Char"/>
    <w:link w:val="6"/>
    <w:uiPriority w:val="9"/>
    <w:semiHidden/>
    <w:locked/>
    <w:rPr>
      <w:rFonts w:ascii="Cambria" w:eastAsia="宋体" w:hAnsi="Cambria" w:cs="Times New Roman" w:hint="default"/>
      <w:b/>
      <w:bCs/>
      <w:kern w:val="2"/>
      <w:sz w:val="24"/>
      <w:szCs w:val="24"/>
    </w:rPr>
  </w:style>
  <w:style w:type="character" w:customStyle="1" w:styleId="Char0">
    <w:name w:val="脚注文本 Char"/>
    <w:link w:val="a6"/>
    <w:locked/>
    <w:rPr>
      <w:kern w:val="2"/>
      <w:sz w:val="18"/>
      <w:szCs w:val="18"/>
    </w:rPr>
  </w:style>
  <w:style w:type="character" w:customStyle="1" w:styleId="Char1">
    <w:name w:val="页眉 Char"/>
    <w:link w:val="a8"/>
    <w:uiPriority w:val="99"/>
    <w:locked/>
    <w:rPr>
      <w:kern w:val="2"/>
      <w:sz w:val="18"/>
      <w:szCs w:val="18"/>
    </w:rPr>
  </w:style>
  <w:style w:type="character" w:customStyle="1" w:styleId="Char2">
    <w:name w:val="页脚 Char"/>
    <w:link w:val="aa"/>
    <w:uiPriority w:val="99"/>
    <w:locked/>
    <w:rPr>
      <w:kern w:val="2"/>
      <w:sz w:val="18"/>
      <w:szCs w:val="18"/>
    </w:rPr>
  </w:style>
  <w:style w:type="character" w:customStyle="1" w:styleId="Char3">
    <w:name w:val="标题 Char"/>
    <w:link w:val="ac"/>
    <w:uiPriority w:val="10"/>
    <w:locked/>
    <w:rPr>
      <w:rFonts w:ascii="Cambria" w:hAnsi="Cambria" w:cs="Times New Roman" w:hint="default"/>
      <w:b/>
      <w:bCs/>
      <w:kern w:val="2"/>
      <w:sz w:val="32"/>
      <w:szCs w:val="32"/>
    </w:rPr>
  </w:style>
  <w:style w:type="character" w:customStyle="1" w:styleId="Char4">
    <w:name w:val="副标题 Char"/>
    <w:link w:val="ae"/>
    <w:locked/>
    <w:rPr>
      <w:rFonts w:ascii="Cambria" w:hAnsi="Cambria" w:cs="Times New Roman" w:hint="default"/>
      <w:b/>
      <w:bCs/>
      <w:kern w:val="24"/>
      <w:sz w:val="32"/>
      <w:szCs w:val="32"/>
    </w:rPr>
  </w:style>
  <w:style w:type="character" w:customStyle="1" w:styleId="Char5">
    <w:name w:val="日期 Char"/>
    <w:link w:val="af0"/>
    <w:locked/>
    <w:rPr>
      <w:kern w:val="2"/>
      <w:sz w:val="21"/>
    </w:rPr>
  </w:style>
  <w:style w:type="character" w:customStyle="1" w:styleId="Char6">
    <w:name w:val="文档结构图 Char"/>
    <w:link w:val="af2"/>
    <w:locked/>
    <w:rPr>
      <w:rFonts w:ascii="宋体" w:eastAsia="宋体" w:hAnsi="宋体" w:hint="eastAsia"/>
      <w:kern w:val="2"/>
      <w:sz w:val="18"/>
      <w:szCs w:val="18"/>
    </w:rPr>
  </w:style>
  <w:style w:type="character" w:customStyle="1" w:styleId="Char7">
    <w:name w:val="批注框文本 Char"/>
    <w:link w:val="af4"/>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宋体"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宋体" w:hint="default"/>
      <w:b/>
      <w:bCs/>
      <w:sz w:val="24"/>
      <w:szCs w:val="24"/>
    </w:rPr>
  </w:style>
  <w:style w:type="character" w:customStyle="1" w:styleId="12">
    <w:name w:val="脚注文本 字符1"/>
    <w:link w:val="a6"/>
    <w:locked/>
    <w:rPr>
      <w:kern w:val="2"/>
      <w:sz w:val="18"/>
      <w:szCs w:val="18"/>
    </w:rPr>
  </w:style>
  <w:style w:type="character" w:customStyle="1" w:styleId="22">
    <w:name w:val="页眉 字符2"/>
    <w:link w:val="a8"/>
    <w:locked/>
    <w:rPr>
      <w:kern w:val="2"/>
      <w:sz w:val="18"/>
      <w:szCs w:val="18"/>
    </w:rPr>
  </w:style>
  <w:style w:type="character" w:customStyle="1" w:styleId="13">
    <w:name w:val="页脚 字符1"/>
    <w:link w:val="aa"/>
    <w:uiPriority w:val="99"/>
    <w:locked/>
    <w:rPr>
      <w:kern w:val="2"/>
      <w:sz w:val="18"/>
      <w:szCs w:val="18"/>
    </w:rPr>
  </w:style>
  <w:style w:type="character" w:customStyle="1" w:styleId="14">
    <w:name w:val="标题 字符1"/>
    <w:link w:val="ac"/>
    <w:uiPriority w:val="10"/>
    <w:locked/>
    <w:rPr>
      <w:rFonts w:ascii="Cambria" w:hAnsi="Cambria" w:cs="宋体" w:hint="default"/>
      <w:b/>
      <w:bCs/>
      <w:sz w:val="32"/>
      <w:szCs w:val="32"/>
    </w:rPr>
  </w:style>
  <w:style w:type="character" w:customStyle="1" w:styleId="15">
    <w:name w:val="副标题 字符1"/>
    <w:link w:val="ae"/>
    <w:locked/>
    <w:rPr>
      <w:rFonts w:ascii="Cambria" w:eastAsia="宋体" w:hAnsi="Cambria" w:cs="宋体" w:hint="default"/>
      <w:b/>
      <w:bCs w:val="0"/>
      <w:kern w:val="24"/>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link w:val="af2"/>
    <w:locked/>
    <w:rPr>
      <w:rFonts w:ascii="宋体" w:eastAsia="宋体" w:hAnsi="宋体" w:hint="eastAsia"/>
      <w:kern w:val="2"/>
      <w:sz w:val="18"/>
      <w:szCs w:val="18"/>
    </w:rPr>
  </w:style>
  <w:style w:type="character" w:customStyle="1" w:styleId="18">
    <w:name w:val="批注框文本 字符1"/>
    <w:link w:val="af4"/>
    <w:uiPriority w:val="99"/>
    <w:semiHidden/>
    <w:locked/>
    <w:rPr>
      <w:kern w:val="2"/>
      <w:sz w:val="18"/>
      <w:szCs w:val="18"/>
    </w:rPr>
  </w:style>
  <w:style w:type="character" w:customStyle="1" w:styleId="51">
    <w:name w:val="标题 5 字符1"/>
    <w:link w:val="5"/>
    <w:uiPriority w:val="9"/>
    <w:semiHidden/>
    <w:locked/>
    <w:rPr>
      <w:b/>
      <w:bCs/>
      <w:kern w:val="2"/>
      <w:sz w:val="24"/>
      <w:szCs w:val="24"/>
    </w:rPr>
  </w:style>
  <w:style w:type="character" w:customStyle="1" w:styleId="61">
    <w:name w:val="标题 6 字符1"/>
    <w:link w:val="6"/>
    <w:uiPriority w:val="9"/>
    <w:semiHidden/>
    <w:locked/>
    <w:rPr>
      <w:rFonts w:ascii="Cambria" w:eastAsia="宋体" w:hAnsi="Cambria" w:cs="Times New Roman" w:hint="default"/>
      <w:b/>
      <w:bCs/>
      <w:kern w:val="2"/>
      <w:sz w:val="24"/>
      <w:szCs w:val="24"/>
    </w:rPr>
  </w:style>
  <w:style w:type="character" w:customStyle="1" w:styleId="19">
    <w:name w:val="页眉 字符1"/>
    <w:locked/>
    <w:rPr>
      <w:kern w:val="2"/>
      <w:sz w:val="18"/>
      <w:szCs w:val="18"/>
    </w:rPr>
  </w:style>
  <w:style w:type="table" w:styleId="af8">
    <w:name w:val="Table Grid"/>
    <w:basedOn w:val="a1"/>
    <w:uiPriority w:val="59"/>
    <w:semiHidden/>
    <w:unhideWhenUs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10">
    <w:name w:val="页眉 Char1"/>
    <w:locked/>
    <w:rPr>
      <w:kern w:val="2"/>
      <w:sz w:val="18"/>
      <w:szCs w:val="18"/>
    </w:rPr>
  </w:style>
  <w:style w:type="character" w:customStyle="1" w:styleId="Char11">
    <w:name w:val="页脚 Char1"/>
    <w:uiPriority w:val="99"/>
    <w:locked/>
    <w:rPr>
      <w:kern w:val="2"/>
      <w:sz w:val="18"/>
      <w:szCs w:val="18"/>
    </w:rPr>
  </w:style>
</w:styles>
</file>

<file path=word/webSettings.xml><?xml version="1.0" encoding="utf-8"?>
<w:webSettings xmlns:r="http://schemas.openxmlformats.org/officeDocument/2006/relationships" xmlns:w="http://schemas.openxmlformats.org/wordprocessingml/2006/main">
  <w:encoding w:val="unicode"/>
  <w:optimizeForBrowser/>
  <w:relyOnVML/>
  <w:allowPNG/>
  <w:doNotRelyOnCSS/>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9DEE4-8435-4897-8269-BE68736B2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220</Words>
  <Characters>1258</Characters>
  <Application>Microsoft Office Word</Application>
  <DocSecurity>4</DocSecurity>
  <Lines>10</Lines>
  <Paragraphs>2</Paragraphs>
  <ScaleCrop>false</ScaleCrop>
  <Company/>
  <LinksUpToDate>false</LinksUpToDate>
  <CharactersWithSpaces>1476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cp:lastPrinted>2026-01-29T07:48:00Z</cp:lastPrinted>
  <dcterms:created xsi:type="dcterms:W3CDTF">2026-01-30T16:00:00Z</dcterms:created>
  <dcterms:modified xsi:type="dcterms:W3CDTF">2026-01-30T16:00:00Z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