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8D" w:rsidRDefault="00D1408D" w:rsidP="00D1408D">
      <w:pPr>
        <w:pStyle w:val="a7"/>
        <w:spacing w:before="0" w:beforeAutospacing="0" w:after="0" w:afterAutospacing="0" w:line="480" w:lineRule="auto"/>
        <w:jc w:val="center"/>
        <w:rPr>
          <w:rFonts w:ascii="黑体" w:eastAsia="黑体" w:hAnsi="黑体" w:cstheme="minorBidi"/>
          <w:b/>
          <w:kern w:val="2"/>
          <w:sz w:val="36"/>
          <w:szCs w:val="22"/>
        </w:rPr>
      </w:pPr>
      <w:r w:rsidRPr="00D1408D">
        <w:rPr>
          <w:rFonts w:ascii="黑体" w:eastAsia="黑体" w:hAnsi="黑体" w:cstheme="minorBidi" w:hint="eastAsia"/>
          <w:b/>
          <w:kern w:val="2"/>
          <w:sz w:val="36"/>
          <w:szCs w:val="22"/>
        </w:rPr>
        <w:t>国联基金管理有限公司</w:t>
      </w:r>
    </w:p>
    <w:p w:rsidR="000C10A8" w:rsidRPr="007246A8" w:rsidRDefault="00DB5870" w:rsidP="00D1408D">
      <w:pPr>
        <w:pStyle w:val="a7"/>
        <w:spacing w:before="0" w:beforeAutospacing="0" w:after="0" w:afterAutospacing="0" w:line="480" w:lineRule="auto"/>
        <w:jc w:val="center"/>
        <w:rPr>
          <w:rFonts w:ascii="仿宋" w:eastAsia="仿宋" w:hAnsi="仿宋"/>
        </w:rPr>
      </w:pPr>
      <w:r>
        <w:rPr>
          <w:rFonts w:ascii="黑体" w:eastAsia="黑体" w:hAnsi="黑体" w:cstheme="minorBidi" w:hint="eastAsia"/>
          <w:b/>
          <w:kern w:val="2"/>
          <w:sz w:val="36"/>
          <w:szCs w:val="22"/>
        </w:rPr>
        <w:t>关于旗下部分上</w:t>
      </w:r>
      <w:r w:rsidR="00D1408D" w:rsidRPr="00D1408D">
        <w:rPr>
          <w:rFonts w:ascii="黑体" w:eastAsia="黑体" w:hAnsi="黑体" w:cstheme="minorBidi" w:hint="eastAsia"/>
          <w:b/>
          <w:kern w:val="2"/>
          <w:sz w:val="36"/>
          <w:szCs w:val="22"/>
        </w:rPr>
        <w:t>交所ETF变更</w:t>
      </w:r>
      <w:r>
        <w:rPr>
          <w:rFonts w:ascii="黑体" w:eastAsia="黑体" w:hAnsi="黑体" w:cstheme="minorBidi" w:hint="eastAsia"/>
          <w:b/>
          <w:kern w:val="2"/>
          <w:sz w:val="36"/>
          <w:szCs w:val="22"/>
        </w:rPr>
        <w:t>扩位证券</w:t>
      </w:r>
      <w:r w:rsidR="00D1408D" w:rsidRPr="00D1408D">
        <w:rPr>
          <w:rFonts w:ascii="黑体" w:eastAsia="黑体" w:hAnsi="黑体" w:cstheme="minorBidi" w:hint="eastAsia"/>
          <w:b/>
          <w:kern w:val="2"/>
          <w:sz w:val="36"/>
          <w:szCs w:val="22"/>
        </w:rPr>
        <w:t>简称的公告</w:t>
      </w:r>
    </w:p>
    <w:p w:rsidR="00D1408D" w:rsidRDefault="00D1408D" w:rsidP="000B1562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</w:rPr>
      </w:pPr>
    </w:p>
    <w:p w:rsidR="00FA6002" w:rsidRDefault="00DB5870" w:rsidP="00D1408D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经向</w:t>
      </w:r>
      <w:r>
        <w:rPr>
          <w:rFonts w:ascii="仿宋" w:eastAsia="仿宋" w:hAnsi="仿宋" w:hint="eastAsia"/>
          <w:sz w:val="28"/>
        </w:rPr>
        <w:t>上海</w:t>
      </w:r>
      <w:r w:rsidR="00D1408D">
        <w:rPr>
          <w:rFonts w:ascii="仿宋" w:eastAsia="仿宋" w:hAnsi="仿宋"/>
          <w:sz w:val="28"/>
        </w:rPr>
        <w:t>证券交易所申请，</w:t>
      </w:r>
      <w:r w:rsidR="00D1408D">
        <w:rPr>
          <w:rFonts w:ascii="仿宋" w:eastAsia="仿宋" w:hAnsi="仿宋" w:hint="eastAsia"/>
          <w:sz w:val="28"/>
        </w:rPr>
        <w:t>国联</w:t>
      </w:r>
      <w:r>
        <w:rPr>
          <w:rFonts w:ascii="仿宋" w:eastAsia="仿宋" w:hAnsi="仿宋"/>
          <w:sz w:val="28"/>
        </w:rPr>
        <w:t>基金管理有限公司旗下部分</w:t>
      </w:r>
      <w:r>
        <w:rPr>
          <w:rFonts w:ascii="仿宋" w:eastAsia="仿宋" w:hAnsi="仿宋" w:hint="eastAsia"/>
          <w:sz w:val="28"/>
        </w:rPr>
        <w:t>上</w:t>
      </w:r>
      <w:r w:rsidR="00D1408D" w:rsidRPr="00D1408D">
        <w:rPr>
          <w:rFonts w:ascii="仿宋" w:eastAsia="仿宋" w:hAnsi="仿宋"/>
          <w:sz w:val="28"/>
        </w:rPr>
        <w:t>交所ETF将自2026年</w:t>
      </w:r>
      <w:r w:rsidR="003C59BD">
        <w:rPr>
          <w:rFonts w:ascii="仿宋" w:eastAsia="仿宋" w:hAnsi="仿宋"/>
          <w:sz w:val="28"/>
        </w:rPr>
        <w:t>2</w:t>
      </w:r>
      <w:r w:rsidR="00D1408D" w:rsidRPr="00D1408D">
        <w:rPr>
          <w:rFonts w:ascii="仿宋" w:eastAsia="仿宋" w:hAnsi="仿宋"/>
          <w:sz w:val="28"/>
        </w:rPr>
        <w:t>月</w:t>
      </w:r>
      <w:r w:rsidR="003C59BD">
        <w:rPr>
          <w:rFonts w:ascii="仿宋" w:eastAsia="仿宋" w:hAnsi="仿宋"/>
          <w:sz w:val="28"/>
        </w:rPr>
        <w:t>2</w:t>
      </w:r>
      <w:r>
        <w:rPr>
          <w:rFonts w:ascii="仿宋" w:eastAsia="仿宋" w:hAnsi="仿宋"/>
          <w:sz w:val="28"/>
        </w:rPr>
        <w:t>日起变更</w:t>
      </w:r>
      <w:r>
        <w:rPr>
          <w:rFonts w:ascii="仿宋" w:eastAsia="仿宋" w:hAnsi="仿宋" w:hint="eastAsia"/>
          <w:sz w:val="28"/>
        </w:rPr>
        <w:t>扩位证券</w:t>
      </w:r>
      <w:r w:rsidR="00D1408D" w:rsidRPr="00D1408D">
        <w:rPr>
          <w:rFonts w:ascii="仿宋" w:eastAsia="仿宋" w:hAnsi="仿宋"/>
          <w:sz w:val="28"/>
        </w:rPr>
        <w:t>简称，涉及基金及变更情况如下：</w:t>
      </w:r>
      <w:r w:rsidR="00D1408D">
        <w:rPr>
          <w:rFonts w:ascii="仿宋" w:eastAsia="仿宋" w:hAnsi="仿宋"/>
          <w:sz w:val="28"/>
        </w:rPr>
        <w:t xml:space="preserve"> </w:t>
      </w:r>
    </w:p>
    <w:tbl>
      <w:tblPr>
        <w:tblStyle w:val="aa"/>
        <w:tblW w:w="10727" w:type="dxa"/>
        <w:jc w:val="center"/>
        <w:tblLook w:val="04A0"/>
      </w:tblPr>
      <w:tblGrid>
        <w:gridCol w:w="1413"/>
        <w:gridCol w:w="4252"/>
        <w:gridCol w:w="2268"/>
        <w:gridCol w:w="2794"/>
      </w:tblGrid>
      <w:tr w:rsidR="00D1408D" w:rsidTr="00D53384">
        <w:trPr>
          <w:jc w:val="center"/>
        </w:trPr>
        <w:tc>
          <w:tcPr>
            <w:tcW w:w="1413" w:type="dxa"/>
          </w:tcPr>
          <w:p w:rsidR="00D1408D" w:rsidRDefault="00D1408D" w:rsidP="003C59B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基金代码</w:t>
            </w:r>
          </w:p>
        </w:tc>
        <w:tc>
          <w:tcPr>
            <w:tcW w:w="4252" w:type="dxa"/>
          </w:tcPr>
          <w:p w:rsidR="00D1408D" w:rsidRDefault="00D1408D" w:rsidP="003C59B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基金全称</w:t>
            </w:r>
          </w:p>
        </w:tc>
        <w:tc>
          <w:tcPr>
            <w:tcW w:w="2268" w:type="dxa"/>
          </w:tcPr>
          <w:p w:rsidR="00D1408D" w:rsidRDefault="00DB5870" w:rsidP="003C59B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原扩位证券</w:t>
            </w:r>
            <w:r w:rsidR="00D1408D">
              <w:rPr>
                <w:rFonts w:ascii="仿宋" w:eastAsia="仿宋" w:hAnsi="仿宋" w:hint="eastAsia"/>
                <w:sz w:val="28"/>
              </w:rPr>
              <w:t>简称</w:t>
            </w:r>
          </w:p>
        </w:tc>
        <w:tc>
          <w:tcPr>
            <w:tcW w:w="2794" w:type="dxa"/>
          </w:tcPr>
          <w:p w:rsidR="00D1408D" w:rsidRDefault="00DB5870" w:rsidP="003C59B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变更后扩位证券</w:t>
            </w:r>
            <w:r w:rsidR="00D1408D">
              <w:rPr>
                <w:rFonts w:ascii="仿宋" w:eastAsia="仿宋" w:hAnsi="仿宋" w:hint="eastAsia"/>
                <w:sz w:val="28"/>
              </w:rPr>
              <w:t>简称</w:t>
            </w:r>
          </w:p>
        </w:tc>
      </w:tr>
      <w:tr w:rsidR="00D1408D" w:rsidTr="00D53384">
        <w:trPr>
          <w:jc w:val="center"/>
        </w:trPr>
        <w:tc>
          <w:tcPr>
            <w:tcW w:w="1413" w:type="dxa"/>
            <w:vAlign w:val="center"/>
          </w:tcPr>
          <w:p w:rsidR="00D1408D" w:rsidRPr="00D1408D" w:rsidRDefault="00DB5870" w:rsidP="003C59B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 w:rsidRPr="00DB5870">
              <w:rPr>
                <w:rFonts w:ascii="仿宋" w:eastAsia="仿宋" w:hAnsi="仿宋"/>
                <w:sz w:val="28"/>
              </w:rPr>
              <w:t>511930</w:t>
            </w:r>
          </w:p>
        </w:tc>
        <w:tc>
          <w:tcPr>
            <w:tcW w:w="4252" w:type="dxa"/>
            <w:vAlign w:val="center"/>
          </w:tcPr>
          <w:p w:rsidR="00D1408D" w:rsidRDefault="00DB5870" w:rsidP="003C59B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 w:rsidRPr="00DB5870">
              <w:rPr>
                <w:rFonts w:ascii="仿宋" w:eastAsia="仿宋" w:hAnsi="仿宋"/>
                <w:sz w:val="28"/>
              </w:rPr>
              <w:t>国联日日盈交易型货币市场基金</w:t>
            </w:r>
          </w:p>
        </w:tc>
        <w:tc>
          <w:tcPr>
            <w:tcW w:w="2268" w:type="dxa"/>
            <w:vAlign w:val="center"/>
          </w:tcPr>
          <w:p w:rsidR="00D1408D" w:rsidRDefault="00DB5870" w:rsidP="003C59B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国联日盈货币ETF</w:t>
            </w:r>
          </w:p>
        </w:tc>
        <w:tc>
          <w:tcPr>
            <w:tcW w:w="2794" w:type="dxa"/>
            <w:vAlign w:val="center"/>
          </w:tcPr>
          <w:p w:rsidR="00D1408D" w:rsidRDefault="00DB5870" w:rsidP="003C59B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货币ETF国联</w:t>
            </w:r>
          </w:p>
        </w:tc>
      </w:tr>
      <w:tr w:rsidR="00D1408D" w:rsidTr="00D53384">
        <w:trPr>
          <w:jc w:val="center"/>
        </w:trPr>
        <w:tc>
          <w:tcPr>
            <w:tcW w:w="1413" w:type="dxa"/>
            <w:vAlign w:val="center"/>
          </w:tcPr>
          <w:p w:rsidR="00D1408D" w:rsidRDefault="00DB5870" w:rsidP="003C59B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 w:rsidRPr="00DB5870">
              <w:rPr>
                <w:rFonts w:ascii="仿宋" w:eastAsia="仿宋" w:hAnsi="仿宋" w:hint="eastAsia"/>
                <w:sz w:val="28"/>
              </w:rPr>
              <w:t>515550</w:t>
            </w:r>
          </w:p>
        </w:tc>
        <w:tc>
          <w:tcPr>
            <w:tcW w:w="4252" w:type="dxa"/>
            <w:vAlign w:val="center"/>
          </w:tcPr>
          <w:p w:rsidR="00D1408D" w:rsidRDefault="00DB5870" w:rsidP="003C59B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 w:rsidRPr="00DB5870">
              <w:rPr>
                <w:rFonts w:ascii="仿宋" w:eastAsia="仿宋" w:hAnsi="仿宋" w:hint="eastAsia"/>
                <w:sz w:val="28"/>
              </w:rPr>
              <w:t>国联中证500交易型开放式指数证券投资基金</w:t>
            </w:r>
          </w:p>
        </w:tc>
        <w:tc>
          <w:tcPr>
            <w:tcW w:w="2268" w:type="dxa"/>
            <w:vAlign w:val="center"/>
          </w:tcPr>
          <w:p w:rsidR="00D1408D" w:rsidRDefault="00DB5870" w:rsidP="003C59B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国联中证5</w:t>
            </w:r>
            <w:r>
              <w:rPr>
                <w:rFonts w:ascii="仿宋" w:eastAsia="仿宋" w:hAnsi="仿宋"/>
                <w:sz w:val="28"/>
              </w:rPr>
              <w:t>00</w:t>
            </w:r>
            <w:r>
              <w:rPr>
                <w:rFonts w:ascii="仿宋" w:eastAsia="仿宋" w:hAnsi="仿宋" w:hint="eastAsia"/>
                <w:sz w:val="28"/>
              </w:rPr>
              <w:t>ETF</w:t>
            </w:r>
          </w:p>
        </w:tc>
        <w:tc>
          <w:tcPr>
            <w:tcW w:w="2794" w:type="dxa"/>
            <w:vAlign w:val="center"/>
          </w:tcPr>
          <w:p w:rsidR="00D1408D" w:rsidRDefault="003C59BD" w:rsidP="003C59BD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中证</w:t>
            </w:r>
            <w:r w:rsidR="00DB5870">
              <w:rPr>
                <w:rFonts w:ascii="仿宋" w:eastAsia="仿宋" w:hAnsi="仿宋"/>
                <w:sz w:val="28"/>
              </w:rPr>
              <w:t>500</w:t>
            </w:r>
            <w:r>
              <w:rPr>
                <w:rFonts w:ascii="仿宋" w:eastAsia="仿宋" w:hAnsi="仿宋" w:hint="eastAsia"/>
                <w:sz w:val="28"/>
              </w:rPr>
              <w:t>ETF国联</w:t>
            </w:r>
          </w:p>
        </w:tc>
      </w:tr>
    </w:tbl>
    <w:p w:rsidR="003C59BD" w:rsidRPr="003C59BD" w:rsidRDefault="003C59BD" w:rsidP="00D1408D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（1）</w:t>
      </w:r>
      <w:r w:rsidRPr="003C59BD">
        <w:rPr>
          <w:rFonts w:ascii="仿宋" w:eastAsia="仿宋" w:hAnsi="仿宋"/>
          <w:sz w:val="28"/>
        </w:rPr>
        <w:t xml:space="preserve">基金代码、基金名称等其他事项保持不变。 </w:t>
      </w:r>
    </w:p>
    <w:p w:rsidR="00DD45CE" w:rsidRDefault="003C59BD" w:rsidP="00DD45CE">
      <w:pPr>
        <w:pStyle w:val="a7"/>
        <w:spacing w:before="0" w:beforeAutospacing="0" w:after="0" w:afterAutospacing="0" w:line="360" w:lineRule="auto"/>
        <w:ind w:firstLineChars="200" w:firstLine="560"/>
        <w:jc w:val="both"/>
      </w:pPr>
      <w:r>
        <w:rPr>
          <w:rFonts w:ascii="仿宋" w:eastAsia="仿宋" w:hAnsi="仿宋" w:hint="eastAsia"/>
          <w:sz w:val="28"/>
        </w:rPr>
        <w:t>（2）</w:t>
      </w:r>
      <w:r w:rsidR="00DD45CE" w:rsidRPr="00DD45CE">
        <w:rPr>
          <w:rFonts w:ascii="仿宋" w:eastAsia="仿宋" w:hAnsi="仿宋"/>
          <w:sz w:val="28"/>
        </w:rPr>
        <w:t>本次基金变更上述扩位证券简称的事项不涉及对基金合同、托管协议的修订，不涉及变</w:t>
      </w:r>
      <w:bookmarkStart w:id="0" w:name="_GoBack"/>
      <w:bookmarkEnd w:id="0"/>
      <w:r w:rsidR="00DD45CE" w:rsidRPr="00DD45CE">
        <w:rPr>
          <w:rFonts w:ascii="仿宋" w:eastAsia="仿宋" w:hAnsi="仿宋"/>
          <w:sz w:val="28"/>
        </w:rPr>
        <w:t>更基金合同当事人的权利和义务，对基金份额持有人的权益无实质性影响，不需要召开基金份额持有人大会</w:t>
      </w:r>
      <w:r w:rsidR="00DD45CE" w:rsidRPr="00DD45CE">
        <w:rPr>
          <w:rFonts w:ascii="仿宋" w:eastAsia="仿宋" w:hAnsi="仿宋" w:hint="eastAsia"/>
          <w:sz w:val="28"/>
        </w:rPr>
        <w:t>。</w:t>
      </w:r>
    </w:p>
    <w:p w:rsidR="003C59BD" w:rsidRPr="003C59BD" w:rsidRDefault="003C59BD" w:rsidP="00DD45CE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（3）</w:t>
      </w:r>
      <w:r w:rsidRPr="003C59BD">
        <w:rPr>
          <w:rFonts w:ascii="仿宋" w:eastAsia="仿宋" w:hAnsi="仿宋" w:hint="eastAsia"/>
          <w:sz w:val="28"/>
        </w:rPr>
        <w:t>咨询办法：如有疑问，请拨打本基金管理人客户服务电话400-160-6000，010-56517299或登录本公司网站（www.glfund.com）获取相关信息。</w:t>
      </w:r>
    </w:p>
    <w:p w:rsidR="00E22C63" w:rsidRPr="007246A8" w:rsidRDefault="000B1562" w:rsidP="00FA6002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</w:rPr>
      </w:pPr>
      <w:r w:rsidRPr="007246A8">
        <w:rPr>
          <w:rFonts w:ascii="仿宋" w:eastAsia="仿宋" w:hAnsi="仿宋" w:hint="eastAsia"/>
          <w:sz w:val="28"/>
        </w:rPr>
        <w:t>风险提示：</w:t>
      </w:r>
      <w:r w:rsidR="007246A8" w:rsidRPr="007246A8">
        <w:rPr>
          <w:rFonts w:ascii="仿宋" w:eastAsia="仿宋" w:hAnsi="仿宋"/>
          <w:sz w:val="28"/>
        </w:rPr>
        <w:t>本公司承诺以诚实信用、勤勉尽责的原则管理和运用基金资产，但不保证基金一定盈利，也不保证最低收益。</w:t>
      </w:r>
      <w:r w:rsidR="00707D3A" w:rsidRPr="00707D3A">
        <w:rPr>
          <w:rFonts w:ascii="仿宋" w:eastAsia="仿宋" w:hAnsi="仿宋" w:hint="eastAsia"/>
          <w:sz w:val="28"/>
        </w:rPr>
        <w:t>基金的过往业绩及其净值高低并不预示其未来业绩表现。</w:t>
      </w:r>
      <w:r w:rsidR="007246A8" w:rsidRPr="007246A8">
        <w:rPr>
          <w:rFonts w:ascii="仿宋" w:eastAsia="仿宋" w:hAnsi="仿宋"/>
          <w:sz w:val="28"/>
        </w:rPr>
        <w:t>基金投资有风险，投资者投资基金前应认真阅读基金的《基金合同》、《招募说明书》等文</w:t>
      </w:r>
      <w:r w:rsidR="007246A8" w:rsidRPr="007246A8">
        <w:rPr>
          <w:rFonts w:ascii="仿宋" w:eastAsia="仿宋" w:hAnsi="仿宋"/>
          <w:sz w:val="28"/>
        </w:rPr>
        <w:lastRenderedPageBreak/>
        <w:t>件，了解所投资基金的风险收益特征，并根据自身情况购买与本人风险承受能力相匹配的产品。敬请投资者留意投资风险。</w:t>
      </w:r>
    </w:p>
    <w:p w:rsidR="003C59BD" w:rsidRPr="007246A8" w:rsidRDefault="003C59BD" w:rsidP="005C4C3E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特此公告。</w:t>
      </w:r>
    </w:p>
    <w:p w:rsidR="000C10A8" w:rsidRPr="007246A8" w:rsidRDefault="000C10A8" w:rsidP="007246A8">
      <w:pPr>
        <w:pStyle w:val="a7"/>
        <w:spacing w:before="0" w:beforeAutospacing="0" w:after="0" w:afterAutospacing="0" w:line="360" w:lineRule="auto"/>
        <w:jc w:val="both"/>
        <w:rPr>
          <w:rFonts w:ascii="仿宋" w:eastAsia="仿宋" w:hAnsi="仿宋"/>
          <w:sz w:val="28"/>
        </w:rPr>
      </w:pPr>
    </w:p>
    <w:p w:rsidR="000C10A8" w:rsidRPr="007246A8" w:rsidRDefault="000C10A8">
      <w:pPr>
        <w:pStyle w:val="a7"/>
        <w:spacing w:before="0" w:beforeAutospacing="0" w:after="0" w:afterAutospacing="0" w:line="480" w:lineRule="auto"/>
        <w:ind w:firstLine="360"/>
        <w:rPr>
          <w:rFonts w:ascii="仿宋" w:eastAsia="仿宋" w:hAnsi="仿宋"/>
          <w:sz w:val="28"/>
        </w:rPr>
      </w:pPr>
    </w:p>
    <w:p w:rsidR="000C10A8" w:rsidRPr="007246A8" w:rsidRDefault="00D70BE7">
      <w:pPr>
        <w:pStyle w:val="a7"/>
        <w:spacing w:before="0" w:beforeAutospacing="0" w:after="0" w:afterAutospacing="0" w:line="480" w:lineRule="auto"/>
        <w:jc w:val="right"/>
        <w:rPr>
          <w:rFonts w:ascii="仿宋" w:eastAsia="仿宋" w:hAnsi="仿宋"/>
          <w:sz w:val="28"/>
        </w:rPr>
      </w:pPr>
      <w:r w:rsidRPr="007246A8">
        <w:rPr>
          <w:rFonts w:ascii="仿宋" w:eastAsia="仿宋" w:hAnsi="仿宋" w:hint="eastAsia"/>
          <w:sz w:val="28"/>
        </w:rPr>
        <w:t>国联</w:t>
      </w:r>
      <w:r w:rsidR="007246A8">
        <w:rPr>
          <w:rFonts w:ascii="仿宋" w:eastAsia="仿宋" w:hAnsi="仿宋" w:hint="eastAsia"/>
          <w:sz w:val="28"/>
        </w:rPr>
        <w:t>基金管理</w:t>
      </w:r>
      <w:r w:rsidR="00297113" w:rsidRPr="007246A8">
        <w:rPr>
          <w:rFonts w:ascii="仿宋" w:eastAsia="仿宋" w:hAnsi="仿宋" w:hint="eastAsia"/>
          <w:sz w:val="28"/>
        </w:rPr>
        <w:t>有限公司</w:t>
      </w:r>
    </w:p>
    <w:p w:rsidR="000C10A8" w:rsidRPr="007246A8" w:rsidRDefault="00297113">
      <w:pPr>
        <w:pStyle w:val="a7"/>
        <w:spacing w:before="0" w:beforeAutospacing="0" w:after="0" w:afterAutospacing="0" w:line="480" w:lineRule="auto"/>
        <w:jc w:val="right"/>
        <w:rPr>
          <w:rFonts w:ascii="仿宋" w:eastAsia="仿宋" w:hAnsi="仿宋"/>
          <w:sz w:val="28"/>
        </w:rPr>
      </w:pPr>
      <w:r w:rsidRPr="007246A8">
        <w:rPr>
          <w:rFonts w:ascii="仿宋" w:eastAsia="仿宋" w:hAnsi="仿宋" w:hint="eastAsia"/>
          <w:sz w:val="28"/>
        </w:rPr>
        <w:t>20</w:t>
      </w:r>
      <w:r w:rsidR="00BF15E3">
        <w:rPr>
          <w:rFonts w:ascii="仿宋" w:eastAsia="仿宋" w:hAnsi="仿宋"/>
          <w:sz w:val="28"/>
        </w:rPr>
        <w:t>26</w:t>
      </w:r>
      <w:r w:rsidRPr="007246A8">
        <w:rPr>
          <w:rFonts w:ascii="仿宋" w:eastAsia="仿宋" w:hAnsi="仿宋" w:hint="eastAsia"/>
          <w:sz w:val="28"/>
        </w:rPr>
        <w:t>年</w:t>
      </w:r>
      <w:r w:rsidR="00BF15E3">
        <w:rPr>
          <w:rFonts w:ascii="仿宋" w:eastAsia="仿宋" w:hAnsi="仿宋"/>
          <w:sz w:val="28"/>
        </w:rPr>
        <w:t>1</w:t>
      </w:r>
      <w:r w:rsidRPr="007246A8">
        <w:rPr>
          <w:rFonts w:ascii="仿宋" w:eastAsia="仿宋" w:hAnsi="仿宋" w:hint="eastAsia"/>
          <w:sz w:val="28"/>
        </w:rPr>
        <w:t>月</w:t>
      </w:r>
      <w:r w:rsidR="003C59BD">
        <w:rPr>
          <w:rFonts w:ascii="仿宋" w:eastAsia="仿宋" w:hAnsi="仿宋"/>
          <w:sz w:val="28"/>
        </w:rPr>
        <w:t>30</w:t>
      </w:r>
      <w:r w:rsidRPr="007246A8">
        <w:rPr>
          <w:rFonts w:ascii="仿宋" w:eastAsia="仿宋" w:hAnsi="仿宋" w:hint="eastAsia"/>
          <w:sz w:val="28"/>
        </w:rPr>
        <w:t>日</w:t>
      </w:r>
    </w:p>
    <w:p w:rsidR="000C10A8" w:rsidRPr="007246A8" w:rsidRDefault="000C10A8">
      <w:pPr>
        <w:spacing w:line="480" w:lineRule="auto"/>
        <w:rPr>
          <w:rFonts w:ascii="仿宋" w:eastAsia="仿宋" w:hAnsi="仿宋"/>
        </w:rPr>
      </w:pPr>
    </w:p>
    <w:p w:rsidR="000C10A8" w:rsidRPr="007246A8" w:rsidRDefault="000C10A8">
      <w:pPr>
        <w:spacing w:line="480" w:lineRule="auto"/>
        <w:jc w:val="left"/>
        <w:rPr>
          <w:rFonts w:ascii="仿宋" w:eastAsia="仿宋" w:hAnsi="仿宋"/>
          <w:sz w:val="28"/>
        </w:rPr>
      </w:pPr>
    </w:p>
    <w:sectPr w:rsidR="000C10A8" w:rsidRPr="007246A8" w:rsidSect="00414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B12CFA" w16cex:dateUtc="2024-10-09T08:25:00Z"/>
  <w16cex:commentExtensible w16cex:durableId="2AB12CFE" w16cex:dateUtc="2024-10-09T08:25:00Z"/>
  <w16cex:commentExtensible w16cex:durableId="2AB12D04" w16cex:dateUtc="2024-10-09T0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CB2E17" w16cid:durableId="2AB12CFA"/>
  <w16cid:commentId w16cid:paraId="793B3B8D" w16cid:durableId="2AB12CFE"/>
  <w16cid:commentId w16cid:paraId="74C76ACB" w16cid:durableId="2AB12D0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EA3" w:rsidRDefault="009F1EA3" w:rsidP="00F61429">
      <w:r>
        <w:separator/>
      </w:r>
    </w:p>
  </w:endnote>
  <w:endnote w:type="continuationSeparator" w:id="0">
    <w:p w:rsidR="009F1EA3" w:rsidRDefault="009F1EA3" w:rsidP="00F61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EA3" w:rsidRDefault="009F1EA3" w:rsidP="00F61429">
      <w:r>
        <w:separator/>
      </w:r>
    </w:p>
  </w:footnote>
  <w:footnote w:type="continuationSeparator" w:id="0">
    <w:p w:rsidR="009F1EA3" w:rsidRDefault="009F1EA3" w:rsidP="00F614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E9D"/>
    <w:rsid w:val="00033FB3"/>
    <w:rsid w:val="000579FD"/>
    <w:rsid w:val="00071FC2"/>
    <w:rsid w:val="0007504D"/>
    <w:rsid w:val="0008237F"/>
    <w:rsid w:val="000934E3"/>
    <w:rsid w:val="000B1562"/>
    <w:rsid w:val="000B5E88"/>
    <w:rsid w:val="000C10A8"/>
    <w:rsid w:val="000D2371"/>
    <w:rsid w:val="000F2663"/>
    <w:rsid w:val="000F69EC"/>
    <w:rsid w:val="00146E9A"/>
    <w:rsid w:val="00185BDF"/>
    <w:rsid w:val="001B4C44"/>
    <w:rsid w:val="00213EFD"/>
    <w:rsid w:val="0025605F"/>
    <w:rsid w:val="00294359"/>
    <w:rsid w:val="00297113"/>
    <w:rsid w:val="002B70B8"/>
    <w:rsid w:val="002C7A52"/>
    <w:rsid w:val="002D4DDE"/>
    <w:rsid w:val="002D5608"/>
    <w:rsid w:val="002F7D7D"/>
    <w:rsid w:val="003231E3"/>
    <w:rsid w:val="00334D58"/>
    <w:rsid w:val="003469F0"/>
    <w:rsid w:val="003B57E3"/>
    <w:rsid w:val="003C4EEB"/>
    <w:rsid w:val="003C59BD"/>
    <w:rsid w:val="00414132"/>
    <w:rsid w:val="00434E9D"/>
    <w:rsid w:val="00455718"/>
    <w:rsid w:val="00547FB9"/>
    <w:rsid w:val="00564B3A"/>
    <w:rsid w:val="005C4C3E"/>
    <w:rsid w:val="005D2307"/>
    <w:rsid w:val="00605408"/>
    <w:rsid w:val="0064073D"/>
    <w:rsid w:val="0065379B"/>
    <w:rsid w:val="00674DD9"/>
    <w:rsid w:val="00697D44"/>
    <w:rsid w:val="00697F8F"/>
    <w:rsid w:val="006A7029"/>
    <w:rsid w:val="006E5BDB"/>
    <w:rsid w:val="006F08AE"/>
    <w:rsid w:val="00707D3A"/>
    <w:rsid w:val="007111AA"/>
    <w:rsid w:val="00713DCF"/>
    <w:rsid w:val="007239BF"/>
    <w:rsid w:val="007246A8"/>
    <w:rsid w:val="007504E9"/>
    <w:rsid w:val="0075212B"/>
    <w:rsid w:val="00774E29"/>
    <w:rsid w:val="00782AF6"/>
    <w:rsid w:val="00792BDC"/>
    <w:rsid w:val="007B5977"/>
    <w:rsid w:val="007E5A6D"/>
    <w:rsid w:val="008113A1"/>
    <w:rsid w:val="008742D3"/>
    <w:rsid w:val="008E0776"/>
    <w:rsid w:val="008E638B"/>
    <w:rsid w:val="008F5ABB"/>
    <w:rsid w:val="0091057C"/>
    <w:rsid w:val="0091106F"/>
    <w:rsid w:val="00930AF0"/>
    <w:rsid w:val="00931344"/>
    <w:rsid w:val="009B09FB"/>
    <w:rsid w:val="009F1EA3"/>
    <w:rsid w:val="00A229C7"/>
    <w:rsid w:val="00A4432F"/>
    <w:rsid w:val="00A62F4D"/>
    <w:rsid w:val="00A846DB"/>
    <w:rsid w:val="00A870C8"/>
    <w:rsid w:val="00AD24DB"/>
    <w:rsid w:val="00AD6FD1"/>
    <w:rsid w:val="00AE3B53"/>
    <w:rsid w:val="00AF70EA"/>
    <w:rsid w:val="00AF79B1"/>
    <w:rsid w:val="00B17766"/>
    <w:rsid w:val="00B343EB"/>
    <w:rsid w:val="00B654A4"/>
    <w:rsid w:val="00B7072D"/>
    <w:rsid w:val="00BF066D"/>
    <w:rsid w:val="00BF15E3"/>
    <w:rsid w:val="00C148FF"/>
    <w:rsid w:val="00C40F6A"/>
    <w:rsid w:val="00C57AD6"/>
    <w:rsid w:val="00C6130A"/>
    <w:rsid w:val="00C62D9B"/>
    <w:rsid w:val="00D1408D"/>
    <w:rsid w:val="00D4179A"/>
    <w:rsid w:val="00D521B4"/>
    <w:rsid w:val="00D53384"/>
    <w:rsid w:val="00D70BE7"/>
    <w:rsid w:val="00D745C2"/>
    <w:rsid w:val="00D9695C"/>
    <w:rsid w:val="00DB5870"/>
    <w:rsid w:val="00DC197E"/>
    <w:rsid w:val="00DD45CE"/>
    <w:rsid w:val="00DD5FA7"/>
    <w:rsid w:val="00E05DA9"/>
    <w:rsid w:val="00E22C63"/>
    <w:rsid w:val="00E45F60"/>
    <w:rsid w:val="00EA3FF4"/>
    <w:rsid w:val="00EF1E88"/>
    <w:rsid w:val="00F53FF6"/>
    <w:rsid w:val="00F55DE5"/>
    <w:rsid w:val="00F61429"/>
    <w:rsid w:val="00FA6002"/>
    <w:rsid w:val="00FC281E"/>
    <w:rsid w:val="00FE0EE8"/>
    <w:rsid w:val="698D23F1"/>
    <w:rsid w:val="6D2E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1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1413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41413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14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414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4141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414132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414132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41413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1413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1413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14132"/>
  </w:style>
  <w:style w:type="character" w:customStyle="1" w:styleId="Char3">
    <w:name w:val="批注主题 Char"/>
    <w:basedOn w:val="Char"/>
    <w:link w:val="a8"/>
    <w:uiPriority w:val="99"/>
    <w:semiHidden/>
    <w:qFormat/>
    <w:rsid w:val="00414132"/>
    <w:rPr>
      <w:b/>
      <w:bCs/>
    </w:rPr>
  </w:style>
  <w:style w:type="table" w:styleId="aa">
    <w:name w:val="Table Grid"/>
    <w:basedOn w:val="a1"/>
    <w:uiPriority w:val="39"/>
    <w:rsid w:val="00D14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">
    <w:name w:val="div"/>
    <w:basedOn w:val="a"/>
    <w:rsid w:val="003C59BD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4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吴怡萌</dc:creator>
  <cp:lastModifiedBy>ZHONGM</cp:lastModifiedBy>
  <cp:revision>2</cp:revision>
  <cp:lastPrinted>2024-09-27T10:19:00Z</cp:lastPrinted>
  <dcterms:created xsi:type="dcterms:W3CDTF">2026-01-29T16:01:00Z</dcterms:created>
  <dcterms:modified xsi:type="dcterms:W3CDTF">2026-01-29T16:01:00Z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skgMailInfo000">
    <vt:lpwstr>eyAibWFpbEZyb20iOiAieGlueGlwaWx1QGdsZnVuZC5jb20iLCAicmNwdFRvIjogImxrbEBzc25ld3MuY29tLmNuIiwgIm5hbWUiOiAi5Zu96IGU5Z+66YeR566h55CG5pyJ6ZmQ5YWs5Y+45YWz5LqO5peX5LiL6YOo5YiG5LiK5Lqk5omARVRG5Y+Y5pu05omp5L2N6K+B5Yi4566A56ew55qE5YWs5ZGKLmRvY3giLCAiZGF0ZSI6ICIyMDI</vt:lpwstr>
  </property>
  <property fmtid="{D5CDD505-2E9C-101B-9397-08002B2CF9AE}" pid="4" name="skgMailId">
    <vt:lpwstr>1</vt:lpwstr>
  </property>
</Properties>
</file>