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8F2" w:rsidRDefault="004252B5">
      <w:pPr>
        <w:spacing w:line="360" w:lineRule="auto"/>
        <w:jc w:val="center"/>
        <w:rPr>
          <w:b/>
          <w:bCs/>
          <w:color w:val="000000"/>
          <w:sz w:val="30"/>
          <w:szCs w:val="30"/>
        </w:rPr>
      </w:pPr>
      <w:bookmarkStart w:id="0" w:name="_Toc249760023"/>
      <w:r>
        <w:rPr>
          <w:rFonts w:asciiTheme="minorEastAsia" w:eastAsiaTheme="minorEastAsia" w:hAnsiTheme="minorEastAsia" w:cs="宋体" w:hint="eastAsia"/>
          <w:b/>
          <w:kern w:val="0"/>
          <w:sz w:val="30"/>
          <w:szCs w:val="30"/>
        </w:rPr>
        <w:t>新华基金管理股份有限公司</w:t>
      </w:r>
      <w:r>
        <w:rPr>
          <w:rFonts w:hint="eastAsia"/>
          <w:b/>
          <w:bCs/>
          <w:color w:val="000000"/>
          <w:sz w:val="30"/>
          <w:szCs w:val="30"/>
        </w:rPr>
        <w:t>新华红利回报混合型证券投资基金</w:t>
      </w:r>
      <w:r>
        <w:rPr>
          <w:rFonts w:asciiTheme="minorEastAsia" w:eastAsiaTheme="minorEastAsia" w:hAnsiTheme="minorEastAsia" w:cs="宋体" w:hint="eastAsia"/>
          <w:b/>
          <w:kern w:val="0"/>
          <w:sz w:val="30"/>
          <w:szCs w:val="30"/>
        </w:rPr>
        <w:t>非货币市场基金分红公告</w:t>
      </w:r>
    </w:p>
    <w:p w:rsidR="005F28F2" w:rsidRDefault="004252B5">
      <w:pPr>
        <w:spacing w:line="360" w:lineRule="auto"/>
        <w:jc w:val="center"/>
        <w:rPr>
          <w:rFonts w:ascii="宋体" w:hAnsi="宋体"/>
          <w:b/>
          <w:sz w:val="24"/>
        </w:rPr>
      </w:pPr>
      <w:r>
        <w:rPr>
          <w:rFonts w:ascii="宋体" w:hAnsi="宋体" w:hint="eastAsia"/>
          <w:b/>
          <w:sz w:val="24"/>
        </w:rPr>
        <w:t>公告</w:t>
      </w:r>
      <w:r>
        <w:rPr>
          <w:rFonts w:ascii="宋体" w:hAnsi="宋体"/>
          <w:b/>
          <w:sz w:val="24"/>
        </w:rPr>
        <w:t>送出日期：</w:t>
      </w:r>
      <w:r>
        <w:rPr>
          <w:rFonts w:ascii="宋体" w:hAnsi="宋体"/>
          <w:b/>
          <w:sz w:val="24"/>
        </w:rPr>
        <w:t>202</w:t>
      </w:r>
      <w:r>
        <w:rPr>
          <w:rFonts w:ascii="宋体" w:hAnsi="宋体" w:hint="eastAsia"/>
          <w:b/>
          <w:sz w:val="24"/>
        </w:rPr>
        <w:t>6</w:t>
      </w:r>
      <w:r>
        <w:rPr>
          <w:rFonts w:ascii="宋体" w:hAnsi="宋体"/>
          <w:b/>
          <w:sz w:val="24"/>
        </w:rPr>
        <w:t>年</w:t>
      </w:r>
      <w:r>
        <w:rPr>
          <w:rFonts w:ascii="宋体" w:hAnsi="宋体" w:hint="eastAsia"/>
          <w:b/>
          <w:sz w:val="24"/>
        </w:rPr>
        <w:t>1</w:t>
      </w:r>
      <w:r>
        <w:rPr>
          <w:rFonts w:ascii="宋体" w:hAnsi="宋体"/>
          <w:b/>
          <w:sz w:val="24"/>
        </w:rPr>
        <w:t>月</w:t>
      </w:r>
      <w:r>
        <w:rPr>
          <w:rFonts w:ascii="宋体" w:hAnsi="宋体" w:hint="eastAsia"/>
          <w:b/>
          <w:sz w:val="24"/>
        </w:rPr>
        <w:t>30</w:t>
      </w:r>
      <w:r>
        <w:rPr>
          <w:rFonts w:ascii="宋体" w:hAnsi="宋体"/>
          <w:b/>
          <w:sz w:val="24"/>
        </w:rPr>
        <w:t>日</w:t>
      </w:r>
      <w:r>
        <w:rPr>
          <w:rFonts w:ascii="宋体" w:hAnsi="宋体" w:hint="eastAsia"/>
          <w:b/>
          <w:sz w:val="24"/>
        </w:rPr>
        <w:t xml:space="preserve">                           </w:t>
      </w:r>
    </w:p>
    <w:p w:rsidR="005F28F2" w:rsidRDefault="005F28F2">
      <w:pPr>
        <w:spacing w:line="360" w:lineRule="auto"/>
        <w:jc w:val="center"/>
        <w:rPr>
          <w:color w:val="000000"/>
          <w:sz w:val="24"/>
        </w:rPr>
      </w:pPr>
    </w:p>
    <w:bookmarkEnd w:id="0"/>
    <w:p w:rsidR="005F28F2" w:rsidRDefault="004252B5">
      <w:pPr>
        <w:pStyle w:val="3"/>
        <w:keepNext w:val="0"/>
        <w:keepLines w:val="0"/>
        <w:spacing w:before="0" w:after="0" w:line="360" w:lineRule="auto"/>
        <w:rPr>
          <w:rFonts w:ascii="宋体" w:hAnsi="宋体"/>
          <w:bCs w:val="0"/>
          <w:sz w:val="24"/>
          <w:szCs w:val="24"/>
        </w:rPr>
      </w:pPr>
      <w:r>
        <w:rPr>
          <w:rFonts w:ascii="宋体" w:hAnsi="宋体" w:hint="eastAsia"/>
          <w:bCs w:val="0"/>
          <w:sz w:val="24"/>
          <w:szCs w:val="24"/>
        </w:rPr>
        <w:t>1.</w:t>
      </w:r>
      <w:r>
        <w:rPr>
          <w:rFonts w:ascii="宋体" w:hAnsi="宋体" w:hint="eastAsia"/>
          <w:bCs w:val="0"/>
          <w:sz w:val="24"/>
          <w:szCs w:val="24"/>
        </w:rPr>
        <w:t>公告基本信息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42"/>
        <w:gridCol w:w="3157"/>
        <w:gridCol w:w="3157"/>
      </w:tblGrid>
      <w:tr w:rsidR="005F28F2">
        <w:trPr>
          <w:jc w:val="center"/>
        </w:trPr>
        <w:tc>
          <w:tcPr>
            <w:tcW w:w="3042" w:type="dxa"/>
          </w:tcPr>
          <w:p w:rsidR="005F28F2" w:rsidRDefault="004252B5">
            <w:pPr>
              <w:rPr>
                <w:sz w:val="24"/>
              </w:rPr>
            </w:pPr>
            <w:r>
              <w:rPr>
                <w:rFonts w:hint="eastAsia"/>
                <w:sz w:val="24"/>
              </w:rPr>
              <w:t>基金名称</w:t>
            </w:r>
          </w:p>
        </w:tc>
        <w:tc>
          <w:tcPr>
            <w:tcW w:w="6314" w:type="dxa"/>
            <w:gridSpan w:val="2"/>
          </w:tcPr>
          <w:p w:rsidR="005F28F2" w:rsidRDefault="004252B5">
            <w:pPr>
              <w:rPr>
                <w:sz w:val="24"/>
              </w:rPr>
            </w:pPr>
            <w:r>
              <w:rPr>
                <w:rFonts w:hint="eastAsia"/>
                <w:sz w:val="24"/>
              </w:rPr>
              <w:t>新华红利回报混合型证券投资基金</w:t>
            </w:r>
          </w:p>
        </w:tc>
      </w:tr>
      <w:tr w:rsidR="005F28F2">
        <w:trPr>
          <w:jc w:val="center"/>
        </w:trPr>
        <w:tc>
          <w:tcPr>
            <w:tcW w:w="3042" w:type="dxa"/>
          </w:tcPr>
          <w:p w:rsidR="005F28F2" w:rsidRDefault="004252B5">
            <w:pPr>
              <w:rPr>
                <w:sz w:val="24"/>
              </w:rPr>
            </w:pPr>
            <w:r>
              <w:rPr>
                <w:rFonts w:hint="eastAsia"/>
                <w:sz w:val="24"/>
              </w:rPr>
              <w:t>基金简称</w:t>
            </w:r>
          </w:p>
        </w:tc>
        <w:tc>
          <w:tcPr>
            <w:tcW w:w="6314" w:type="dxa"/>
            <w:gridSpan w:val="2"/>
          </w:tcPr>
          <w:p w:rsidR="005F28F2" w:rsidRDefault="004252B5">
            <w:pPr>
              <w:rPr>
                <w:sz w:val="24"/>
              </w:rPr>
            </w:pPr>
            <w:r>
              <w:rPr>
                <w:rFonts w:hint="eastAsia"/>
                <w:sz w:val="24"/>
              </w:rPr>
              <w:t>新华红利回报混合</w:t>
            </w:r>
          </w:p>
        </w:tc>
      </w:tr>
      <w:tr w:rsidR="005F28F2">
        <w:trPr>
          <w:jc w:val="center"/>
        </w:trPr>
        <w:tc>
          <w:tcPr>
            <w:tcW w:w="3042" w:type="dxa"/>
          </w:tcPr>
          <w:p w:rsidR="005F28F2" w:rsidRDefault="004252B5">
            <w:pPr>
              <w:rPr>
                <w:sz w:val="24"/>
              </w:rPr>
            </w:pPr>
            <w:r>
              <w:rPr>
                <w:rFonts w:hint="eastAsia"/>
                <w:sz w:val="24"/>
              </w:rPr>
              <w:t>基金主代码</w:t>
            </w:r>
          </w:p>
        </w:tc>
        <w:tc>
          <w:tcPr>
            <w:tcW w:w="6314" w:type="dxa"/>
            <w:gridSpan w:val="2"/>
          </w:tcPr>
          <w:p w:rsidR="005F28F2" w:rsidRDefault="004252B5">
            <w:pPr>
              <w:rPr>
                <w:sz w:val="24"/>
              </w:rPr>
            </w:pPr>
            <w:r>
              <w:rPr>
                <w:rFonts w:hint="eastAsia"/>
                <w:sz w:val="24"/>
              </w:rPr>
              <w:t>003025</w:t>
            </w:r>
          </w:p>
        </w:tc>
      </w:tr>
      <w:tr w:rsidR="005F28F2">
        <w:trPr>
          <w:jc w:val="center"/>
        </w:trPr>
        <w:tc>
          <w:tcPr>
            <w:tcW w:w="3042" w:type="dxa"/>
          </w:tcPr>
          <w:p w:rsidR="005F28F2" w:rsidRDefault="004252B5">
            <w:pPr>
              <w:rPr>
                <w:sz w:val="24"/>
              </w:rPr>
            </w:pPr>
            <w:r>
              <w:rPr>
                <w:rFonts w:hint="eastAsia"/>
                <w:sz w:val="24"/>
              </w:rPr>
              <w:t>基金合同生效日</w:t>
            </w:r>
          </w:p>
        </w:tc>
        <w:tc>
          <w:tcPr>
            <w:tcW w:w="6314" w:type="dxa"/>
            <w:gridSpan w:val="2"/>
          </w:tcPr>
          <w:p w:rsidR="005F28F2" w:rsidRDefault="004252B5">
            <w:pPr>
              <w:rPr>
                <w:sz w:val="24"/>
              </w:rPr>
            </w:pPr>
            <w:r>
              <w:rPr>
                <w:rFonts w:hint="eastAsia"/>
                <w:sz w:val="24"/>
              </w:rPr>
              <w:t>2017</w:t>
            </w:r>
            <w:r>
              <w:rPr>
                <w:rFonts w:hint="eastAsia"/>
                <w:sz w:val="24"/>
              </w:rPr>
              <w:t>年</w:t>
            </w:r>
            <w:r>
              <w:rPr>
                <w:rFonts w:hint="eastAsia"/>
                <w:sz w:val="24"/>
              </w:rPr>
              <w:t>3</w:t>
            </w:r>
            <w:r>
              <w:rPr>
                <w:rFonts w:hint="eastAsia"/>
                <w:sz w:val="24"/>
              </w:rPr>
              <w:t>月</w:t>
            </w:r>
            <w:r>
              <w:rPr>
                <w:rFonts w:hint="eastAsia"/>
                <w:sz w:val="24"/>
              </w:rPr>
              <w:t>27</w:t>
            </w:r>
            <w:r>
              <w:rPr>
                <w:rFonts w:hint="eastAsia"/>
                <w:sz w:val="24"/>
              </w:rPr>
              <w:t>日</w:t>
            </w:r>
          </w:p>
        </w:tc>
      </w:tr>
      <w:tr w:rsidR="005F28F2">
        <w:trPr>
          <w:jc w:val="center"/>
        </w:trPr>
        <w:tc>
          <w:tcPr>
            <w:tcW w:w="3042" w:type="dxa"/>
          </w:tcPr>
          <w:p w:rsidR="005F28F2" w:rsidRDefault="004252B5">
            <w:pPr>
              <w:rPr>
                <w:sz w:val="24"/>
              </w:rPr>
            </w:pPr>
            <w:r>
              <w:rPr>
                <w:rFonts w:hint="eastAsia"/>
                <w:sz w:val="24"/>
              </w:rPr>
              <w:t>基金管理人名称</w:t>
            </w:r>
          </w:p>
        </w:tc>
        <w:tc>
          <w:tcPr>
            <w:tcW w:w="6314" w:type="dxa"/>
            <w:gridSpan w:val="2"/>
          </w:tcPr>
          <w:p w:rsidR="005F28F2" w:rsidRDefault="004252B5">
            <w:pPr>
              <w:rPr>
                <w:sz w:val="24"/>
              </w:rPr>
            </w:pPr>
            <w:r>
              <w:rPr>
                <w:rFonts w:hint="eastAsia"/>
                <w:sz w:val="24"/>
              </w:rPr>
              <w:t>新华基金管理股份有限公司</w:t>
            </w:r>
          </w:p>
        </w:tc>
      </w:tr>
      <w:tr w:rsidR="005F28F2">
        <w:trPr>
          <w:jc w:val="center"/>
        </w:trPr>
        <w:tc>
          <w:tcPr>
            <w:tcW w:w="3042" w:type="dxa"/>
          </w:tcPr>
          <w:p w:rsidR="005F28F2" w:rsidRDefault="004252B5">
            <w:pPr>
              <w:rPr>
                <w:sz w:val="24"/>
              </w:rPr>
            </w:pPr>
            <w:r>
              <w:rPr>
                <w:rFonts w:hint="eastAsia"/>
                <w:sz w:val="24"/>
              </w:rPr>
              <w:t>基金托管人名称</w:t>
            </w:r>
          </w:p>
        </w:tc>
        <w:tc>
          <w:tcPr>
            <w:tcW w:w="6314" w:type="dxa"/>
            <w:gridSpan w:val="2"/>
          </w:tcPr>
          <w:p w:rsidR="005F28F2" w:rsidRDefault="004252B5">
            <w:pPr>
              <w:rPr>
                <w:sz w:val="24"/>
              </w:rPr>
            </w:pPr>
            <w:r>
              <w:rPr>
                <w:rFonts w:hint="eastAsia"/>
                <w:sz w:val="24"/>
              </w:rPr>
              <w:t>中国工商银行股份有限公司</w:t>
            </w:r>
          </w:p>
        </w:tc>
      </w:tr>
      <w:tr w:rsidR="005F28F2">
        <w:trPr>
          <w:jc w:val="center"/>
        </w:trPr>
        <w:tc>
          <w:tcPr>
            <w:tcW w:w="3042" w:type="dxa"/>
          </w:tcPr>
          <w:p w:rsidR="005F28F2" w:rsidRDefault="004252B5">
            <w:pPr>
              <w:rPr>
                <w:sz w:val="24"/>
              </w:rPr>
            </w:pPr>
            <w:r>
              <w:rPr>
                <w:rFonts w:hint="eastAsia"/>
                <w:sz w:val="24"/>
              </w:rPr>
              <w:t>公告依据</w:t>
            </w:r>
          </w:p>
        </w:tc>
        <w:tc>
          <w:tcPr>
            <w:tcW w:w="6314" w:type="dxa"/>
            <w:gridSpan w:val="2"/>
          </w:tcPr>
          <w:p w:rsidR="005F28F2" w:rsidRDefault="004252B5">
            <w:pPr>
              <w:rPr>
                <w:sz w:val="24"/>
              </w:rPr>
            </w:pPr>
            <w:r>
              <w:rPr>
                <w:rFonts w:hint="eastAsia"/>
                <w:sz w:val="24"/>
              </w:rPr>
              <w:t>《公开募集证券投资基金信息披露管理办法》、《新华红利回报混合型证券投资基金基金合同》、《新华红利回报混合型证券投资基金招募说明书（更新）》等</w:t>
            </w:r>
          </w:p>
        </w:tc>
      </w:tr>
      <w:tr w:rsidR="005F28F2">
        <w:trPr>
          <w:jc w:val="center"/>
        </w:trPr>
        <w:tc>
          <w:tcPr>
            <w:tcW w:w="3042" w:type="dxa"/>
          </w:tcPr>
          <w:p w:rsidR="005F28F2" w:rsidRDefault="004252B5">
            <w:pPr>
              <w:rPr>
                <w:sz w:val="24"/>
              </w:rPr>
            </w:pPr>
            <w:r>
              <w:rPr>
                <w:rFonts w:hint="eastAsia"/>
                <w:sz w:val="24"/>
              </w:rPr>
              <w:t>收益分配基准日</w:t>
            </w:r>
          </w:p>
        </w:tc>
        <w:tc>
          <w:tcPr>
            <w:tcW w:w="6314" w:type="dxa"/>
            <w:gridSpan w:val="2"/>
          </w:tcPr>
          <w:p w:rsidR="005F28F2" w:rsidRDefault="004252B5">
            <w:pPr>
              <w:rPr>
                <w:sz w:val="24"/>
              </w:rPr>
            </w:pPr>
            <w:r>
              <w:rPr>
                <w:rFonts w:hint="eastAsia"/>
                <w:sz w:val="24"/>
              </w:rPr>
              <w:t>202</w:t>
            </w:r>
            <w:r>
              <w:rPr>
                <w:rFonts w:hint="eastAsia"/>
                <w:sz w:val="24"/>
              </w:rPr>
              <w:t>6</w:t>
            </w:r>
            <w:r>
              <w:rPr>
                <w:rFonts w:hint="eastAsia"/>
                <w:sz w:val="24"/>
              </w:rPr>
              <w:t>年</w:t>
            </w:r>
            <w:r>
              <w:rPr>
                <w:rFonts w:hint="eastAsia"/>
                <w:sz w:val="24"/>
              </w:rPr>
              <w:t>1</w:t>
            </w:r>
            <w:r>
              <w:rPr>
                <w:rFonts w:hint="eastAsia"/>
                <w:sz w:val="24"/>
              </w:rPr>
              <w:t>月</w:t>
            </w:r>
            <w:r>
              <w:rPr>
                <w:rFonts w:hint="eastAsia"/>
                <w:sz w:val="24"/>
              </w:rPr>
              <w:t>28</w:t>
            </w:r>
            <w:r>
              <w:rPr>
                <w:rFonts w:hint="eastAsia"/>
                <w:sz w:val="24"/>
              </w:rPr>
              <w:t>日</w:t>
            </w:r>
          </w:p>
        </w:tc>
      </w:tr>
      <w:tr w:rsidR="005F28F2">
        <w:trPr>
          <w:jc w:val="center"/>
        </w:trPr>
        <w:tc>
          <w:tcPr>
            <w:tcW w:w="3042" w:type="dxa"/>
            <w:vMerge w:val="restart"/>
            <w:vAlign w:val="center"/>
          </w:tcPr>
          <w:p w:rsidR="005F28F2" w:rsidRDefault="004252B5">
            <w:pPr>
              <w:rPr>
                <w:sz w:val="24"/>
              </w:rPr>
            </w:pPr>
            <w:r>
              <w:rPr>
                <w:rFonts w:ascii="宋体" w:hAnsi="宋体" w:hint="eastAsia"/>
                <w:sz w:val="24"/>
              </w:rPr>
              <w:t>截止收益分配基准日的相关指标</w:t>
            </w:r>
          </w:p>
        </w:tc>
        <w:tc>
          <w:tcPr>
            <w:tcW w:w="3157" w:type="dxa"/>
            <w:vAlign w:val="center"/>
          </w:tcPr>
          <w:p w:rsidR="005F28F2" w:rsidRDefault="004252B5">
            <w:pPr>
              <w:rPr>
                <w:sz w:val="24"/>
              </w:rPr>
            </w:pPr>
            <w:r>
              <w:rPr>
                <w:rFonts w:hint="eastAsia"/>
                <w:sz w:val="24"/>
              </w:rPr>
              <w:t>基准日基金份额净值（单位：元）</w:t>
            </w:r>
          </w:p>
        </w:tc>
        <w:tc>
          <w:tcPr>
            <w:tcW w:w="3157" w:type="dxa"/>
            <w:vAlign w:val="center"/>
          </w:tcPr>
          <w:p w:rsidR="005F28F2" w:rsidRDefault="004252B5">
            <w:pPr>
              <w:rPr>
                <w:sz w:val="24"/>
              </w:rPr>
            </w:pPr>
            <w:r>
              <w:rPr>
                <w:sz w:val="24"/>
              </w:rPr>
              <w:t>1.2</w:t>
            </w:r>
            <w:r>
              <w:rPr>
                <w:rFonts w:hint="eastAsia"/>
                <w:sz w:val="24"/>
              </w:rPr>
              <w:t>333</w:t>
            </w:r>
          </w:p>
        </w:tc>
      </w:tr>
      <w:tr w:rsidR="005F28F2">
        <w:trPr>
          <w:jc w:val="center"/>
        </w:trPr>
        <w:tc>
          <w:tcPr>
            <w:tcW w:w="3042" w:type="dxa"/>
            <w:vMerge/>
            <w:vAlign w:val="center"/>
          </w:tcPr>
          <w:p w:rsidR="005F28F2" w:rsidRDefault="005F28F2">
            <w:pPr>
              <w:rPr>
                <w:sz w:val="24"/>
              </w:rPr>
            </w:pPr>
          </w:p>
        </w:tc>
        <w:tc>
          <w:tcPr>
            <w:tcW w:w="3157" w:type="dxa"/>
            <w:vAlign w:val="center"/>
          </w:tcPr>
          <w:p w:rsidR="005F28F2" w:rsidRDefault="004252B5">
            <w:pPr>
              <w:rPr>
                <w:sz w:val="24"/>
              </w:rPr>
            </w:pPr>
            <w:r>
              <w:rPr>
                <w:rFonts w:hint="eastAsia"/>
                <w:sz w:val="24"/>
              </w:rPr>
              <w:t>基准日基金可供分配利润（单位：元）</w:t>
            </w:r>
          </w:p>
        </w:tc>
        <w:tc>
          <w:tcPr>
            <w:tcW w:w="3157" w:type="dxa"/>
            <w:vAlign w:val="center"/>
          </w:tcPr>
          <w:p w:rsidR="005F28F2" w:rsidRDefault="004252B5">
            <w:pPr>
              <w:rPr>
                <w:sz w:val="24"/>
              </w:rPr>
            </w:pPr>
            <w:r>
              <w:rPr>
                <w:rFonts w:hint="eastAsia"/>
                <w:sz w:val="24"/>
              </w:rPr>
              <w:t>2,902,380</w:t>
            </w:r>
            <w:r>
              <w:rPr>
                <w:sz w:val="24"/>
              </w:rPr>
              <w:t>.</w:t>
            </w:r>
            <w:r>
              <w:rPr>
                <w:rFonts w:hint="eastAsia"/>
                <w:sz w:val="24"/>
              </w:rPr>
              <w:t>14</w:t>
            </w:r>
          </w:p>
        </w:tc>
      </w:tr>
      <w:tr w:rsidR="005F28F2">
        <w:trPr>
          <w:jc w:val="center"/>
        </w:trPr>
        <w:tc>
          <w:tcPr>
            <w:tcW w:w="3042" w:type="dxa"/>
            <w:vAlign w:val="center"/>
          </w:tcPr>
          <w:p w:rsidR="005F28F2" w:rsidRDefault="004252B5">
            <w:pPr>
              <w:rPr>
                <w:sz w:val="24"/>
              </w:rPr>
            </w:pPr>
            <w:r>
              <w:rPr>
                <w:rFonts w:hint="eastAsia"/>
                <w:sz w:val="24"/>
              </w:rPr>
              <w:t>本次分红方案</w:t>
            </w:r>
          </w:p>
          <w:p w:rsidR="005F28F2" w:rsidRDefault="004252B5">
            <w:pPr>
              <w:rPr>
                <w:sz w:val="24"/>
              </w:rPr>
            </w:pPr>
            <w:r>
              <w:rPr>
                <w:rFonts w:hint="eastAsia"/>
                <w:sz w:val="24"/>
              </w:rPr>
              <w:t>（单位：元</w:t>
            </w:r>
            <w:r>
              <w:rPr>
                <w:rFonts w:hint="eastAsia"/>
                <w:sz w:val="24"/>
              </w:rPr>
              <w:t>/10</w:t>
            </w:r>
            <w:r>
              <w:rPr>
                <w:rFonts w:hint="eastAsia"/>
                <w:sz w:val="24"/>
              </w:rPr>
              <w:t>份基金份额）</w:t>
            </w:r>
            <w:r>
              <w:rPr>
                <w:rFonts w:hint="eastAsia"/>
                <w:sz w:val="24"/>
              </w:rPr>
              <w:t xml:space="preserve"> </w:t>
            </w:r>
          </w:p>
        </w:tc>
        <w:tc>
          <w:tcPr>
            <w:tcW w:w="6314" w:type="dxa"/>
            <w:gridSpan w:val="2"/>
            <w:vAlign w:val="center"/>
          </w:tcPr>
          <w:p w:rsidR="005F28F2" w:rsidRDefault="004252B5">
            <w:pPr>
              <w:widowControl/>
              <w:jc w:val="left"/>
              <w:rPr>
                <w:sz w:val="24"/>
              </w:rPr>
            </w:pPr>
            <w:r>
              <w:rPr>
                <w:rFonts w:hint="eastAsia"/>
                <w:sz w:val="24"/>
              </w:rPr>
              <w:t>0.379</w:t>
            </w:r>
          </w:p>
        </w:tc>
      </w:tr>
      <w:tr w:rsidR="005F28F2">
        <w:trPr>
          <w:jc w:val="center"/>
        </w:trPr>
        <w:tc>
          <w:tcPr>
            <w:tcW w:w="3042" w:type="dxa"/>
            <w:vAlign w:val="center"/>
          </w:tcPr>
          <w:p w:rsidR="005F28F2" w:rsidRDefault="004252B5">
            <w:pPr>
              <w:rPr>
                <w:sz w:val="24"/>
              </w:rPr>
            </w:pPr>
            <w:r>
              <w:rPr>
                <w:rFonts w:hint="eastAsia"/>
                <w:sz w:val="24"/>
              </w:rPr>
              <w:t>有关年度分红次数的说明</w:t>
            </w:r>
          </w:p>
        </w:tc>
        <w:tc>
          <w:tcPr>
            <w:tcW w:w="6314" w:type="dxa"/>
            <w:gridSpan w:val="2"/>
            <w:vAlign w:val="center"/>
          </w:tcPr>
          <w:p w:rsidR="005F28F2" w:rsidRDefault="004252B5">
            <w:pPr>
              <w:rPr>
                <w:sz w:val="24"/>
              </w:rPr>
            </w:pPr>
            <w:r>
              <w:rPr>
                <w:rFonts w:asciiTheme="minorEastAsia" w:eastAsiaTheme="minorEastAsia" w:hAnsiTheme="minorEastAsia"/>
                <w:sz w:val="24"/>
              </w:rPr>
              <w:t>本次分红为</w:t>
            </w:r>
            <w:r>
              <w:rPr>
                <w:rFonts w:hint="eastAsia"/>
                <w:sz w:val="24"/>
              </w:rPr>
              <w:t>202</w:t>
            </w:r>
            <w:r>
              <w:rPr>
                <w:rFonts w:hint="eastAsia"/>
                <w:sz w:val="24"/>
              </w:rPr>
              <w:t>6</w:t>
            </w:r>
            <w:r>
              <w:rPr>
                <w:rFonts w:asciiTheme="minorEastAsia" w:eastAsiaTheme="minorEastAsia" w:hAnsiTheme="minorEastAsia"/>
                <w:sz w:val="24"/>
              </w:rPr>
              <w:t>年第</w:t>
            </w:r>
            <w:r>
              <w:rPr>
                <w:rFonts w:asciiTheme="minorEastAsia" w:eastAsiaTheme="minorEastAsia" w:hAnsiTheme="minorEastAsia" w:hint="eastAsia"/>
                <w:sz w:val="24"/>
              </w:rPr>
              <w:t>三</w:t>
            </w:r>
            <w:r>
              <w:rPr>
                <w:rFonts w:asciiTheme="minorEastAsia" w:eastAsiaTheme="minorEastAsia" w:hAnsiTheme="minorEastAsia"/>
                <w:sz w:val="24"/>
              </w:rPr>
              <w:t>次分红</w:t>
            </w:r>
          </w:p>
        </w:tc>
      </w:tr>
    </w:tbl>
    <w:p w:rsidR="005F28F2" w:rsidRDefault="004252B5">
      <w:pPr>
        <w:pStyle w:val="3"/>
        <w:keepNext w:val="0"/>
        <w:keepLines w:val="0"/>
        <w:spacing w:before="0" w:after="0" w:line="360" w:lineRule="auto"/>
        <w:rPr>
          <w:rFonts w:asciiTheme="minorEastAsia" w:eastAsiaTheme="minorEastAsia" w:hAnsiTheme="minorEastAsia"/>
          <w:b w:val="0"/>
          <w:bCs w:val="0"/>
          <w:sz w:val="24"/>
          <w:szCs w:val="24"/>
        </w:rPr>
      </w:pPr>
      <w:r>
        <w:rPr>
          <w:rFonts w:asciiTheme="minorEastAsia" w:eastAsiaTheme="minorEastAsia" w:hAnsiTheme="minorEastAsia"/>
          <w:b w:val="0"/>
          <w:bCs w:val="0"/>
          <w:sz w:val="24"/>
          <w:szCs w:val="24"/>
        </w:rPr>
        <w:t>注：按照本基金基金合同约定，</w:t>
      </w:r>
      <w:r>
        <w:rPr>
          <w:rFonts w:asciiTheme="minorEastAsia" w:eastAsiaTheme="minorEastAsia" w:hAnsiTheme="minorEastAsia" w:hint="eastAsia"/>
          <w:b w:val="0"/>
          <w:bCs w:val="0"/>
          <w:sz w:val="24"/>
          <w:szCs w:val="24"/>
        </w:rPr>
        <w:t>本基金设置分红点</w:t>
      </w:r>
      <w:r>
        <w:rPr>
          <w:rFonts w:asciiTheme="minorEastAsia" w:eastAsiaTheme="minorEastAsia" w:hAnsiTheme="minorEastAsia" w:hint="eastAsia"/>
          <w:b w:val="0"/>
          <w:bCs w:val="0"/>
          <w:sz w:val="24"/>
          <w:szCs w:val="24"/>
        </w:rPr>
        <w:t>：</w:t>
      </w:r>
      <w:r>
        <w:rPr>
          <w:rFonts w:asciiTheme="minorEastAsia" w:eastAsiaTheme="minorEastAsia" w:hAnsiTheme="minorEastAsia" w:hint="eastAsia"/>
          <w:b w:val="0"/>
          <w:bCs w:val="0"/>
          <w:sz w:val="24"/>
          <w:szCs w:val="24"/>
        </w:rPr>
        <w:t>当基金份额净值达到或超过</w:t>
      </w:r>
      <w:r>
        <w:rPr>
          <w:rFonts w:asciiTheme="minorEastAsia" w:eastAsiaTheme="minorEastAsia" w:hAnsiTheme="minorEastAsia" w:hint="eastAsia"/>
          <w:b w:val="0"/>
          <w:bCs w:val="0"/>
          <w:sz w:val="24"/>
          <w:szCs w:val="24"/>
        </w:rPr>
        <w:t>1.2</w:t>
      </w:r>
      <w:r>
        <w:rPr>
          <w:rFonts w:asciiTheme="minorEastAsia" w:eastAsiaTheme="minorEastAsia" w:hAnsiTheme="minorEastAsia" w:hint="eastAsia"/>
          <w:b w:val="0"/>
          <w:bCs w:val="0"/>
          <w:sz w:val="24"/>
          <w:szCs w:val="24"/>
        </w:rPr>
        <w:t>元时，本基金需在</w:t>
      </w:r>
      <w:r>
        <w:rPr>
          <w:rFonts w:asciiTheme="minorEastAsia" w:eastAsiaTheme="minorEastAsia" w:hAnsiTheme="minorEastAsia" w:hint="eastAsia"/>
          <w:b w:val="0"/>
          <w:bCs w:val="0"/>
          <w:sz w:val="24"/>
          <w:szCs w:val="24"/>
        </w:rPr>
        <w:t>10</w:t>
      </w:r>
      <w:r>
        <w:rPr>
          <w:rFonts w:asciiTheme="minorEastAsia" w:eastAsiaTheme="minorEastAsia" w:hAnsiTheme="minorEastAsia" w:hint="eastAsia"/>
          <w:b w:val="0"/>
          <w:bCs w:val="0"/>
          <w:sz w:val="24"/>
          <w:szCs w:val="24"/>
        </w:rPr>
        <w:t>个交易日实施分红；本基金每次分红时，每</w:t>
      </w:r>
      <w:r>
        <w:rPr>
          <w:rFonts w:asciiTheme="minorEastAsia" w:eastAsiaTheme="minorEastAsia" w:hAnsiTheme="minorEastAsia" w:hint="eastAsia"/>
          <w:b w:val="0"/>
          <w:bCs w:val="0"/>
          <w:sz w:val="24"/>
          <w:szCs w:val="24"/>
        </w:rPr>
        <w:t>10</w:t>
      </w:r>
      <w:r>
        <w:rPr>
          <w:rFonts w:asciiTheme="minorEastAsia" w:eastAsiaTheme="minorEastAsia" w:hAnsiTheme="minorEastAsia" w:hint="eastAsia"/>
          <w:b w:val="0"/>
          <w:bCs w:val="0"/>
          <w:sz w:val="24"/>
          <w:szCs w:val="24"/>
        </w:rPr>
        <w:t>份基金份额派发红利不低于</w:t>
      </w:r>
      <w:r>
        <w:rPr>
          <w:rFonts w:asciiTheme="minorEastAsia" w:eastAsiaTheme="minorEastAsia" w:hAnsiTheme="minorEastAsia" w:hint="eastAsia"/>
          <w:b w:val="0"/>
          <w:bCs w:val="0"/>
          <w:sz w:val="24"/>
          <w:szCs w:val="24"/>
        </w:rPr>
        <w:t>1</w:t>
      </w:r>
      <w:r>
        <w:rPr>
          <w:rFonts w:asciiTheme="minorEastAsia" w:eastAsiaTheme="minorEastAsia" w:hAnsiTheme="minorEastAsia" w:hint="eastAsia"/>
          <w:b w:val="0"/>
          <w:bCs w:val="0"/>
          <w:sz w:val="24"/>
          <w:szCs w:val="24"/>
        </w:rPr>
        <w:t>元，且不超过每</w:t>
      </w:r>
      <w:r>
        <w:rPr>
          <w:rFonts w:asciiTheme="minorEastAsia" w:eastAsiaTheme="minorEastAsia" w:hAnsiTheme="minorEastAsia" w:hint="eastAsia"/>
          <w:b w:val="0"/>
          <w:bCs w:val="0"/>
          <w:sz w:val="24"/>
          <w:szCs w:val="24"/>
        </w:rPr>
        <w:t>10</w:t>
      </w:r>
      <w:r>
        <w:rPr>
          <w:rFonts w:asciiTheme="minorEastAsia" w:eastAsiaTheme="minorEastAsia" w:hAnsiTheme="minorEastAsia" w:hint="eastAsia"/>
          <w:b w:val="0"/>
          <w:bCs w:val="0"/>
          <w:sz w:val="24"/>
          <w:szCs w:val="24"/>
        </w:rPr>
        <w:t>份基金份额的可供分配利润；如本基金可供分配利润不足而无法满足每</w:t>
      </w:r>
      <w:r>
        <w:rPr>
          <w:rFonts w:asciiTheme="minorEastAsia" w:eastAsiaTheme="minorEastAsia" w:hAnsiTheme="minorEastAsia" w:hint="eastAsia"/>
          <w:b w:val="0"/>
          <w:bCs w:val="0"/>
          <w:sz w:val="24"/>
          <w:szCs w:val="24"/>
        </w:rPr>
        <w:t>10</w:t>
      </w:r>
      <w:r>
        <w:rPr>
          <w:rFonts w:asciiTheme="minorEastAsia" w:eastAsiaTheme="minorEastAsia" w:hAnsiTheme="minorEastAsia" w:hint="eastAsia"/>
          <w:b w:val="0"/>
          <w:bCs w:val="0"/>
          <w:sz w:val="24"/>
          <w:szCs w:val="24"/>
        </w:rPr>
        <w:t>份基金份额派发红利不低于</w:t>
      </w:r>
      <w:r>
        <w:rPr>
          <w:rFonts w:asciiTheme="minorEastAsia" w:eastAsiaTheme="minorEastAsia" w:hAnsiTheme="minorEastAsia" w:hint="eastAsia"/>
          <w:b w:val="0"/>
          <w:bCs w:val="0"/>
          <w:sz w:val="24"/>
          <w:szCs w:val="24"/>
        </w:rPr>
        <w:t>1</w:t>
      </w:r>
      <w:r>
        <w:rPr>
          <w:rFonts w:asciiTheme="minorEastAsia" w:eastAsiaTheme="minorEastAsia" w:hAnsiTheme="minorEastAsia" w:hint="eastAsia"/>
          <w:b w:val="0"/>
          <w:bCs w:val="0"/>
          <w:sz w:val="24"/>
          <w:szCs w:val="24"/>
        </w:rPr>
        <w:t>元时，则本基金将按照全部可供分配利润实施分红。但如果基金合同生效不满</w:t>
      </w:r>
      <w:r>
        <w:rPr>
          <w:rFonts w:asciiTheme="minorEastAsia" w:eastAsiaTheme="minorEastAsia" w:hAnsiTheme="minorEastAsia" w:hint="eastAsia"/>
          <w:b w:val="0"/>
          <w:bCs w:val="0"/>
          <w:sz w:val="24"/>
          <w:szCs w:val="24"/>
        </w:rPr>
        <w:t>3</w:t>
      </w:r>
      <w:r>
        <w:rPr>
          <w:rFonts w:asciiTheme="minorEastAsia" w:eastAsiaTheme="minorEastAsia" w:hAnsiTheme="minorEastAsia" w:hint="eastAsia"/>
          <w:b w:val="0"/>
          <w:bCs w:val="0"/>
          <w:sz w:val="24"/>
          <w:szCs w:val="24"/>
        </w:rPr>
        <w:t>个月，可不进行收益分配</w:t>
      </w:r>
      <w:r>
        <w:rPr>
          <w:rFonts w:asciiTheme="minorEastAsia" w:eastAsiaTheme="minorEastAsia" w:hAnsiTheme="minorEastAsia" w:hint="eastAsia"/>
          <w:b w:val="0"/>
          <w:bCs w:val="0"/>
          <w:sz w:val="24"/>
          <w:szCs w:val="24"/>
        </w:rPr>
        <w:t>。</w:t>
      </w:r>
      <w:r>
        <w:rPr>
          <w:rFonts w:asciiTheme="minorEastAsia" w:eastAsiaTheme="minorEastAsia" w:hAnsiTheme="minorEastAsia" w:hint="eastAsia"/>
          <w:b w:val="0"/>
          <w:bCs w:val="0"/>
          <w:sz w:val="24"/>
          <w:szCs w:val="24"/>
        </w:rPr>
        <w:t>202</w:t>
      </w:r>
      <w:r>
        <w:rPr>
          <w:rFonts w:asciiTheme="minorEastAsia" w:eastAsiaTheme="minorEastAsia" w:hAnsiTheme="minorEastAsia" w:hint="eastAsia"/>
          <w:b w:val="0"/>
          <w:bCs w:val="0"/>
          <w:sz w:val="24"/>
          <w:szCs w:val="24"/>
        </w:rPr>
        <w:t>6</w:t>
      </w:r>
      <w:r>
        <w:rPr>
          <w:rFonts w:asciiTheme="minorEastAsia" w:eastAsiaTheme="minorEastAsia" w:hAnsiTheme="minorEastAsia" w:hint="eastAsia"/>
          <w:b w:val="0"/>
          <w:bCs w:val="0"/>
          <w:sz w:val="24"/>
          <w:szCs w:val="24"/>
        </w:rPr>
        <w:t>年</w:t>
      </w:r>
      <w:r>
        <w:rPr>
          <w:rFonts w:asciiTheme="minorEastAsia" w:eastAsiaTheme="minorEastAsia" w:hAnsiTheme="minorEastAsia" w:hint="eastAsia"/>
          <w:b w:val="0"/>
          <w:bCs w:val="0"/>
          <w:sz w:val="24"/>
          <w:szCs w:val="24"/>
        </w:rPr>
        <w:t>1</w:t>
      </w:r>
      <w:r>
        <w:rPr>
          <w:rFonts w:asciiTheme="minorEastAsia" w:eastAsiaTheme="minorEastAsia" w:hAnsiTheme="minorEastAsia" w:hint="eastAsia"/>
          <w:b w:val="0"/>
          <w:bCs w:val="0"/>
          <w:sz w:val="24"/>
          <w:szCs w:val="24"/>
        </w:rPr>
        <w:t>月</w:t>
      </w:r>
      <w:r>
        <w:rPr>
          <w:rFonts w:asciiTheme="minorEastAsia" w:eastAsiaTheme="minorEastAsia" w:hAnsiTheme="minorEastAsia" w:hint="eastAsia"/>
          <w:b w:val="0"/>
          <w:bCs w:val="0"/>
          <w:sz w:val="24"/>
          <w:szCs w:val="24"/>
        </w:rPr>
        <w:t>28</w:t>
      </w:r>
      <w:r>
        <w:rPr>
          <w:rFonts w:asciiTheme="minorEastAsia" w:eastAsiaTheme="minorEastAsia" w:hAnsiTheme="minorEastAsia" w:hint="eastAsia"/>
          <w:b w:val="0"/>
          <w:bCs w:val="0"/>
          <w:sz w:val="24"/>
          <w:szCs w:val="24"/>
        </w:rPr>
        <w:t>日新华红利回报单位净值</w:t>
      </w:r>
      <w:r>
        <w:rPr>
          <w:rFonts w:asciiTheme="minorEastAsia" w:eastAsiaTheme="minorEastAsia" w:hAnsiTheme="minorEastAsia" w:hint="eastAsia"/>
          <w:b w:val="0"/>
          <w:bCs w:val="0"/>
          <w:sz w:val="24"/>
          <w:szCs w:val="24"/>
        </w:rPr>
        <w:t>1.2</w:t>
      </w:r>
      <w:r>
        <w:rPr>
          <w:rFonts w:asciiTheme="minorEastAsia" w:eastAsiaTheme="minorEastAsia" w:hAnsiTheme="minorEastAsia" w:hint="eastAsia"/>
          <w:b w:val="0"/>
          <w:bCs w:val="0"/>
          <w:sz w:val="24"/>
          <w:szCs w:val="24"/>
        </w:rPr>
        <w:t>333</w:t>
      </w:r>
      <w:r>
        <w:rPr>
          <w:rFonts w:asciiTheme="minorEastAsia" w:eastAsiaTheme="minorEastAsia" w:hAnsiTheme="minorEastAsia" w:hint="eastAsia"/>
          <w:b w:val="0"/>
          <w:bCs w:val="0"/>
          <w:sz w:val="24"/>
          <w:szCs w:val="24"/>
        </w:rPr>
        <w:t>，触发了分红条款，分红基准日</w:t>
      </w:r>
      <w:r>
        <w:rPr>
          <w:rFonts w:asciiTheme="minorEastAsia" w:eastAsiaTheme="minorEastAsia" w:hAnsiTheme="minorEastAsia" w:hint="eastAsia"/>
          <w:b w:val="0"/>
          <w:bCs w:val="0"/>
          <w:sz w:val="24"/>
          <w:szCs w:val="24"/>
        </w:rPr>
        <w:t>2026</w:t>
      </w:r>
      <w:r>
        <w:rPr>
          <w:rFonts w:asciiTheme="minorEastAsia" w:eastAsiaTheme="minorEastAsia" w:hAnsiTheme="minorEastAsia" w:hint="eastAsia"/>
          <w:b w:val="0"/>
          <w:bCs w:val="0"/>
          <w:sz w:val="24"/>
          <w:szCs w:val="24"/>
        </w:rPr>
        <w:t>年</w:t>
      </w:r>
      <w:r>
        <w:rPr>
          <w:rFonts w:asciiTheme="minorEastAsia" w:eastAsiaTheme="minorEastAsia" w:hAnsiTheme="minorEastAsia" w:hint="eastAsia"/>
          <w:b w:val="0"/>
          <w:bCs w:val="0"/>
          <w:sz w:val="24"/>
          <w:szCs w:val="24"/>
        </w:rPr>
        <w:t>1</w:t>
      </w:r>
      <w:r>
        <w:rPr>
          <w:rFonts w:asciiTheme="minorEastAsia" w:eastAsiaTheme="minorEastAsia" w:hAnsiTheme="minorEastAsia" w:hint="eastAsia"/>
          <w:b w:val="0"/>
          <w:bCs w:val="0"/>
          <w:sz w:val="24"/>
          <w:szCs w:val="24"/>
        </w:rPr>
        <w:t>月</w:t>
      </w:r>
      <w:r>
        <w:rPr>
          <w:rFonts w:asciiTheme="minorEastAsia" w:eastAsiaTheme="minorEastAsia" w:hAnsiTheme="minorEastAsia" w:hint="eastAsia"/>
          <w:b w:val="0"/>
          <w:bCs w:val="0"/>
          <w:sz w:val="24"/>
          <w:szCs w:val="24"/>
        </w:rPr>
        <w:t>28</w:t>
      </w:r>
      <w:r>
        <w:rPr>
          <w:rFonts w:asciiTheme="minorEastAsia" w:eastAsiaTheme="minorEastAsia" w:hAnsiTheme="minorEastAsia" w:hint="eastAsia"/>
          <w:b w:val="0"/>
          <w:bCs w:val="0"/>
          <w:sz w:val="24"/>
          <w:szCs w:val="24"/>
        </w:rPr>
        <w:t>日</w:t>
      </w:r>
      <w:r>
        <w:rPr>
          <w:rFonts w:asciiTheme="minorEastAsia" w:eastAsiaTheme="minorEastAsia" w:hAnsiTheme="minorEastAsia" w:hint="eastAsia"/>
          <w:b w:val="0"/>
          <w:bCs w:val="0"/>
          <w:sz w:val="24"/>
          <w:szCs w:val="24"/>
        </w:rPr>
        <w:t>基金单位可分配利润</w:t>
      </w:r>
      <w:r>
        <w:rPr>
          <w:rFonts w:asciiTheme="minorEastAsia" w:eastAsiaTheme="minorEastAsia" w:hAnsiTheme="minorEastAsia" w:hint="eastAsia"/>
          <w:b w:val="0"/>
          <w:bCs w:val="0"/>
          <w:sz w:val="24"/>
          <w:szCs w:val="24"/>
        </w:rPr>
        <w:t>0.</w:t>
      </w:r>
      <w:r>
        <w:rPr>
          <w:rFonts w:asciiTheme="minorEastAsia" w:eastAsiaTheme="minorEastAsia" w:hAnsiTheme="minorEastAsia" w:hint="eastAsia"/>
          <w:b w:val="0"/>
          <w:bCs w:val="0"/>
          <w:sz w:val="24"/>
          <w:szCs w:val="24"/>
        </w:rPr>
        <w:t>0379</w:t>
      </w:r>
      <w:r>
        <w:rPr>
          <w:rFonts w:asciiTheme="minorEastAsia" w:eastAsiaTheme="minorEastAsia" w:hAnsiTheme="minorEastAsia" w:hint="eastAsia"/>
          <w:b w:val="0"/>
          <w:bCs w:val="0"/>
          <w:sz w:val="24"/>
          <w:szCs w:val="24"/>
        </w:rPr>
        <w:t>，每</w:t>
      </w:r>
      <w:r>
        <w:rPr>
          <w:rFonts w:asciiTheme="minorEastAsia" w:eastAsiaTheme="minorEastAsia" w:hAnsiTheme="minorEastAsia" w:hint="eastAsia"/>
          <w:b w:val="0"/>
          <w:bCs w:val="0"/>
          <w:sz w:val="24"/>
          <w:szCs w:val="24"/>
        </w:rPr>
        <w:t>10</w:t>
      </w:r>
      <w:r>
        <w:rPr>
          <w:rFonts w:asciiTheme="minorEastAsia" w:eastAsiaTheme="minorEastAsia" w:hAnsiTheme="minorEastAsia" w:hint="eastAsia"/>
          <w:b w:val="0"/>
          <w:bCs w:val="0"/>
          <w:sz w:val="24"/>
          <w:szCs w:val="24"/>
        </w:rPr>
        <w:t>份基金份额可分配利润</w:t>
      </w:r>
      <w:r>
        <w:rPr>
          <w:rFonts w:asciiTheme="minorEastAsia" w:eastAsiaTheme="minorEastAsia" w:hAnsiTheme="minorEastAsia" w:hint="eastAsia"/>
          <w:b w:val="0"/>
          <w:bCs w:val="0"/>
          <w:sz w:val="24"/>
          <w:szCs w:val="24"/>
        </w:rPr>
        <w:t>0.379</w:t>
      </w:r>
      <w:r>
        <w:rPr>
          <w:rFonts w:asciiTheme="minorEastAsia" w:eastAsiaTheme="minorEastAsia" w:hAnsiTheme="minorEastAsia" w:hint="eastAsia"/>
          <w:b w:val="0"/>
          <w:bCs w:val="0"/>
          <w:sz w:val="24"/>
          <w:szCs w:val="24"/>
        </w:rPr>
        <w:t>元，本次分红方案为每</w:t>
      </w:r>
      <w:r>
        <w:rPr>
          <w:rFonts w:asciiTheme="minorEastAsia" w:eastAsiaTheme="minorEastAsia" w:hAnsiTheme="minorEastAsia" w:hint="eastAsia"/>
          <w:b w:val="0"/>
          <w:bCs w:val="0"/>
          <w:sz w:val="24"/>
          <w:szCs w:val="24"/>
        </w:rPr>
        <w:t>1</w:t>
      </w:r>
      <w:r>
        <w:rPr>
          <w:rFonts w:asciiTheme="minorEastAsia" w:eastAsiaTheme="minorEastAsia" w:hAnsiTheme="minorEastAsia" w:hint="eastAsia"/>
          <w:b w:val="0"/>
          <w:bCs w:val="0"/>
          <w:sz w:val="24"/>
          <w:szCs w:val="24"/>
        </w:rPr>
        <w:t>0</w:t>
      </w:r>
      <w:r>
        <w:rPr>
          <w:rFonts w:asciiTheme="minorEastAsia" w:eastAsiaTheme="minorEastAsia" w:hAnsiTheme="minorEastAsia" w:hint="eastAsia"/>
          <w:b w:val="0"/>
          <w:bCs w:val="0"/>
          <w:sz w:val="24"/>
          <w:szCs w:val="24"/>
        </w:rPr>
        <w:t>份</w:t>
      </w:r>
      <w:r>
        <w:rPr>
          <w:rFonts w:asciiTheme="minorEastAsia" w:eastAsiaTheme="minorEastAsia" w:hAnsiTheme="minorEastAsia" w:hint="eastAsia"/>
          <w:b w:val="0"/>
          <w:bCs w:val="0"/>
          <w:sz w:val="24"/>
          <w:szCs w:val="24"/>
        </w:rPr>
        <w:t>0.379</w:t>
      </w:r>
      <w:r>
        <w:rPr>
          <w:rFonts w:asciiTheme="minorEastAsia" w:eastAsiaTheme="minorEastAsia" w:hAnsiTheme="minorEastAsia" w:hint="eastAsia"/>
          <w:b w:val="0"/>
          <w:bCs w:val="0"/>
          <w:sz w:val="24"/>
          <w:szCs w:val="24"/>
        </w:rPr>
        <w:t>元，满足“</w:t>
      </w:r>
      <w:r>
        <w:rPr>
          <w:rFonts w:asciiTheme="minorEastAsia" w:eastAsiaTheme="minorEastAsia" w:hAnsiTheme="minorEastAsia" w:hint="eastAsia"/>
          <w:b w:val="0"/>
          <w:bCs w:val="0"/>
          <w:sz w:val="24"/>
          <w:szCs w:val="24"/>
        </w:rPr>
        <w:t>如本基金可供分配利润不足而无法满足每</w:t>
      </w:r>
      <w:r>
        <w:rPr>
          <w:rFonts w:asciiTheme="minorEastAsia" w:eastAsiaTheme="minorEastAsia" w:hAnsiTheme="minorEastAsia" w:hint="eastAsia"/>
          <w:b w:val="0"/>
          <w:bCs w:val="0"/>
          <w:sz w:val="24"/>
          <w:szCs w:val="24"/>
        </w:rPr>
        <w:t>10</w:t>
      </w:r>
      <w:r>
        <w:rPr>
          <w:rFonts w:asciiTheme="minorEastAsia" w:eastAsiaTheme="minorEastAsia" w:hAnsiTheme="minorEastAsia" w:hint="eastAsia"/>
          <w:b w:val="0"/>
          <w:bCs w:val="0"/>
          <w:sz w:val="24"/>
          <w:szCs w:val="24"/>
        </w:rPr>
        <w:t>份基金份额派发红利不低于</w:t>
      </w:r>
      <w:r>
        <w:rPr>
          <w:rFonts w:asciiTheme="minorEastAsia" w:eastAsiaTheme="minorEastAsia" w:hAnsiTheme="minorEastAsia" w:hint="eastAsia"/>
          <w:b w:val="0"/>
          <w:bCs w:val="0"/>
          <w:sz w:val="24"/>
          <w:szCs w:val="24"/>
        </w:rPr>
        <w:t>1</w:t>
      </w:r>
      <w:r>
        <w:rPr>
          <w:rFonts w:asciiTheme="minorEastAsia" w:eastAsiaTheme="minorEastAsia" w:hAnsiTheme="minorEastAsia" w:hint="eastAsia"/>
          <w:b w:val="0"/>
          <w:bCs w:val="0"/>
          <w:sz w:val="24"/>
          <w:szCs w:val="24"/>
        </w:rPr>
        <w:t>元时，则本基金将按照全部可供分配利润实施分红</w:t>
      </w:r>
      <w:r>
        <w:rPr>
          <w:rFonts w:asciiTheme="minorEastAsia" w:eastAsiaTheme="minorEastAsia" w:hAnsiTheme="minorEastAsia" w:hint="eastAsia"/>
          <w:b w:val="0"/>
          <w:bCs w:val="0"/>
          <w:sz w:val="24"/>
          <w:szCs w:val="24"/>
        </w:rPr>
        <w:t>”的合同要求。</w:t>
      </w:r>
      <w:bookmarkStart w:id="1" w:name="_GoBack"/>
      <w:bookmarkEnd w:id="1"/>
    </w:p>
    <w:p w:rsidR="005F28F2" w:rsidRDefault="005F28F2">
      <w:pPr>
        <w:pStyle w:val="3"/>
        <w:keepNext w:val="0"/>
        <w:keepLines w:val="0"/>
        <w:spacing w:before="0" w:after="0" w:line="360" w:lineRule="auto"/>
        <w:rPr>
          <w:rFonts w:ascii="宋体" w:hAnsi="宋体"/>
          <w:bCs w:val="0"/>
          <w:sz w:val="24"/>
          <w:szCs w:val="24"/>
        </w:rPr>
      </w:pPr>
    </w:p>
    <w:p w:rsidR="005F28F2" w:rsidRDefault="004252B5">
      <w:pPr>
        <w:pStyle w:val="3"/>
        <w:keepNext w:val="0"/>
        <w:keepLines w:val="0"/>
        <w:spacing w:before="0" w:after="0" w:line="360" w:lineRule="auto"/>
        <w:rPr>
          <w:rFonts w:ascii="宋体" w:hAnsi="宋体"/>
          <w:bCs w:val="0"/>
          <w:sz w:val="24"/>
          <w:szCs w:val="24"/>
        </w:rPr>
      </w:pPr>
      <w:r>
        <w:rPr>
          <w:rFonts w:ascii="宋体" w:hAnsi="宋体" w:hint="eastAsia"/>
          <w:bCs w:val="0"/>
          <w:sz w:val="24"/>
          <w:szCs w:val="24"/>
        </w:rPr>
        <w:t>2.</w:t>
      </w:r>
      <w:r>
        <w:rPr>
          <w:rFonts w:ascii="宋体" w:hAnsi="宋体" w:hint="eastAsia"/>
          <w:bCs w:val="0"/>
          <w:sz w:val="24"/>
          <w:szCs w:val="24"/>
        </w:rPr>
        <w:t>与分红相关的其他信息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37"/>
        <w:gridCol w:w="6419"/>
      </w:tblGrid>
      <w:tr w:rsidR="005F28F2">
        <w:trPr>
          <w:jc w:val="center"/>
        </w:trPr>
        <w:tc>
          <w:tcPr>
            <w:tcW w:w="2937" w:type="dxa"/>
          </w:tcPr>
          <w:p w:rsidR="005F28F2" w:rsidRDefault="004252B5">
            <w:pPr>
              <w:rPr>
                <w:sz w:val="24"/>
              </w:rPr>
            </w:pPr>
            <w:r>
              <w:rPr>
                <w:rFonts w:hint="eastAsia"/>
                <w:sz w:val="24"/>
              </w:rPr>
              <w:lastRenderedPageBreak/>
              <w:t>权益登记日</w:t>
            </w:r>
            <w:r>
              <w:rPr>
                <w:rFonts w:hint="eastAsia"/>
                <w:sz w:val="24"/>
              </w:rPr>
              <w:t xml:space="preserve"> </w:t>
            </w:r>
          </w:p>
        </w:tc>
        <w:tc>
          <w:tcPr>
            <w:tcW w:w="6419" w:type="dxa"/>
          </w:tcPr>
          <w:p w:rsidR="005F28F2" w:rsidRDefault="004252B5">
            <w:pPr>
              <w:rPr>
                <w:sz w:val="24"/>
              </w:rPr>
            </w:pPr>
            <w:r>
              <w:rPr>
                <w:rFonts w:hint="eastAsia"/>
                <w:sz w:val="24"/>
              </w:rPr>
              <w:t>202</w:t>
            </w:r>
            <w:r>
              <w:rPr>
                <w:rFonts w:hint="eastAsia"/>
                <w:sz w:val="24"/>
              </w:rPr>
              <w:t>6</w:t>
            </w:r>
            <w:r>
              <w:rPr>
                <w:rFonts w:hint="eastAsia"/>
                <w:sz w:val="24"/>
              </w:rPr>
              <w:t>年</w:t>
            </w:r>
            <w:r>
              <w:rPr>
                <w:rFonts w:hint="eastAsia"/>
                <w:sz w:val="24"/>
              </w:rPr>
              <w:t>2</w:t>
            </w:r>
            <w:r>
              <w:rPr>
                <w:rFonts w:hint="eastAsia"/>
                <w:sz w:val="24"/>
              </w:rPr>
              <w:t>月</w:t>
            </w:r>
            <w:r>
              <w:rPr>
                <w:rFonts w:hint="eastAsia"/>
                <w:sz w:val="24"/>
              </w:rPr>
              <w:t>3</w:t>
            </w:r>
            <w:r>
              <w:rPr>
                <w:rFonts w:hint="eastAsia"/>
                <w:sz w:val="24"/>
              </w:rPr>
              <w:t>日</w:t>
            </w:r>
          </w:p>
        </w:tc>
      </w:tr>
      <w:tr w:rsidR="005F28F2">
        <w:trPr>
          <w:jc w:val="center"/>
        </w:trPr>
        <w:tc>
          <w:tcPr>
            <w:tcW w:w="2937" w:type="dxa"/>
          </w:tcPr>
          <w:p w:rsidR="005F28F2" w:rsidRDefault="004252B5">
            <w:pPr>
              <w:rPr>
                <w:sz w:val="24"/>
              </w:rPr>
            </w:pPr>
            <w:r>
              <w:rPr>
                <w:rFonts w:hint="eastAsia"/>
                <w:sz w:val="24"/>
              </w:rPr>
              <w:t>除息日</w:t>
            </w:r>
            <w:r>
              <w:rPr>
                <w:rFonts w:hint="eastAsia"/>
                <w:sz w:val="24"/>
              </w:rPr>
              <w:t xml:space="preserve"> </w:t>
            </w:r>
          </w:p>
        </w:tc>
        <w:tc>
          <w:tcPr>
            <w:tcW w:w="6419" w:type="dxa"/>
          </w:tcPr>
          <w:p w:rsidR="005F28F2" w:rsidRDefault="004252B5">
            <w:pPr>
              <w:rPr>
                <w:sz w:val="24"/>
              </w:rPr>
            </w:pPr>
            <w:r>
              <w:rPr>
                <w:rFonts w:hint="eastAsia"/>
                <w:sz w:val="24"/>
              </w:rPr>
              <w:t>202</w:t>
            </w:r>
            <w:r>
              <w:rPr>
                <w:rFonts w:hint="eastAsia"/>
                <w:sz w:val="24"/>
              </w:rPr>
              <w:t>6</w:t>
            </w:r>
            <w:r>
              <w:rPr>
                <w:rFonts w:hint="eastAsia"/>
                <w:sz w:val="24"/>
              </w:rPr>
              <w:t>年</w:t>
            </w:r>
            <w:r>
              <w:rPr>
                <w:rFonts w:hint="eastAsia"/>
                <w:sz w:val="24"/>
              </w:rPr>
              <w:t>2</w:t>
            </w:r>
            <w:r>
              <w:rPr>
                <w:rFonts w:hint="eastAsia"/>
                <w:sz w:val="24"/>
              </w:rPr>
              <w:t>月</w:t>
            </w:r>
            <w:r>
              <w:rPr>
                <w:rFonts w:hint="eastAsia"/>
                <w:sz w:val="24"/>
              </w:rPr>
              <w:t>3</w:t>
            </w:r>
            <w:r>
              <w:rPr>
                <w:rFonts w:hint="eastAsia"/>
                <w:sz w:val="24"/>
              </w:rPr>
              <w:t>日</w:t>
            </w:r>
          </w:p>
        </w:tc>
      </w:tr>
      <w:tr w:rsidR="005F28F2">
        <w:trPr>
          <w:jc w:val="center"/>
        </w:trPr>
        <w:tc>
          <w:tcPr>
            <w:tcW w:w="2937" w:type="dxa"/>
          </w:tcPr>
          <w:p w:rsidR="005F28F2" w:rsidRDefault="004252B5">
            <w:pPr>
              <w:rPr>
                <w:sz w:val="24"/>
              </w:rPr>
            </w:pPr>
            <w:r>
              <w:rPr>
                <w:rFonts w:hint="eastAsia"/>
                <w:sz w:val="24"/>
              </w:rPr>
              <w:t>现金红利发放日</w:t>
            </w:r>
            <w:r>
              <w:rPr>
                <w:rFonts w:hint="eastAsia"/>
                <w:sz w:val="24"/>
              </w:rPr>
              <w:t xml:space="preserve"> </w:t>
            </w:r>
          </w:p>
        </w:tc>
        <w:tc>
          <w:tcPr>
            <w:tcW w:w="6419" w:type="dxa"/>
          </w:tcPr>
          <w:p w:rsidR="005F28F2" w:rsidRDefault="004252B5">
            <w:pPr>
              <w:rPr>
                <w:sz w:val="24"/>
              </w:rPr>
            </w:pPr>
            <w:r>
              <w:rPr>
                <w:rFonts w:hint="eastAsia"/>
                <w:sz w:val="24"/>
              </w:rPr>
              <w:t>202</w:t>
            </w:r>
            <w:r>
              <w:rPr>
                <w:rFonts w:hint="eastAsia"/>
                <w:sz w:val="24"/>
              </w:rPr>
              <w:t>6</w:t>
            </w:r>
            <w:r>
              <w:rPr>
                <w:rFonts w:hint="eastAsia"/>
                <w:sz w:val="24"/>
              </w:rPr>
              <w:t>年</w:t>
            </w:r>
            <w:r>
              <w:rPr>
                <w:rFonts w:hint="eastAsia"/>
                <w:sz w:val="24"/>
              </w:rPr>
              <w:t>2</w:t>
            </w:r>
            <w:r>
              <w:rPr>
                <w:rFonts w:hint="eastAsia"/>
                <w:sz w:val="24"/>
              </w:rPr>
              <w:t>月</w:t>
            </w:r>
            <w:r>
              <w:rPr>
                <w:rFonts w:hint="eastAsia"/>
                <w:sz w:val="24"/>
              </w:rPr>
              <w:t>5</w:t>
            </w:r>
            <w:r>
              <w:rPr>
                <w:rFonts w:hint="eastAsia"/>
                <w:sz w:val="24"/>
              </w:rPr>
              <w:t>日</w:t>
            </w:r>
          </w:p>
        </w:tc>
      </w:tr>
      <w:tr w:rsidR="005F28F2">
        <w:trPr>
          <w:jc w:val="center"/>
        </w:trPr>
        <w:tc>
          <w:tcPr>
            <w:tcW w:w="2937" w:type="dxa"/>
          </w:tcPr>
          <w:p w:rsidR="005F28F2" w:rsidRDefault="004252B5">
            <w:pPr>
              <w:rPr>
                <w:sz w:val="24"/>
              </w:rPr>
            </w:pPr>
            <w:r>
              <w:rPr>
                <w:rFonts w:hint="eastAsia"/>
                <w:sz w:val="24"/>
              </w:rPr>
              <w:t>分红对象</w:t>
            </w:r>
          </w:p>
        </w:tc>
        <w:tc>
          <w:tcPr>
            <w:tcW w:w="6419" w:type="dxa"/>
          </w:tcPr>
          <w:p w:rsidR="005F28F2" w:rsidRDefault="004252B5">
            <w:pPr>
              <w:rPr>
                <w:sz w:val="24"/>
              </w:rPr>
            </w:pPr>
            <w:r>
              <w:rPr>
                <w:rFonts w:hint="eastAsia"/>
                <w:color w:val="000000"/>
                <w:sz w:val="24"/>
              </w:rPr>
              <w:t>权益登记日在注册登记机构新华基金管理股份有限公司登记在册的本基金全体份额持有人</w:t>
            </w:r>
          </w:p>
        </w:tc>
      </w:tr>
      <w:tr w:rsidR="005F28F2">
        <w:trPr>
          <w:jc w:val="center"/>
        </w:trPr>
        <w:tc>
          <w:tcPr>
            <w:tcW w:w="2937" w:type="dxa"/>
          </w:tcPr>
          <w:p w:rsidR="005F28F2" w:rsidRDefault="004252B5">
            <w:pPr>
              <w:rPr>
                <w:sz w:val="24"/>
              </w:rPr>
            </w:pPr>
            <w:r>
              <w:rPr>
                <w:rFonts w:hint="eastAsia"/>
                <w:sz w:val="24"/>
              </w:rPr>
              <w:t>红利再投资相关事项的说明</w:t>
            </w:r>
            <w:r>
              <w:rPr>
                <w:rFonts w:hint="eastAsia"/>
                <w:sz w:val="24"/>
              </w:rPr>
              <w:t xml:space="preserve"> </w:t>
            </w:r>
          </w:p>
        </w:tc>
        <w:tc>
          <w:tcPr>
            <w:tcW w:w="6419" w:type="dxa"/>
          </w:tcPr>
          <w:p w:rsidR="005F28F2" w:rsidRDefault="004252B5">
            <w:pPr>
              <w:rPr>
                <w:sz w:val="24"/>
              </w:rPr>
            </w:pPr>
            <w:r>
              <w:rPr>
                <w:rFonts w:hint="eastAsia"/>
                <w:sz w:val="24"/>
              </w:rPr>
              <w:t>选择红利再投资方式的投资者，注册登记机构将以</w:t>
            </w:r>
            <w:r>
              <w:rPr>
                <w:rFonts w:hint="eastAsia"/>
                <w:sz w:val="24"/>
              </w:rPr>
              <w:t>2026</w:t>
            </w:r>
            <w:r>
              <w:rPr>
                <w:rFonts w:hint="eastAsia"/>
                <w:sz w:val="24"/>
              </w:rPr>
              <w:t>年</w:t>
            </w:r>
            <w:r>
              <w:rPr>
                <w:rFonts w:hint="eastAsia"/>
                <w:sz w:val="24"/>
              </w:rPr>
              <w:t>2</w:t>
            </w:r>
            <w:r>
              <w:rPr>
                <w:rFonts w:hint="eastAsia"/>
                <w:sz w:val="24"/>
              </w:rPr>
              <w:t>月</w:t>
            </w:r>
            <w:r>
              <w:rPr>
                <w:rFonts w:hint="eastAsia"/>
                <w:sz w:val="24"/>
              </w:rPr>
              <w:t>3</w:t>
            </w:r>
            <w:r>
              <w:rPr>
                <w:rFonts w:hint="eastAsia"/>
                <w:sz w:val="24"/>
              </w:rPr>
              <w:t>日除息后的基金份额净值为基准计算其再投资所得的基金份额，并将于</w:t>
            </w:r>
            <w:r>
              <w:rPr>
                <w:rFonts w:hint="eastAsia"/>
                <w:sz w:val="24"/>
              </w:rPr>
              <w:t>2026</w:t>
            </w:r>
            <w:r>
              <w:rPr>
                <w:rFonts w:hint="eastAsia"/>
                <w:sz w:val="24"/>
              </w:rPr>
              <w:t>年</w:t>
            </w:r>
            <w:r>
              <w:rPr>
                <w:rFonts w:hint="eastAsia"/>
                <w:sz w:val="24"/>
              </w:rPr>
              <w:t>2</w:t>
            </w:r>
            <w:r>
              <w:rPr>
                <w:rFonts w:hint="eastAsia"/>
                <w:sz w:val="24"/>
              </w:rPr>
              <w:t>月</w:t>
            </w:r>
            <w:r>
              <w:rPr>
                <w:rFonts w:hint="eastAsia"/>
                <w:sz w:val="24"/>
              </w:rPr>
              <w:t>4</w:t>
            </w:r>
            <w:r>
              <w:rPr>
                <w:rFonts w:hint="eastAsia"/>
                <w:sz w:val="24"/>
              </w:rPr>
              <w:t>日直接计入其基金账户，投资者自</w:t>
            </w:r>
            <w:r>
              <w:rPr>
                <w:rFonts w:hint="eastAsia"/>
                <w:sz w:val="24"/>
              </w:rPr>
              <w:t xml:space="preserve"> 2026</w:t>
            </w:r>
            <w:r>
              <w:rPr>
                <w:rFonts w:hint="eastAsia"/>
                <w:sz w:val="24"/>
              </w:rPr>
              <w:t>年</w:t>
            </w:r>
            <w:r>
              <w:rPr>
                <w:rFonts w:hint="eastAsia"/>
                <w:sz w:val="24"/>
              </w:rPr>
              <w:t>2</w:t>
            </w:r>
            <w:r>
              <w:rPr>
                <w:rFonts w:hint="eastAsia"/>
                <w:sz w:val="24"/>
              </w:rPr>
              <w:t>月</w:t>
            </w:r>
            <w:r>
              <w:rPr>
                <w:rFonts w:hint="eastAsia"/>
                <w:sz w:val="24"/>
              </w:rPr>
              <w:t>5</w:t>
            </w:r>
            <w:r>
              <w:rPr>
                <w:rFonts w:hint="eastAsia"/>
                <w:sz w:val="24"/>
              </w:rPr>
              <w:t>日起可以查询、赎回再投资所得的基金份额</w:t>
            </w:r>
          </w:p>
        </w:tc>
      </w:tr>
      <w:tr w:rsidR="005F28F2">
        <w:trPr>
          <w:jc w:val="center"/>
        </w:trPr>
        <w:tc>
          <w:tcPr>
            <w:tcW w:w="2937" w:type="dxa"/>
          </w:tcPr>
          <w:p w:rsidR="005F28F2" w:rsidRDefault="004252B5">
            <w:pPr>
              <w:rPr>
                <w:sz w:val="24"/>
              </w:rPr>
            </w:pPr>
            <w:r>
              <w:rPr>
                <w:rFonts w:hint="eastAsia"/>
                <w:sz w:val="24"/>
              </w:rPr>
              <w:t>税收相关事项的说明</w:t>
            </w:r>
          </w:p>
        </w:tc>
        <w:tc>
          <w:tcPr>
            <w:tcW w:w="6419" w:type="dxa"/>
          </w:tcPr>
          <w:p w:rsidR="005F28F2" w:rsidRDefault="004252B5">
            <w:pPr>
              <w:rPr>
                <w:sz w:val="24"/>
              </w:rPr>
            </w:pPr>
            <w:r>
              <w:rPr>
                <w:rFonts w:hint="eastAsia"/>
                <w:color w:val="000000"/>
                <w:sz w:val="24"/>
              </w:rPr>
              <w:t>根据财政部、国家税务总局《关于开放式证券投资基金有关税收问题的通知》（财税字</w:t>
            </w:r>
            <w:r>
              <w:rPr>
                <w:rFonts w:hint="eastAsia"/>
                <w:color w:val="000000"/>
                <w:sz w:val="24"/>
              </w:rPr>
              <w:t>[2002]128</w:t>
            </w:r>
            <w:r>
              <w:rPr>
                <w:rFonts w:hint="eastAsia"/>
                <w:color w:val="000000"/>
                <w:sz w:val="24"/>
              </w:rPr>
              <w:t>号）</w:t>
            </w:r>
            <w:r>
              <w:rPr>
                <w:rFonts w:asciiTheme="minorEastAsia" w:eastAsiaTheme="minorEastAsia" w:hAnsiTheme="minorEastAsia"/>
                <w:sz w:val="24"/>
              </w:rPr>
              <w:t>及《关于企业所得税若干优惠政策的通知》（财税</w:t>
            </w:r>
            <w:r>
              <w:rPr>
                <w:rFonts w:asciiTheme="minorEastAsia" w:eastAsiaTheme="minorEastAsia" w:hAnsiTheme="minorEastAsia"/>
                <w:sz w:val="24"/>
              </w:rPr>
              <w:t>[2008]1</w:t>
            </w:r>
            <w:r>
              <w:rPr>
                <w:rFonts w:asciiTheme="minorEastAsia" w:eastAsiaTheme="minorEastAsia" w:hAnsiTheme="minorEastAsia"/>
                <w:sz w:val="24"/>
              </w:rPr>
              <w:t>号）的规定，</w:t>
            </w:r>
            <w:r>
              <w:rPr>
                <w:rFonts w:hint="eastAsia"/>
                <w:color w:val="000000"/>
                <w:sz w:val="24"/>
              </w:rPr>
              <w:t>基金向投资者分配的基金收益</w:t>
            </w:r>
            <w:r>
              <w:rPr>
                <w:rFonts w:hint="eastAsia"/>
                <w:color w:val="000000"/>
                <w:sz w:val="24"/>
              </w:rPr>
              <w:t>,</w:t>
            </w:r>
            <w:r>
              <w:rPr>
                <w:rFonts w:hint="eastAsia"/>
                <w:color w:val="000000"/>
                <w:sz w:val="24"/>
              </w:rPr>
              <w:t>暂免征收所得税。</w:t>
            </w:r>
          </w:p>
        </w:tc>
      </w:tr>
      <w:tr w:rsidR="005F28F2">
        <w:trPr>
          <w:jc w:val="center"/>
        </w:trPr>
        <w:tc>
          <w:tcPr>
            <w:tcW w:w="2937" w:type="dxa"/>
          </w:tcPr>
          <w:p w:rsidR="005F28F2" w:rsidRDefault="004252B5">
            <w:pPr>
              <w:rPr>
                <w:sz w:val="24"/>
              </w:rPr>
            </w:pPr>
            <w:r>
              <w:rPr>
                <w:rFonts w:hint="eastAsia"/>
                <w:sz w:val="24"/>
              </w:rPr>
              <w:t>费用相关事项的说明</w:t>
            </w:r>
          </w:p>
        </w:tc>
        <w:tc>
          <w:tcPr>
            <w:tcW w:w="6419" w:type="dxa"/>
          </w:tcPr>
          <w:p w:rsidR="005F28F2" w:rsidRDefault="004252B5">
            <w:pPr>
              <w:rPr>
                <w:sz w:val="24"/>
              </w:rPr>
            </w:pPr>
            <w:r>
              <w:rPr>
                <w:rFonts w:hint="eastAsia"/>
                <w:color w:val="000000"/>
                <w:sz w:val="24"/>
              </w:rPr>
              <w:t>本次分红免收分红手续费，选择</w:t>
            </w:r>
            <w:r>
              <w:rPr>
                <w:rFonts w:hint="eastAsia"/>
                <w:color w:val="000000"/>
                <w:sz w:val="24"/>
              </w:rPr>
              <w:t>红利再投资方式的投资者，其现金红利所转换的基金份额免收申购费用。</w:t>
            </w:r>
          </w:p>
        </w:tc>
      </w:tr>
    </w:tbl>
    <w:p w:rsidR="005F28F2" w:rsidRDefault="005F28F2">
      <w:pPr>
        <w:pStyle w:val="3"/>
        <w:keepNext w:val="0"/>
        <w:keepLines w:val="0"/>
        <w:spacing w:before="0" w:after="0" w:line="360" w:lineRule="auto"/>
        <w:rPr>
          <w:color w:val="000000"/>
          <w:sz w:val="24"/>
          <w:szCs w:val="24"/>
        </w:rPr>
      </w:pPr>
    </w:p>
    <w:p w:rsidR="005F28F2" w:rsidRDefault="004252B5">
      <w:pPr>
        <w:pStyle w:val="3"/>
        <w:keepNext w:val="0"/>
        <w:keepLines w:val="0"/>
        <w:spacing w:before="0" w:after="0" w:line="360" w:lineRule="auto"/>
        <w:rPr>
          <w:color w:val="000000"/>
          <w:sz w:val="24"/>
          <w:szCs w:val="24"/>
        </w:rPr>
      </w:pPr>
      <w:r>
        <w:rPr>
          <w:rFonts w:hint="eastAsia"/>
          <w:color w:val="000000"/>
          <w:sz w:val="24"/>
          <w:szCs w:val="24"/>
        </w:rPr>
        <w:t>3.</w:t>
      </w:r>
      <w:r>
        <w:rPr>
          <w:rFonts w:hint="eastAsia"/>
          <w:color w:val="000000"/>
          <w:sz w:val="24"/>
          <w:szCs w:val="24"/>
        </w:rPr>
        <w:t>其他需要提示的事项</w:t>
      </w:r>
    </w:p>
    <w:p w:rsidR="005F28F2" w:rsidRDefault="004252B5">
      <w:pPr>
        <w:spacing w:line="360" w:lineRule="auto"/>
        <w:ind w:firstLineChars="200" w:firstLine="480"/>
        <w:rPr>
          <w:color w:val="000000"/>
          <w:sz w:val="24"/>
        </w:rPr>
      </w:pPr>
      <w:r>
        <w:rPr>
          <w:rFonts w:hint="eastAsia"/>
          <w:color w:val="000000"/>
          <w:sz w:val="24"/>
        </w:rPr>
        <w:t>（</w:t>
      </w:r>
      <w:r>
        <w:rPr>
          <w:rFonts w:hint="eastAsia"/>
          <w:color w:val="000000"/>
          <w:sz w:val="24"/>
        </w:rPr>
        <w:t>1</w:t>
      </w:r>
      <w:r>
        <w:rPr>
          <w:rFonts w:hint="eastAsia"/>
          <w:color w:val="000000"/>
          <w:sz w:val="24"/>
        </w:rPr>
        <w:t>）本次收益分配公告已经本基金托管人中国工商银行股份有限公司复核。</w:t>
      </w:r>
      <w:r>
        <w:rPr>
          <w:rFonts w:hint="eastAsia"/>
          <w:color w:val="000000"/>
          <w:sz w:val="24"/>
        </w:rPr>
        <w:t xml:space="preserve"> </w:t>
      </w:r>
    </w:p>
    <w:p w:rsidR="005F28F2" w:rsidRDefault="004252B5">
      <w:pPr>
        <w:spacing w:line="360" w:lineRule="auto"/>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）权益登记日申请申购的基金份额不享有本次分红权益，权益登记日申请赎回的基金份额享有本次分红权益。</w:t>
      </w:r>
    </w:p>
    <w:p w:rsidR="005F28F2" w:rsidRDefault="004252B5">
      <w:pPr>
        <w:spacing w:line="360" w:lineRule="auto"/>
        <w:ind w:firstLineChars="200" w:firstLine="480"/>
        <w:rPr>
          <w:color w:val="000000"/>
          <w:sz w:val="24"/>
        </w:rPr>
      </w:pPr>
      <w:r>
        <w:rPr>
          <w:rFonts w:hint="eastAsia"/>
          <w:color w:val="000000"/>
          <w:sz w:val="24"/>
        </w:rPr>
        <w:t>（</w:t>
      </w:r>
      <w:r>
        <w:rPr>
          <w:rFonts w:hint="eastAsia"/>
          <w:color w:val="000000"/>
          <w:sz w:val="24"/>
        </w:rPr>
        <w:t>3</w:t>
      </w:r>
      <w:r>
        <w:rPr>
          <w:rFonts w:hint="eastAsia"/>
          <w:color w:val="000000"/>
          <w:sz w:val="24"/>
        </w:rPr>
        <w:t>）对于未选择具体分红方式的投资者，本基金默认的分红方式为现金方式。</w:t>
      </w:r>
    </w:p>
    <w:p w:rsidR="005F28F2" w:rsidRDefault="004252B5">
      <w:pPr>
        <w:spacing w:line="360" w:lineRule="auto"/>
        <w:ind w:firstLineChars="200" w:firstLine="480"/>
        <w:rPr>
          <w:color w:val="000000"/>
          <w:sz w:val="24"/>
        </w:rPr>
      </w:pPr>
      <w:r>
        <w:rPr>
          <w:rFonts w:hint="eastAsia"/>
          <w:color w:val="000000"/>
          <w:sz w:val="24"/>
        </w:rPr>
        <w:t>（</w:t>
      </w:r>
      <w:r>
        <w:rPr>
          <w:rFonts w:hint="eastAsia"/>
          <w:color w:val="000000"/>
          <w:sz w:val="24"/>
        </w:rPr>
        <w:t>4</w:t>
      </w:r>
      <w:r>
        <w:rPr>
          <w:rFonts w:hint="eastAsia"/>
          <w:color w:val="000000"/>
          <w:sz w:val="24"/>
        </w:rPr>
        <w:t>）投资者可以在基金开放日的交易时间内到销售网点修改分红方式，本次分红确认的方式将按照投资者在权益登记日之前（不含权益登记日）最后一次选择的分红方式为准。请投资者到销售网点或通过本公司客户服务中心（</w:t>
      </w:r>
      <w:r>
        <w:rPr>
          <w:rFonts w:hint="eastAsia"/>
          <w:color w:val="000000"/>
          <w:sz w:val="24"/>
        </w:rPr>
        <w:t>400-8198866</w:t>
      </w:r>
      <w:r>
        <w:rPr>
          <w:rFonts w:hint="eastAsia"/>
          <w:color w:val="000000"/>
          <w:sz w:val="24"/>
        </w:rPr>
        <w:t>）确认分红方式是否正确，如不正确或希望修改分红方式的，请务必在规定时间前到销售网点办理变更手续。</w:t>
      </w:r>
    </w:p>
    <w:p w:rsidR="005F28F2" w:rsidRDefault="004252B5">
      <w:pPr>
        <w:spacing w:line="360" w:lineRule="auto"/>
        <w:ind w:firstLineChars="200" w:firstLine="480"/>
        <w:rPr>
          <w:color w:val="000000"/>
          <w:sz w:val="24"/>
        </w:rPr>
      </w:pPr>
      <w:r>
        <w:rPr>
          <w:rFonts w:hint="eastAsia"/>
          <w:color w:val="000000"/>
          <w:sz w:val="24"/>
        </w:rPr>
        <w:t>（</w:t>
      </w:r>
      <w:r>
        <w:rPr>
          <w:rFonts w:hint="eastAsia"/>
          <w:color w:val="000000"/>
          <w:sz w:val="24"/>
        </w:rPr>
        <w:t>5</w:t>
      </w:r>
      <w:r>
        <w:rPr>
          <w:rFonts w:hint="eastAsia"/>
          <w:color w:val="000000"/>
          <w:sz w:val="24"/>
        </w:rPr>
        <w:t>）由于部分投资者在开户时填写的地址不够准确完整，为确保投资者能够及时准确地收到对账单，本公司特此提示：请各位投资者核对开户信息，若需补充或更改，请及时致电本公司的客户服务电话</w:t>
      </w:r>
      <w:r>
        <w:rPr>
          <w:rFonts w:hint="eastAsia"/>
          <w:color w:val="000000"/>
          <w:sz w:val="24"/>
        </w:rPr>
        <w:t>400-819</w:t>
      </w:r>
      <w:r>
        <w:rPr>
          <w:rFonts w:hint="eastAsia"/>
          <w:color w:val="000000"/>
          <w:sz w:val="24"/>
        </w:rPr>
        <w:t>8866</w:t>
      </w:r>
      <w:r>
        <w:rPr>
          <w:rFonts w:hint="eastAsia"/>
          <w:color w:val="000000"/>
          <w:sz w:val="24"/>
        </w:rPr>
        <w:t>、通过本公司网站或到原开户网点变更相关资料。</w:t>
      </w:r>
    </w:p>
    <w:p w:rsidR="005F28F2" w:rsidRDefault="004252B5">
      <w:pPr>
        <w:spacing w:line="360" w:lineRule="auto"/>
        <w:ind w:firstLineChars="200" w:firstLine="480"/>
        <w:rPr>
          <w:color w:val="000000"/>
          <w:sz w:val="24"/>
        </w:rPr>
      </w:pPr>
      <w:r>
        <w:rPr>
          <w:rFonts w:hint="eastAsia"/>
          <w:color w:val="000000"/>
          <w:sz w:val="24"/>
        </w:rPr>
        <w:t>（</w:t>
      </w:r>
      <w:r>
        <w:rPr>
          <w:rFonts w:hint="eastAsia"/>
          <w:color w:val="000000"/>
          <w:sz w:val="24"/>
        </w:rPr>
        <w:t>6</w:t>
      </w:r>
      <w:r>
        <w:rPr>
          <w:rFonts w:hint="eastAsia"/>
          <w:color w:val="000000"/>
          <w:sz w:val="24"/>
        </w:rPr>
        <w:t>）权益分派期间（</w:t>
      </w:r>
      <w:r>
        <w:rPr>
          <w:rFonts w:hint="eastAsia"/>
          <w:sz w:val="24"/>
        </w:rPr>
        <w:t>20</w:t>
      </w:r>
      <w:r>
        <w:rPr>
          <w:sz w:val="24"/>
        </w:rPr>
        <w:t>2</w:t>
      </w:r>
      <w:r>
        <w:rPr>
          <w:rFonts w:hint="eastAsia"/>
          <w:sz w:val="24"/>
        </w:rPr>
        <w:t>6</w:t>
      </w:r>
      <w:r>
        <w:rPr>
          <w:rFonts w:hint="eastAsia"/>
          <w:sz w:val="24"/>
        </w:rPr>
        <w:t>年</w:t>
      </w:r>
      <w:r>
        <w:rPr>
          <w:rFonts w:hint="eastAsia"/>
          <w:sz w:val="24"/>
        </w:rPr>
        <w:t>2</w:t>
      </w:r>
      <w:r>
        <w:rPr>
          <w:rFonts w:hint="eastAsia"/>
          <w:sz w:val="24"/>
        </w:rPr>
        <w:t>月</w:t>
      </w:r>
      <w:r>
        <w:rPr>
          <w:rFonts w:hint="eastAsia"/>
          <w:sz w:val="24"/>
        </w:rPr>
        <w:t>3</w:t>
      </w:r>
      <w:r>
        <w:rPr>
          <w:rFonts w:hint="eastAsia"/>
          <w:sz w:val="24"/>
        </w:rPr>
        <w:t>日</w:t>
      </w:r>
      <w:r>
        <w:rPr>
          <w:rFonts w:asciiTheme="minorEastAsia" w:eastAsiaTheme="minorEastAsia" w:hAnsiTheme="minorEastAsia"/>
          <w:sz w:val="24"/>
        </w:rPr>
        <w:t>至</w:t>
      </w:r>
      <w:r>
        <w:rPr>
          <w:rFonts w:hint="eastAsia"/>
          <w:sz w:val="24"/>
        </w:rPr>
        <w:t>20</w:t>
      </w:r>
      <w:r>
        <w:rPr>
          <w:sz w:val="24"/>
        </w:rPr>
        <w:t>2</w:t>
      </w:r>
      <w:r>
        <w:rPr>
          <w:rFonts w:hint="eastAsia"/>
          <w:sz w:val="24"/>
        </w:rPr>
        <w:t>6</w:t>
      </w:r>
      <w:r>
        <w:rPr>
          <w:rFonts w:hint="eastAsia"/>
          <w:sz w:val="24"/>
        </w:rPr>
        <w:t>年</w:t>
      </w:r>
      <w:r>
        <w:rPr>
          <w:rFonts w:hint="eastAsia"/>
          <w:sz w:val="24"/>
        </w:rPr>
        <w:t>2</w:t>
      </w:r>
      <w:r>
        <w:rPr>
          <w:rFonts w:hint="eastAsia"/>
          <w:sz w:val="24"/>
        </w:rPr>
        <w:t>月</w:t>
      </w:r>
      <w:r>
        <w:rPr>
          <w:rFonts w:hint="eastAsia"/>
          <w:sz w:val="24"/>
        </w:rPr>
        <w:t>5</w:t>
      </w:r>
      <w:r>
        <w:rPr>
          <w:rFonts w:hint="eastAsia"/>
          <w:sz w:val="24"/>
        </w:rPr>
        <w:t>日</w:t>
      </w:r>
      <w:r>
        <w:rPr>
          <w:rFonts w:hint="eastAsia"/>
          <w:color w:val="000000"/>
          <w:sz w:val="24"/>
        </w:rPr>
        <w:t>）注册登记机构不接受投资者基金转托管、非交易过户等业务的申请。</w:t>
      </w:r>
    </w:p>
    <w:p w:rsidR="005F28F2" w:rsidRDefault="004252B5">
      <w:pPr>
        <w:spacing w:line="360" w:lineRule="auto"/>
        <w:ind w:firstLineChars="200" w:firstLine="480"/>
        <w:rPr>
          <w:color w:val="000000"/>
          <w:sz w:val="24"/>
        </w:rPr>
      </w:pPr>
      <w:r>
        <w:rPr>
          <w:rFonts w:hint="eastAsia"/>
          <w:color w:val="000000"/>
          <w:sz w:val="24"/>
        </w:rPr>
        <w:t>（</w:t>
      </w:r>
      <w:r>
        <w:rPr>
          <w:rFonts w:hint="eastAsia"/>
          <w:color w:val="000000"/>
          <w:sz w:val="24"/>
        </w:rPr>
        <w:t>7</w:t>
      </w:r>
      <w:r>
        <w:rPr>
          <w:rFonts w:hint="eastAsia"/>
          <w:color w:val="000000"/>
          <w:sz w:val="24"/>
        </w:rPr>
        <w:t>）欲了解有关分红的情况，可向本公司咨询，客户服务热线：</w:t>
      </w:r>
      <w:r>
        <w:rPr>
          <w:rFonts w:hint="eastAsia"/>
          <w:color w:val="000000"/>
          <w:sz w:val="24"/>
        </w:rPr>
        <w:t>400-8198866</w:t>
      </w:r>
      <w:r>
        <w:rPr>
          <w:rFonts w:hint="eastAsia"/>
          <w:color w:val="000000"/>
          <w:sz w:val="24"/>
        </w:rPr>
        <w:t>，</w:t>
      </w:r>
      <w:r>
        <w:rPr>
          <w:rFonts w:hint="eastAsia"/>
          <w:color w:val="000000"/>
          <w:sz w:val="24"/>
        </w:rPr>
        <w:lastRenderedPageBreak/>
        <w:t>或登陆本公司网站：</w:t>
      </w:r>
      <w:r>
        <w:rPr>
          <w:rFonts w:hint="eastAsia"/>
          <w:color w:val="000000"/>
          <w:sz w:val="24"/>
        </w:rPr>
        <w:t>http://www.ncfund.com.cn</w:t>
      </w:r>
      <w:r>
        <w:rPr>
          <w:rFonts w:hint="eastAsia"/>
          <w:color w:val="000000"/>
          <w:sz w:val="24"/>
        </w:rPr>
        <w:t>。</w:t>
      </w:r>
    </w:p>
    <w:p w:rsidR="005F28F2" w:rsidRDefault="004252B5">
      <w:pPr>
        <w:spacing w:line="360" w:lineRule="auto"/>
        <w:ind w:firstLineChars="200" w:firstLine="480"/>
        <w:rPr>
          <w:rFonts w:asciiTheme="minorEastAsia" w:eastAsiaTheme="minorEastAsia" w:hAnsiTheme="minorEastAsia"/>
          <w:sz w:val="24"/>
        </w:rPr>
      </w:pPr>
      <w:r>
        <w:rPr>
          <w:rFonts w:hint="eastAsia"/>
          <w:color w:val="000000"/>
          <w:sz w:val="24"/>
        </w:rPr>
        <w:t>（</w:t>
      </w:r>
      <w:r>
        <w:rPr>
          <w:rFonts w:hint="eastAsia"/>
          <w:color w:val="000000"/>
          <w:sz w:val="24"/>
        </w:rPr>
        <w:t>8</w:t>
      </w:r>
      <w:r>
        <w:rPr>
          <w:rFonts w:hint="eastAsia"/>
          <w:color w:val="000000"/>
          <w:sz w:val="24"/>
        </w:rPr>
        <w:t>）</w:t>
      </w:r>
      <w:r>
        <w:rPr>
          <w:rFonts w:asciiTheme="minorEastAsia" w:eastAsiaTheme="minorEastAsia" w:hAnsiTheme="minorEastAsia"/>
          <w:sz w:val="24"/>
        </w:rPr>
        <w:t>本次分红不会改变本基金的风险收益特征，也不会降低本基金的投资风险或提高本基金的投资收益。</w:t>
      </w:r>
    </w:p>
    <w:p w:rsidR="005F28F2" w:rsidRDefault="005F28F2">
      <w:pPr>
        <w:spacing w:line="360" w:lineRule="auto"/>
        <w:ind w:firstLineChars="200" w:firstLine="480"/>
        <w:rPr>
          <w:rFonts w:asciiTheme="minorEastAsia" w:eastAsiaTheme="minorEastAsia" w:hAnsiTheme="minorEastAsia"/>
          <w:sz w:val="24"/>
        </w:rPr>
      </w:pPr>
    </w:p>
    <w:p w:rsidR="005F28F2" w:rsidRDefault="004252B5">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b/>
          <w:sz w:val="24"/>
        </w:rPr>
        <w:t>风险提示</w:t>
      </w:r>
    </w:p>
    <w:p w:rsidR="005F28F2" w:rsidRDefault="004252B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本公司承诺以诚实信用、勤勉尽责的原则管理和运用基金资产，但不保证基金一定盈利，也不保证最低收益。本公司充分重视投资者教育工作，以保障投资者利益为己任，特此提醒广大投资者正确认识投资基金所存在的风险，慎重考虑、谨慎决策，选择与自身风险承受能力相匹配的产品，做理性的基金投资者，享受长期投资理财的快乐！</w:t>
      </w:r>
    </w:p>
    <w:p w:rsidR="005F28F2" w:rsidRDefault="004252B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特此公告！</w:t>
      </w:r>
    </w:p>
    <w:p w:rsidR="005F28F2" w:rsidRDefault="005F28F2">
      <w:pPr>
        <w:spacing w:line="360" w:lineRule="auto"/>
        <w:ind w:firstLineChars="200" w:firstLine="480"/>
        <w:rPr>
          <w:rFonts w:asciiTheme="minorEastAsia" w:eastAsiaTheme="minorEastAsia" w:hAnsiTheme="minorEastAsia"/>
          <w:sz w:val="24"/>
        </w:rPr>
      </w:pPr>
    </w:p>
    <w:p w:rsidR="005F28F2" w:rsidRDefault="004252B5">
      <w:pPr>
        <w:spacing w:line="360" w:lineRule="auto"/>
        <w:ind w:firstLineChars="200" w:firstLine="480"/>
        <w:jc w:val="right"/>
        <w:rPr>
          <w:rFonts w:asciiTheme="minorEastAsia" w:eastAsiaTheme="minorEastAsia" w:hAnsiTheme="minorEastAsia"/>
          <w:sz w:val="24"/>
        </w:rPr>
      </w:pPr>
      <w:r>
        <w:rPr>
          <w:rFonts w:asciiTheme="minorEastAsia" w:eastAsiaTheme="minorEastAsia" w:hAnsiTheme="minorEastAsia"/>
          <w:sz w:val="24"/>
        </w:rPr>
        <w:t xml:space="preserve">                                                                                                   </w:t>
      </w:r>
      <w:r>
        <w:rPr>
          <w:rFonts w:asciiTheme="minorEastAsia" w:eastAsiaTheme="minorEastAsia" w:hAnsiTheme="minorEastAsia"/>
          <w:sz w:val="24"/>
        </w:rPr>
        <w:t xml:space="preserve">  </w:t>
      </w:r>
      <w:r>
        <w:rPr>
          <w:rFonts w:asciiTheme="minorEastAsia" w:eastAsiaTheme="minorEastAsia" w:hAnsiTheme="minorEastAsia"/>
          <w:sz w:val="24"/>
        </w:rPr>
        <w:t>新华基金管理股份有限公司</w:t>
      </w:r>
      <w:r>
        <w:rPr>
          <w:rFonts w:asciiTheme="minorEastAsia" w:eastAsiaTheme="minorEastAsia" w:hAnsiTheme="minorEastAsia"/>
          <w:sz w:val="24"/>
        </w:rPr>
        <w:t xml:space="preserve">                                                                                202</w:t>
      </w:r>
      <w:r>
        <w:rPr>
          <w:rFonts w:asciiTheme="minorEastAsia" w:eastAsiaTheme="minorEastAsia" w:hAnsiTheme="minorEastAsia" w:hint="eastAsia"/>
          <w:sz w:val="24"/>
        </w:rPr>
        <w:t>6</w:t>
      </w:r>
      <w:r>
        <w:rPr>
          <w:rFonts w:asciiTheme="minorEastAsia" w:eastAsiaTheme="minorEastAsia" w:hAnsiTheme="minorEastAsia"/>
          <w:sz w:val="24"/>
        </w:rPr>
        <w:t>年</w:t>
      </w:r>
      <w:r>
        <w:rPr>
          <w:rFonts w:asciiTheme="minorEastAsia" w:eastAsiaTheme="minorEastAsia" w:hAnsiTheme="minorEastAsia" w:hint="eastAsia"/>
          <w:sz w:val="24"/>
        </w:rPr>
        <w:t>1</w:t>
      </w:r>
      <w:r>
        <w:rPr>
          <w:rFonts w:asciiTheme="minorEastAsia" w:eastAsiaTheme="minorEastAsia" w:hAnsiTheme="minorEastAsia"/>
          <w:sz w:val="24"/>
        </w:rPr>
        <w:t>月</w:t>
      </w:r>
      <w:r>
        <w:rPr>
          <w:rFonts w:asciiTheme="minorEastAsia" w:eastAsiaTheme="minorEastAsia" w:hAnsiTheme="minorEastAsia" w:hint="eastAsia"/>
          <w:sz w:val="24"/>
        </w:rPr>
        <w:t>30</w:t>
      </w:r>
      <w:r>
        <w:rPr>
          <w:rFonts w:asciiTheme="minorEastAsia" w:eastAsiaTheme="minorEastAsia" w:hAnsiTheme="minorEastAsia"/>
          <w:sz w:val="24"/>
        </w:rPr>
        <w:t>日</w:t>
      </w:r>
    </w:p>
    <w:p w:rsidR="005F28F2" w:rsidRDefault="005F28F2">
      <w:pPr>
        <w:spacing w:line="360" w:lineRule="auto"/>
        <w:ind w:firstLineChars="200" w:firstLine="480"/>
        <w:rPr>
          <w:color w:val="000000"/>
          <w:sz w:val="24"/>
        </w:rPr>
      </w:pPr>
    </w:p>
    <w:p w:rsidR="005F28F2" w:rsidRDefault="005F28F2">
      <w:pPr>
        <w:spacing w:line="360" w:lineRule="auto"/>
        <w:ind w:firstLineChars="200" w:firstLine="480"/>
        <w:rPr>
          <w:color w:val="000000"/>
          <w:sz w:val="24"/>
        </w:rPr>
      </w:pPr>
    </w:p>
    <w:p w:rsidR="005F28F2" w:rsidRDefault="005F28F2">
      <w:pPr>
        <w:rPr>
          <w:sz w:val="24"/>
        </w:rPr>
      </w:pPr>
    </w:p>
    <w:sectPr w:rsidR="005F28F2" w:rsidSect="005F28F2">
      <w:headerReference w:type="default" r:id="rId8"/>
      <w:footerReference w:type="default" r:id="rId9"/>
      <w:pgSz w:w="11906" w:h="16838"/>
      <w:pgMar w:top="1440" w:right="1797" w:bottom="1440" w:left="1797"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8F2" w:rsidRDefault="005F28F2" w:rsidP="005F28F2">
      <w:r>
        <w:separator/>
      </w:r>
    </w:p>
  </w:endnote>
  <w:endnote w:type="continuationSeparator" w:id="0">
    <w:p w:rsidR="005F28F2" w:rsidRDefault="005F28F2" w:rsidP="005F28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8F2" w:rsidRDefault="005F28F2">
    <w:pPr>
      <w:pStyle w:val="aa"/>
      <w:jc w:val="center"/>
    </w:pPr>
    <w:r>
      <w:rPr>
        <w:rStyle w:val="af2"/>
      </w:rPr>
      <w:fldChar w:fldCharType="begin"/>
    </w:r>
    <w:r w:rsidR="004252B5">
      <w:rPr>
        <w:rStyle w:val="af2"/>
      </w:rPr>
      <w:instrText xml:space="preserve"> PAGE </w:instrText>
    </w:r>
    <w:r>
      <w:rPr>
        <w:rStyle w:val="af2"/>
      </w:rPr>
      <w:fldChar w:fldCharType="separate"/>
    </w:r>
    <w:r w:rsidR="004252B5">
      <w:rPr>
        <w:rStyle w:val="af2"/>
        <w:noProof/>
      </w:rPr>
      <w:t>1</w:t>
    </w:r>
    <w:r>
      <w:rPr>
        <w:rStyle w:val="af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8F2" w:rsidRDefault="005F28F2" w:rsidP="005F28F2">
      <w:r>
        <w:separator/>
      </w:r>
    </w:p>
  </w:footnote>
  <w:footnote w:type="continuationSeparator" w:id="0">
    <w:p w:rsidR="005F28F2" w:rsidRDefault="005F28F2" w:rsidP="005F28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8F2" w:rsidRDefault="004252B5">
    <w:pPr>
      <w:pStyle w:val="ab"/>
      <w:rPr>
        <w:rStyle w:val="af2"/>
      </w:rPr>
    </w:pPr>
    <w:r>
      <w:rPr>
        <w:rStyle w:val="af2"/>
        <w:rFonts w:hint="eastAsia"/>
      </w:rPr>
      <w:t xml:space="preserve">                                             </w:t>
    </w:r>
  </w:p>
  <w:p w:rsidR="005F28F2" w:rsidRDefault="004252B5">
    <w:pPr>
      <w:pStyle w:val="ab"/>
    </w:pP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832FB5"/>
    <w:multiLevelType w:val="multilevel"/>
    <w:tmpl w:val="64832FB5"/>
    <w:lvl w:ilvl="0">
      <w:start w:val="1"/>
      <w:numFmt w:val="decimal"/>
      <w:pStyle w:val="115"/>
      <w:lvlText w:val="%1）"/>
      <w:lvlJc w:val="left"/>
      <w:pPr>
        <w:tabs>
          <w:tab w:val="left" w:pos="360"/>
        </w:tabs>
        <w:ind w:left="360" w:hanging="360"/>
      </w:pPr>
      <w:rPr>
        <w:rFonts w:hint="default"/>
      </w:rPr>
    </w:lvl>
    <w:lvl w:ilvl="1">
      <w:start w:val="1"/>
      <w:numFmt w:val="lowerLetter"/>
      <w:pStyle w:val="2111111"/>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hideSpellingErrors/>
  <w:attachedTemplate r:id="rId1"/>
  <w:stylePaneFormatFilter w:val="3F01"/>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060AF"/>
    <w:rsid w:val="00003643"/>
    <w:rsid w:val="00003689"/>
    <w:rsid w:val="000042EE"/>
    <w:rsid w:val="00004A56"/>
    <w:rsid w:val="000053B1"/>
    <w:rsid w:val="000068A0"/>
    <w:rsid w:val="00006AFB"/>
    <w:rsid w:val="00006DC8"/>
    <w:rsid w:val="000078DC"/>
    <w:rsid w:val="00010335"/>
    <w:rsid w:val="00011385"/>
    <w:rsid w:val="00012FBB"/>
    <w:rsid w:val="00013DEC"/>
    <w:rsid w:val="000147F4"/>
    <w:rsid w:val="000156B6"/>
    <w:rsid w:val="00015DA1"/>
    <w:rsid w:val="00016267"/>
    <w:rsid w:val="000174B9"/>
    <w:rsid w:val="00017A90"/>
    <w:rsid w:val="000211A0"/>
    <w:rsid w:val="000219DD"/>
    <w:rsid w:val="00022564"/>
    <w:rsid w:val="00022F59"/>
    <w:rsid w:val="000250A9"/>
    <w:rsid w:val="00030918"/>
    <w:rsid w:val="0003196B"/>
    <w:rsid w:val="000320D8"/>
    <w:rsid w:val="00032404"/>
    <w:rsid w:val="00032702"/>
    <w:rsid w:val="00034059"/>
    <w:rsid w:val="000342E3"/>
    <w:rsid w:val="0003513B"/>
    <w:rsid w:val="00035A6F"/>
    <w:rsid w:val="000368C2"/>
    <w:rsid w:val="000400EE"/>
    <w:rsid w:val="00040284"/>
    <w:rsid w:val="0004211E"/>
    <w:rsid w:val="00042244"/>
    <w:rsid w:val="00042EB1"/>
    <w:rsid w:val="00044A21"/>
    <w:rsid w:val="00046AD8"/>
    <w:rsid w:val="0004779C"/>
    <w:rsid w:val="00047CDA"/>
    <w:rsid w:val="00050CAE"/>
    <w:rsid w:val="00051D2D"/>
    <w:rsid w:val="000546BB"/>
    <w:rsid w:val="0005608A"/>
    <w:rsid w:val="00057B3C"/>
    <w:rsid w:val="00060225"/>
    <w:rsid w:val="00061B34"/>
    <w:rsid w:val="00062D60"/>
    <w:rsid w:val="000644A3"/>
    <w:rsid w:val="000655D4"/>
    <w:rsid w:val="00065BA8"/>
    <w:rsid w:val="00065D90"/>
    <w:rsid w:val="000662E0"/>
    <w:rsid w:val="000702E5"/>
    <w:rsid w:val="0007061E"/>
    <w:rsid w:val="00070D95"/>
    <w:rsid w:val="0007127F"/>
    <w:rsid w:val="00074069"/>
    <w:rsid w:val="000748A5"/>
    <w:rsid w:val="000805C2"/>
    <w:rsid w:val="000816D7"/>
    <w:rsid w:val="00084AB9"/>
    <w:rsid w:val="00086B61"/>
    <w:rsid w:val="000870C0"/>
    <w:rsid w:val="0008749A"/>
    <w:rsid w:val="0009014C"/>
    <w:rsid w:val="00090C1A"/>
    <w:rsid w:val="000916A3"/>
    <w:rsid w:val="00091B13"/>
    <w:rsid w:val="000926FC"/>
    <w:rsid w:val="00093212"/>
    <w:rsid w:val="00094A85"/>
    <w:rsid w:val="00095149"/>
    <w:rsid w:val="00095C68"/>
    <w:rsid w:val="00095DC9"/>
    <w:rsid w:val="000A0430"/>
    <w:rsid w:val="000A1095"/>
    <w:rsid w:val="000A2870"/>
    <w:rsid w:val="000A6E54"/>
    <w:rsid w:val="000A77B4"/>
    <w:rsid w:val="000A78D1"/>
    <w:rsid w:val="000B101D"/>
    <w:rsid w:val="000B1E7A"/>
    <w:rsid w:val="000B2FD6"/>
    <w:rsid w:val="000B32FB"/>
    <w:rsid w:val="000B43E5"/>
    <w:rsid w:val="000B7854"/>
    <w:rsid w:val="000C006E"/>
    <w:rsid w:val="000C171B"/>
    <w:rsid w:val="000C23F9"/>
    <w:rsid w:val="000C262B"/>
    <w:rsid w:val="000C330C"/>
    <w:rsid w:val="000C37B0"/>
    <w:rsid w:val="000C3CBE"/>
    <w:rsid w:val="000C435B"/>
    <w:rsid w:val="000C4B0C"/>
    <w:rsid w:val="000C4C08"/>
    <w:rsid w:val="000C4C60"/>
    <w:rsid w:val="000C5080"/>
    <w:rsid w:val="000C59C2"/>
    <w:rsid w:val="000C6918"/>
    <w:rsid w:val="000D06C8"/>
    <w:rsid w:val="000D27DC"/>
    <w:rsid w:val="000D51E8"/>
    <w:rsid w:val="000D60C8"/>
    <w:rsid w:val="000D7069"/>
    <w:rsid w:val="000D72F6"/>
    <w:rsid w:val="000D7307"/>
    <w:rsid w:val="000E12D3"/>
    <w:rsid w:val="000E49EF"/>
    <w:rsid w:val="000E5844"/>
    <w:rsid w:val="000E6E44"/>
    <w:rsid w:val="000F1221"/>
    <w:rsid w:val="000F157F"/>
    <w:rsid w:val="000F1F16"/>
    <w:rsid w:val="000F227A"/>
    <w:rsid w:val="000F274B"/>
    <w:rsid w:val="000F306D"/>
    <w:rsid w:val="000F40C6"/>
    <w:rsid w:val="000F4841"/>
    <w:rsid w:val="001016A1"/>
    <w:rsid w:val="0010182D"/>
    <w:rsid w:val="001019AE"/>
    <w:rsid w:val="00101E35"/>
    <w:rsid w:val="0010370A"/>
    <w:rsid w:val="001039DE"/>
    <w:rsid w:val="0010433C"/>
    <w:rsid w:val="00104344"/>
    <w:rsid w:val="0010463D"/>
    <w:rsid w:val="001055F8"/>
    <w:rsid w:val="00105AC4"/>
    <w:rsid w:val="001064BB"/>
    <w:rsid w:val="001065FF"/>
    <w:rsid w:val="00107429"/>
    <w:rsid w:val="00107616"/>
    <w:rsid w:val="00107A48"/>
    <w:rsid w:val="00111477"/>
    <w:rsid w:val="00111748"/>
    <w:rsid w:val="00111970"/>
    <w:rsid w:val="00112FAB"/>
    <w:rsid w:val="0011487A"/>
    <w:rsid w:val="00114C2B"/>
    <w:rsid w:val="00114CC7"/>
    <w:rsid w:val="00114ECB"/>
    <w:rsid w:val="0012120E"/>
    <w:rsid w:val="00121289"/>
    <w:rsid w:val="00121B27"/>
    <w:rsid w:val="001227D9"/>
    <w:rsid w:val="00122B70"/>
    <w:rsid w:val="001238A7"/>
    <w:rsid w:val="00123F85"/>
    <w:rsid w:val="00125360"/>
    <w:rsid w:val="0012567D"/>
    <w:rsid w:val="00126521"/>
    <w:rsid w:val="00126590"/>
    <w:rsid w:val="00126984"/>
    <w:rsid w:val="001304FE"/>
    <w:rsid w:val="00130918"/>
    <w:rsid w:val="001313E7"/>
    <w:rsid w:val="00131630"/>
    <w:rsid w:val="00131A50"/>
    <w:rsid w:val="001328E0"/>
    <w:rsid w:val="00133010"/>
    <w:rsid w:val="00133D18"/>
    <w:rsid w:val="00134051"/>
    <w:rsid w:val="00134735"/>
    <w:rsid w:val="00134898"/>
    <w:rsid w:val="00135876"/>
    <w:rsid w:val="00135AC2"/>
    <w:rsid w:val="0013639C"/>
    <w:rsid w:val="0014308D"/>
    <w:rsid w:val="00144390"/>
    <w:rsid w:val="00144C33"/>
    <w:rsid w:val="00146C9D"/>
    <w:rsid w:val="00150C95"/>
    <w:rsid w:val="00151D4A"/>
    <w:rsid w:val="001540C2"/>
    <w:rsid w:val="00154A37"/>
    <w:rsid w:val="00155D84"/>
    <w:rsid w:val="00156E4F"/>
    <w:rsid w:val="001613D9"/>
    <w:rsid w:val="00165613"/>
    <w:rsid w:val="0016661A"/>
    <w:rsid w:val="0016729C"/>
    <w:rsid w:val="00167E28"/>
    <w:rsid w:val="0017050D"/>
    <w:rsid w:val="001726AF"/>
    <w:rsid w:val="00172C5E"/>
    <w:rsid w:val="0017530D"/>
    <w:rsid w:val="00175612"/>
    <w:rsid w:val="00175BD8"/>
    <w:rsid w:val="00176EF0"/>
    <w:rsid w:val="00177135"/>
    <w:rsid w:val="0017766C"/>
    <w:rsid w:val="00177940"/>
    <w:rsid w:val="00177A86"/>
    <w:rsid w:val="00180A97"/>
    <w:rsid w:val="00180D49"/>
    <w:rsid w:val="001833E8"/>
    <w:rsid w:val="00183684"/>
    <w:rsid w:val="00183A49"/>
    <w:rsid w:val="001841D3"/>
    <w:rsid w:val="00184D91"/>
    <w:rsid w:val="001862F4"/>
    <w:rsid w:val="0018671B"/>
    <w:rsid w:val="00190A51"/>
    <w:rsid w:val="0019168C"/>
    <w:rsid w:val="00191EF7"/>
    <w:rsid w:val="001932D0"/>
    <w:rsid w:val="00194C80"/>
    <w:rsid w:val="00195240"/>
    <w:rsid w:val="0019545C"/>
    <w:rsid w:val="00196095"/>
    <w:rsid w:val="00196473"/>
    <w:rsid w:val="00197382"/>
    <w:rsid w:val="001A061F"/>
    <w:rsid w:val="001A0F7C"/>
    <w:rsid w:val="001A12AC"/>
    <w:rsid w:val="001A2DDB"/>
    <w:rsid w:val="001A6058"/>
    <w:rsid w:val="001A70A4"/>
    <w:rsid w:val="001A74F7"/>
    <w:rsid w:val="001A7B39"/>
    <w:rsid w:val="001A7CE6"/>
    <w:rsid w:val="001B0D88"/>
    <w:rsid w:val="001B1A2D"/>
    <w:rsid w:val="001B2F15"/>
    <w:rsid w:val="001B318F"/>
    <w:rsid w:val="001B3DC1"/>
    <w:rsid w:val="001B4E01"/>
    <w:rsid w:val="001B7D67"/>
    <w:rsid w:val="001C16E5"/>
    <w:rsid w:val="001C492E"/>
    <w:rsid w:val="001C4F06"/>
    <w:rsid w:val="001C628D"/>
    <w:rsid w:val="001C664E"/>
    <w:rsid w:val="001C6A1A"/>
    <w:rsid w:val="001C6DFD"/>
    <w:rsid w:val="001C74F1"/>
    <w:rsid w:val="001C772C"/>
    <w:rsid w:val="001C7F8E"/>
    <w:rsid w:val="001D0814"/>
    <w:rsid w:val="001D20D0"/>
    <w:rsid w:val="001D2347"/>
    <w:rsid w:val="001D5242"/>
    <w:rsid w:val="001D5AC2"/>
    <w:rsid w:val="001D5D5A"/>
    <w:rsid w:val="001D64F0"/>
    <w:rsid w:val="001D7820"/>
    <w:rsid w:val="001E02F5"/>
    <w:rsid w:val="001E0612"/>
    <w:rsid w:val="001E3121"/>
    <w:rsid w:val="001E61B3"/>
    <w:rsid w:val="001E6A67"/>
    <w:rsid w:val="001E7CC4"/>
    <w:rsid w:val="001F0532"/>
    <w:rsid w:val="001F0C2B"/>
    <w:rsid w:val="001F19FB"/>
    <w:rsid w:val="001F4596"/>
    <w:rsid w:val="001F4FD9"/>
    <w:rsid w:val="001F574B"/>
    <w:rsid w:val="00201BE0"/>
    <w:rsid w:val="00201FE3"/>
    <w:rsid w:val="002027D4"/>
    <w:rsid w:val="00202A76"/>
    <w:rsid w:val="0020420D"/>
    <w:rsid w:val="0020457E"/>
    <w:rsid w:val="0020649C"/>
    <w:rsid w:val="00206E5A"/>
    <w:rsid w:val="002078C2"/>
    <w:rsid w:val="00207EF9"/>
    <w:rsid w:val="00207FEE"/>
    <w:rsid w:val="002100A6"/>
    <w:rsid w:val="002121AE"/>
    <w:rsid w:val="0021278C"/>
    <w:rsid w:val="002139A5"/>
    <w:rsid w:val="00214037"/>
    <w:rsid w:val="00215880"/>
    <w:rsid w:val="0021593D"/>
    <w:rsid w:val="00215EF5"/>
    <w:rsid w:val="0021792F"/>
    <w:rsid w:val="002205FB"/>
    <w:rsid w:val="002221B1"/>
    <w:rsid w:val="00223EF6"/>
    <w:rsid w:val="00226A1D"/>
    <w:rsid w:val="00226AA7"/>
    <w:rsid w:val="00226AF3"/>
    <w:rsid w:val="00227713"/>
    <w:rsid w:val="0022781C"/>
    <w:rsid w:val="0022784D"/>
    <w:rsid w:val="00231FB0"/>
    <w:rsid w:val="00232B1D"/>
    <w:rsid w:val="002350E9"/>
    <w:rsid w:val="0023606B"/>
    <w:rsid w:val="00236213"/>
    <w:rsid w:val="00236645"/>
    <w:rsid w:val="0023731D"/>
    <w:rsid w:val="002407B9"/>
    <w:rsid w:val="00240863"/>
    <w:rsid w:val="002411EF"/>
    <w:rsid w:val="00241EA7"/>
    <w:rsid w:val="00242040"/>
    <w:rsid w:val="00242F7A"/>
    <w:rsid w:val="00243CC6"/>
    <w:rsid w:val="00244168"/>
    <w:rsid w:val="00244491"/>
    <w:rsid w:val="00244AB9"/>
    <w:rsid w:val="00244ED9"/>
    <w:rsid w:val="0024543A"/>
    <w:rsid w:val="002503AC"/>
    <w:rsid w:val="002504CC"/>
    <w:rsid w:val="0025194C"/>
    <w:rsid w:val="0025209D"/>
    <w:rsid w:val="002536B3"/>
    <w:rsid w:val="00254BCF"/>
    <w:rsid w:val="00255459"/>
    <w:rsid w:val="00257492"/>
    <w:rsid w:val="0026149C"/>
    <w:rsid w:val="00262146"/>
    <w:rsid w:val="00262BCB"/>
    <w:rsid w:val="002646F0"/>
    <w:rsid w:val="0026566E"/>
    <w:rsid w:val="00267E52"/>
    <w:rsid w:val="00273A26"/>
    <w:rsid w:val="00273ACD"/>
    <w:rsid w:val="00273FD4"/>
    <w:rsid w:val="00274BC9"/>
    <w:rsid w:val="002834DA"/>
    <w:rsid w:val="00283D05"/>
    <w:rsid w:val="00283F41"/>
    <w:rsid w:val="002855A0"/>
    <w:rsid w:val="00285EC5"/>
    <w:rsid w:val="0028664B"/>
    <w:rsid w:val="00286C48"/>
    <w:rsid w:val="00286C66"/>
    <w:rsid w:val="00287EBD"/>
    <w:rsid w:val="00287EC8"/>
    <w:rsid w:val="00290BA6"/>
    <w:rsid w:val="0029114F"/>
    <w:rsid w:val="00297FAA"/>
    <w:rsid w:val="002A00A5"/>
    <w:rsid w:val="002A1DC6"/>
    <w:rsid w:val="002A27EE"/>
    <w:rsid w:val="002A2828"/>
    <w:rsid w:val="002A2C3A"/>
    <w:rsid w:val="002A3127"/>
    <w:rsid w:val="002A6718"/>
    <w:rsid w:val="002A71D3"/>
    <w:rsid w:val="002B0BD2"/>
    <w:rsid w:val="002B0F15"/>
    <w:rsid w:val="002B1B3D"/>
    <w:rsid w:val="002B1EE9"/>
    <w:rsid w:val="002B2C9D"/>
    <w:rsid w:val="002B3287"/>
    <w:rsid w:val="002B4038"/>
    <w:rsid w:val="002B492C"/>
    <w:rsid w:val="002C0AEE"/>
    <w:rsid w:val="002C1248"/>
    <w:rsid w:val="002C13B6"/>
    <w:rsid w:val="002C13D3"/>
    <w:rsid w:val="002C1839"/>
    <w:rsid w:val="002C28C8"/>
    <w:rsid w:val="002C381A"/>
    <w:rsid w:val="002C443F"/>
    <w:rsid w:val="002C4CFE"/>
    <w:rsid w:val="002C627F"/>
    <w:rsid w:val="002C64B0"/>
    <w:rsid w:val="002C71DB"/>
    <w:rsid w:val="002C73A0"/>
    <w:rsid w:val="002C7655"/>
    <w:rsid w:val="002D0FFB"/>
    <w:rsid w:val="002D1595"/>
    <w:rsid w:val="002D1DC3"/>
    <w:rsid w:val="002D3353"/>
    <w:rsid w:val="002D37D6"/>
    <w:rsid w:val="002D3E6F"/>
    <w:rsid w:val="002D4670"/>
    <w:rsid w:val="002D4C24"/>
    <w:rsid w:val="002D51E8"/>
    <w:rsid w:val="002D541D"/>
    <w:rsid w:val="002D60A2"/>
    <w:rsid w:val="002D633B"/>
    <w:rsid w:val="002D74E2"/>
    <w:rsid w:val="002E228D"/>
    <w:rsid w:val="002E3072"/>
    <w:rsid w:val="002E34FF"/>
    <w:rsid w:val="002E52B4"/>
    <w:rsid w:val="002E6982"/>
    <w:rsid w:val="002E78AA"/>
    <w:rsid w:val="002F0ED8"/>
    <w:rsid w:val="002F10EE"/>
    <w:rsid w:val="002F1531"/>
    <w:rsid w:val="002F2DD1"/>
    <w:rsid w:val="002F418D"/>
    <w:rsid w:val="002F477D"/>
    <w:rsid w:val="002F7199"/>
    <w:rsid w:val="002F7550"/>
    <w:rsid w:val="003011CB"/>
    <w:rsid w:val="00302430"/>
    <w:rsid w:val="003032CE"/>
    <w:rsid w:val="003033B1"/>
    <w:rsid w:val="00304413"/>
    <w:rsid w:val="003048FA"/>
    <w:rsid w:val="003048FB"/>
    <w:rsid w:val="00307718"/>
    <w:rsid w:val="00310396"/>
    <w:rsid w:val="00310725"/>
    <w:rsid w:val="00312632"/>
    <w:rsid w:val="003139F8"/>
    <w:rsid w:val="00313A10"/>
    <w:rsid w:val="00316115"/>
    <w:rsid w:val="00316C60"/>
    <w:rsid w:val="00316FE3"/>
    <w:rsid w:val="00321552"/>
    <w:rsid w:val="0032256B"/>
    <w:rsid w:val="00322857"/>
    <w:rsid w:val="00322F8E"/>
    <w:rsid w:val="0032564B"/>
    <w:rsid w:val="00327D92"/>
    <w:rsid w:val="00330F87"/>
    <w:rsid w:val="00332452"/>
    <w:rsid w:val="00332773"/>
    <w:rsid w:val="003351CF"/>
    <w:rsid w:val="003356EB"/>
    <w:rsid w:val="00336602"/>
    <w:rsid w:val="00336B7C"/>
    <w:rsid w:val="003406AC"/>
    <w:rsid w:val="0034170A"/>
    <w:rsid w:val="00341B70"/>
    <w:rsid w:val="0034314C"/>
    <w:rsid w:val="00345156"/>
    <w:rsid w:val="00345618"/>
    <w:rsid w:val="003458AF"/>
    <w:rsid w:val="00345C56"/>
    <w:rsid w:val="00345C96"/>
    <w:rsid w:val="00346428"/>
    <w:rsid w:val="00350F43"/>
    <w:rsid w:val="0035257E"/>
    <w:rsid w:val="00352C98"/>
    <w:rsid w:val="003536F0"/>
    <w:rsid w:val="00353FDB"/>
    <w:rsid w:val="0035595C"/>
    <w:rsid w:val="00360575"/>
    <w:rsid w:val="00360A37"/>
    <w:rsid w:val="003617A0"/>
    <w:rsid w:val="00362AC5"/>
    <w:rsid w:val="00362B38"/>
    <w:rsid w:val="00362C42"/>
    <w:rsid w:val="003640AB"/>
    <w:rsid w:val="003647C6"/>
    <w:rsid w:val="00366D9B"/>
    <w:rsid w:val="00370B48"/>
    <w:rsid w:val="00370DBA"/>
    <w:rsid w:val="00371299"/>
    <w:rsid w:val="0037181C"/>
    <w:rsid w:val="00371F64"/>
    <w:rsid w:val="00372A51"/>
    <w:rsid w:val="00373CA5"/>
    <w:rsid w:val="003757CE"/>
    <w:rsid w:val="00375D04"/>
    <w:rsid w:val="00376306"/>
    <w:rsid w:val="00377C25"/>
    <w:rsid w:val="00380499"/>
    <w:rsid w:val="00382589"/>
    <w:rsid w:val="00383AA5"/>
    <w:rsid w:val="00386A12"/>
    <w:rsid w:val="00386C3E"/>
    <w:rsid w:val="00387F10"/>
    <w:rsid w:val="0039021B"/>
    <w:rsid w:val="003927ED"/>
    <w:rsid w:val="00392B2A"/>
    <w:rsid w:val="00393EDA"/>
    <w:rsid w:val="003940D2"/>
    <w:rsid w:val="00394CE2"/>
    <w:rsid w:val="00396992"/>
    <w:rsid w:val="00396E9B"/>
    <w:rsid w:val="0039702B"/>
    <w:rsid w:val="003979D4"/>
    <w:rsid w:val="003A0E79"/>
    <w:rsid w:val="003A1EB8"/>
    <w:rsid w:val="003A21AD"/>
    <w:rsid w:val="003A27CC"/>
    <w:rsid w:val="003A3308"/>
    <w:rsid w:val="003A3625"/>
    <w:rsid w:val="003A39D8"/>
    <w:rsid w:val="003A3CE5"/>
    <w:rsid w:val="003A4BA6"/>
    <w:rsid w:val="003A5A5A"/>
    <w:rsid w:val="003A6028"/>
    <w:rsid w:val="003A6187"/>
    <w:rsid w:val="003A62D4"/>
    <w:rsid w:val="003A65B6"/>
    <w:rsid w:val="003A6741"/>
    <w:rsid w:val="003B006E"/>
    <w:rsid w:val="003B0541"/>
    <w:rsid w:val="003B1418"/>
    <w:rsid w:val="003B14DD"/>
    <w:rsid w:val="003B158B"/>
    <w:rsid w:val="003B2052"/>
    <w:rsid w:val="003B2188"/>
    <w:rsid w:val="003B4A8A"/>
    <w:rsid w:val="003C0F6B"/>
    <w:rsid w:val="003C1148"/>
    <w:rsid w:val="003C3107"/>
    <w:rsid w:val="003D0E4E"/>
    <w:rsid w:val="003D14EF"/>
    <w:rsid w:val="003D2E43"/>
    <w:rsid w:val="003D5A05"/>
    <w:rsid w:val="003D6376"/>
    <w:rsid w:val="003D665B"/>
    <w:rsid w:val="003D6CF0"/>
    <w:rsid w:val="003D7025"/>
    <w:rsid w:val="003D75AE"/>
    <w:rsid w:val="003E0139"/>
    <w:rsid w:val="003E0782"/>
    <w:rsid w:val="003E0E6C"/>
    <w:rsid w:val="003E3544"/>
    <w:rsid w:val="003E3AE6"/>
    <w:rsid w:val="003E44D1"/>
    <w:rsid w:val="003E6E4E"/>
    <w:rsid w:val="003E70D0"/>
    <w:rsid w:val="003E72FE"/>
    <w:rsid w:val="003E77EB"/>
    <w:rsid w:val="003F0730"/>
    <w:rsid w:val="003F130F"/>
    <w:rsid w:val="003F13F0"/>
    <w:rsid w:val="003F2D9F"/>
    <w:rsid w:val="003F3AD4"/>
    <w:rsid w:val="003F4982"/>
    <w:rsid w:val="003F5577"/>
    <w:rsid w:val="003F5B3A"/>
    <w:rsid w:val="003F5DDB"/>
    <w:rsid w:val="003F63F2"/>
    <w:rsid w:val="003F6A92"/>
    <w:rsid w:val="003F795A"/>
    <w:rsid w:val="00403E19"/>
    <w:rsid w:val="0040449F"/>
    <w:rsid w:val="004054C4"/>
    <w:rsid w:val="00405CF7"/>
    <w:rsid w:val="00410870"/>
    <w:rsid w:val="00410E37"/>
    <w:rsid w:val="0041693A"/>
    <w:rsid w:val="00420380"/>
    <w:rsid w:val="00420F27"/>
    <w:rsid w:val="004222B8"/>
    <w:rsid w:val="00423383"/>
    <w:rsid w:val="004237BF"/>
    <w:rsid w:val="004240C7"/>
    <w:rsid w:val="0042415C"/>
    <w:rsid w:val="0042496C"/>
    <w:rsid w:val="00425049"/>
    <w:rsid w:val="004252B5"/>
    <w:rsid w:val="00425F10"/>
    <w:rsid w:val="00426038"/>
    <w:rsid w:val="0043081F"/>
    <w:rsid w:val="004315FF"/>
    <w:rsid w:val="0043264D"/>
    <w:rsid w:val="0043270B"/>
    <w:rsid w:val="00432DD0"/>
    <w:rsid w:val="004330D6"/>
    <w:rsid w:val="00433C18"/>
    <w:rsid w:val="00435616"/>
    <w:rsid w:val="00436DE5"/>
    <w:rsid w:val="00443602"/>
    <w:rsid w:val="00444007"/>
    <w:rsid w:val="00444405"/>
    <w:rsid w:val="00444598"/>
    <w:rsid w:val="0044583B"/>
    <w:rsid w:val="00446993"/>
    <w:rsid w:val="00446F05"/>
    <w:rsid w:val="0044743E"/>
    <w:rsid w:val="0045086B"/>
    <w:rsid w:val="00452BD2"/>
    <w:rsid w:val="004536CB"/>
    <w:rsid w:val="00454121"/>
    <w:rsid w:val="00454528"/>
    <w:rsid w:val="00454784"/>
    <w:rsid w:val="00454B9B"/>
    <w:rsid w:val="0045537C"/>
    <w:rsid w:val="00455786"/>
    <w:rsid w:val="00456151"/>
    <w:rsid w:val="004565E5"/>
    <w:rsid w:val="00457803"/>
    <w:rsid w:val="00461917"/>
    <w:rsid w:val="0046366A"/>
    <w:rsid w:val="004649DF"/>
    <w:rsid w:val="00464C32"/>
    <w:rsid w:val="00464EBE"/>
    <w:rsid w:val="00467902"/>
    <w:rsid w:val="00467975"/>
    <w:rsid w:val="004717F7"/>
    <w:rsid w:val="00471C57"/>
    <w:rsid w:val="00472ADC"/>
    <w:rsid w:val="00472BB8"/>
    <w:rsid w:val="0047388C"/>
    <w:rsid w:val="004766EF"/>
    <w:rsid w:val="004776F5"/>
    <w:rsid w:val="004801EE"/>
    <w:rsid w:val="00482A77"/>
    <w:rsid w:val="00484946"/>
    <w:rsid w:val="00484C3A"/>
    <w:rsid w:val="004865FA"/>
    <w:rsid w:val="00487B46"/>
    <w:rsid w:val="00490AAB"/>
    <w:rsid w:val="00492EAC"/>
    <w:rsid w:val="00493362"/>
    <w:rsid w:val="00494990"/>
    <w:rsid w:val="00495533"/>
    <w:rsid w:val="00495738"/>
    <w:rsid w:val="00495D84"/>
    <w:rsid w:val="00495DF2"/>
    <w:rsid w:val="00497160"/>
    <w:rsid w:val="004A00D8"/>
    <w:rsid w:val="004A0947"/>
    <w:rsid w:val="004A1AFF"/>
    <w:rsid w:val="004A1C4F"/>
    <w:rsid w:val="004A2CA9"/>
    <w:rsid w:val="004A332E"/>
    <w:rsid w:val="004A4341"/>
    <w:rsid w:val="004A4CAA"/>
    <w:rsid w:val="004A575A"/>
    <w:rsid w:val="004A7E0C"/>
    <w:rsid w:val="004B0095"/>
    <w:rsid w:val="004B0415"/>
    <w:rsid w:val="004B07C8"/>
    <w:rsid w:val="004B08A9"/>
    <w:rsid w:val="004B2E68"/>
    <w:rsid w:val="004B3B75"/>
    <w:rsid w:val="004B5386"/>
    <w:rsid w:val="004B5EBE"/>
    <w:rsid w:val="004B6DEA"/>
    <w:rsid w:val="004B7C59"/>
    <w:rsid w:val="004C04F6"/>
    <w:rsid w:val="004C279F"/>
    <w:rsid w:val="004C3640"/>
    <w:rsid w:val="004C4CEC"/>
    <w:rsid w:val="004C528E"/>
    <w:rsid w:val="004C6E0E"/>
    <w:rsid w:val="004C75C6"/>
    <w:rsid w:val="004C7D37"/>
    <w:rsid w:val="004C7F32"/>
    <w:rsid w:val="004D03D7"/>
    <w:rsid w:val="004D0C69"/>
    <w:rsid w:val="004D0D75"/>
    <w:rsid w:val="004D111C"/>
    <w:rsid w:val="004D144C"/>
    <w:rsid w:val="004D5061"/>
    <w:rsid w:val="004D592C"/>
    <w:rsid w:val="004D6148"/>
    <w:rsid w:val="004D6AF5"/>
    <w:rsid w:val="004D7381"/>
    <w:rsid w:val="004D7879"/>
    <w:rsid w:val="004D7B26"/>
    <w:rsid w:val="004E0F73"/>
    <w:rsid w:val="004E1882"/>
    <w:rsid w:val="004E39AA"/>
    <w:rsid w:val="004E3CB4"/>
    <w:rsid w:val="004E54FC"/>
    <w:rsid w:val="004E5DD6"/>
    <w:rsid w:val="004E6651"/>
    <w:rsid w:val="004E667A"/>
    <w:rsid w:val="004E6DC9"/>
    <w:rsid w:val="004E72D1"/>
    <w:rsid w:val="004F0429"/>
    <w:rsid w:val="004F14A3"/>
    <w:rsid w:val="004F214E"/>
    <w:rsid w:val="004F2D87"/>
    <w:rsid w:val="004F34EB"/>
    <w:rsid w:val="004F3996"/>
    <w:rsid w:val="004F4BC6"/>
    <w:rsid w:val="004F62C5"/>
    <w:rsid w:val="004F6DAB"/>
    <w:rsid w:val="004F728A"/>
    <w:rsid w:val="004F7BA8"/>
    <w:rsid w:val="00500F35"/>
    <w:rsid w:val="00501D65"/>
    <w:rsid w:val="00503589"/>
    <w:rsid w:val="00503C2E"/>
    <w:rsid w:val="00504575"/>
    <w:rsid w:val="005053E8"/>
    <w:rsid w:val="0050551D"/>
    <w:rsid w:val="00505D2B"/>
    <w:rsid w:val="0050712B"/>
    <w:rsid w:val="005077A4"/>
    <w:rsid w:val="00507CE6"/>
    <w:rsid w:val="005109FC"/>
    <w:rsid w:val="005111B4"/>
    <w:rsid w:val="005128E1"/>
    <w:rsid w:val="005148BB"/>
    <w:rsid w:val="00514B76"/>
    <w:rsid w:val="00515833"/>
    <w:rsid w:val="00516EA9"/>
    <w:rsid w:val="00520775"/>
    <w:rsid w:val="00520A80"/>
    <w:rsid w:val="00520C4C"/>
    <w:rsid w:val="005231BC"/>
    <w:rsid w:val="00523C2E"/>
    <w:rsid w:val="00523D16"/>
    <w:rsid w:val="00524911"/>
    <w:rsid w:val="0052577E"/>
    <w:rsid w:val="00526FDF"/>
    <w:rsid w:val="00527192"/>
    <w:rsid w:val="00527B9F"/>
    <w:rsid w:val="00531891"/>
    <w:rsid w:val="00531B24"/>
    <w:rsid w:val="005325D9"/>
    <w:rsid w:val="005326A9"/>
    <w:rsid w:val="00532944"/>
    <w:rsid w:val="00532B71"/>
    <w:rsid w:val="0053361D"/>
    <w:rsid w:val="0053396F"/>
    <w:rsid w:val="00533AD4"/>
    <w:rsid w:val="005345F9"/>
    <w:rsid w:val="0053497A"/>
    <w:rsid w:val="00534AB2"/>
    <w:rsid w:val="005352B2"/>
    <w:rsid w:val="005356EE"/>
    <w:rsid w:val="00535CBC"/>
    <w:rsid w:val="00536215"/>
    <w:rsid w:val="005400F6"/>
    <w:rsid w:val="00540E3B"/>
    <w:rsid w:val="00541BD8"/>
    <w:rsid w:val="005420A1"/>
    <w:rsid w:val="00543090"/>
    <w:rsid w:val="00543491"/>
    <w:rsid w:val="0054390D"/>
    <w:rsid w:val="00543F0D"/>
    <w:rsid w:val="005442EB"/>
    <w:rsid w:val="00545A2F"/>
    <w:rsid w:val="00546A83"/>
    <w:rsid w:val="00547427"/>
    <w:rsid w:val="00547ACB"/>
    <w:rsid w:val="0055219D"/>
    <w:rsid w:val="00552D91"/>
    <w:rsid w:val="00556101"/>
    <w:rsid w:val="005563F4"/>
    <w:rsid w:val="0055686E"/>
    <w:rsid w:val="00556EBA"/>
    <w:rsid w:val="0055765F"/>
    <w:rsid w:val="00560D89"/>
    <w:rsid w:val="00560DAF"/>
    <w:rsid w:val="005613BE"/>
    <w:rsid w:val="005619F4"/>
    <w:rsid w:val="005636DA"/>
    <w:rsid w:val="00563E76"/>
    <w:rsid w:val="005657F5"/>
    <w:rsid w:val="00570979"/>
    <w:rsid w:val="005711E2"/>
    <w:rsid w:val="0057134A"/>
    <w:rsid w:val="0057176B"/>
    <w:rsid w:val="0057211A"/>
    <w:rsid w:val="00573A01"/>
    <w:rsid w:val="005752FB"/>
    <w:rsid w:val="0057655D"/>
    <w:rsid w:val="00577536"/>
    <w:rsid w:val="00577CC5"/>
    <w:rsid w:val="0058012C"/>
    <w:rsid w:val="0058068B"/>
    <w:rsid w:val="00581610"/>
    <w:rsid w:val="00583603"/>
    <w:rsid w:val="00583C26"/>
    <w:rsid w:val="00584BEE"/>
    <w:rsid w:val="005861FC"/>
    <w:rsid w:val="005901C8"/>
    <w:rsid w:val="00590535"/>
    <w:rsid w:val="00594635"/>
    <w:rsid w:val="005A0588"/>
    <w:rsid w:val="005A2273"/>
    <w:rsid w:val="005A449A"/>
    <w:rsid w:val="005A54FD"/>
    <w:rsid w:val="005A5FF7"/>
    <w:rsid w:val="005A625A"/>
    <w:rsid w:val="005A78EA"/>
    <w:rsid w:val="005B0097"/>
    <w:rsid w:val="005B112D"/>
    <w:rsid w:val="005B1B4C"/>
    <w:rsid w:val="005B2106"/>
    <w:rsid w:val="005B3C0B"/>
    <w:rsid w:val="005B4095"/>
    <w:rsid w:val="005B55B2"/>
    <w:rsid w:val="005B744C"/>
    <w:rsid w:val="005C0D69"/>
    <w:rsid w:val="005C224D"/>
    <w:rsid w:val="005C3599"/>
    <w:rsid w:val="005C5BCA"/>
    <w:rsid w:val="005C6066"/>
    <w:rsid w:val="005C6D79"/>
    <w:rsid w:val="005D05E5"/>
    <w:rsid w:val="005D363F"/>
    <w:rsid w:val="005D46D6"/>
    <w:rsid w:val="005D47D1"/>
    <w:rsid w:val="005E0914"/>
    <w:rsid w:val="005E0C0B"/>
    <w:rsid w:val="005E0F3B"/>
    <w:rsid w:val="005E2858"/>
    <w:rsid w:val="005E3199"/>
    <w:rsid w:val="005E38C9"/>
    <w:rsid w:val="005E4B47"/>
    <w:rsid w:val="005E54C9"/>
    <w:rsid w:val="005E5F43"/>
    <w:rsid w:val="005F1A04"/>
    <w:rsid w:val="005F28F2"/>
    <w:rsid w:val="005F3210"/>
    <w:rsid w:val="005F5B5A"/>
    <w:rsid w:val="005F716D"/>
    <w:rsid w:val="005F7732"/>
    <w:rsid w:val="00600818"/>
    <w:rsid w:val="00600AE7"/>
    <w:rsid w:val="006030CF"/>
    <w:rsid w:val="00603680"/>
    <w:rsid w:val="0060369C"/>
    <w:rsid w:val="00604224"/>
    <w:rsid w:val="00606271"/>
    <w:rsid w:val="006067A6"/>
    <w:rsid w:val="006069AD"/>
    <w:rsid w:val="00606D5C"/>
    <w:rsid w:val="0061085F"/>
    <w:rsid w:val="00610D71"/>
    <w:rsid w:val="0061170D"/>
    <w:rsid w:val="00612D51"/>
    <w:rsid w:val="00613D9D"/>
    <w:rsid w:val="00613F05"/>
    <w:rsid w:val="0061495D"/>
    <w:rsid w:val="00614E3A"/>
    <w:rsid w:val="006175D4"/>
    <w:rsid w:val="00617A48"/>
    <w:rsid w:val="00617BC3"/>
    <w:rsid w:val="00620895"/>
    <w:rsid w:val="00620F52"/>
    <w:rsid w:val="0062286F"/>
    <w:rsid w:val="00623473"/>
    <w:rsid w:val="00623A1C"/>
    <w:rsid w:val="006247DF"/>
    <w:rsid w:val="0062546A"/>
    <w:rsid w:val="006259CB"/>
    <w:rsid w:val="00626594"/>
    <w:rsid w:val="0062755C"/>
    <w:rsid w:val="00627EC1"/>
    <w:rsid w:val="006303AA"/>
    <w:rsid w:val="00631DDD"/>
    <w:rsid w:val="00632246"/>
    <w:rsid w:val="00632CE4"/>
    <w:rsid w:val="00635B36"/>
    <w:rsid w:val="006405E3"/>
    <w:rsid w:val="006407B1"/>
    <w:rsid w:val="00640947"/>
    <w:rsid w:val="00641EAB"/>
    <w:rsid w:val="00643FEB"/>
    <w:rsid w:val="0064459C"/>
    <w:rsid w:val="0064511D"/>
    <w:rsid w:val="00645D4A"/>
    <w:rsid w:val="00650CEC"/>
    <w:rsid w:val="00650DFA"/>
    <w:rsid w:val="006532A4"/>
    <w:rsid w:val="006538CE"/>
    <w:rsid w:val="00654967"/>
    <w:rsid w:val="00654D90"/>
    <w:rsid w:val="00654DC2"/>
    <w:rsid w:val="00655A09"/>
    <w:rsid w:val="00655E54"/>
    <w:rsid w:val="00656011"/>
    <w:rsid w:val="00661BDC"/>
    <w:rsid w:val="006621E4"/>
    <w:rsid w:val="00662EF5"/>
    <w:rsid w:val="006640F8"/>
    <w:rsid w:val="00664CC9"/>
    <w:rsid w:val="00671737"/>
    <w:rsid w:val="0067220F"/>
    <w:rsid w:val="00672C67"/>
    <w:rsid w:val="0067313F"/>
    <w:rsid w:val="00673CA2"/>
    <w:rsid w:val="00673CC1"/>
    <w:rsid w:val="0067601B"/>
    <w:rsid w:val="00680459"/>
    <w:rsid w:val="00681725"/>
    <w:rsid w:val="00681D44"/>
    <w:rsid w:val="006834C5"/>
    <w:rsid w:val="00683E0B"/>
    <w:rsid w:val="00684785"/>
    <w:rsid w:val="0068488B"/>
    <w:rsid w:val="0068694C"/>
    <w:rsid w:val="00686B04"/>
    <w:rsid w:val="00686BC6"/>
    <w:rsid w:val="006902A0"/>
    <w:rsid w:val="006946E6"/>
    <w:rsid w:val="0069493B"/>
    <w:rsid w:val="0069515A"/>
    <w:rsid w:val="006954BD"/>
    <w:rsid w:val="00697CDB"/>
    <w:rsid w:val="006A5974"/>
    <w:rsid w:val="006A5A9F"/>
    <w:rsid w:val="006A6CEB"/>
    <w:rsid w:val="006A7569"/>
    <w:rsid w:val="006B0023"/>
    <w:rsid w:val="006B02A3"/>
    <w:rsid w:val="006B08A9"/>
    <w:rsid w:val="006B138D"/>
    <w:rsid w:val="006B1A1F"/>
    <w:rsid w:val="006B2BD3"/>
    <w:rsid w:val="006B45DD"/>
    <w:rsid w:val="006B5604"/>
    <w:rsid w:val="006B5F02"/>
    <w:rsid w:val="006B70D9"/>
    <w:rsid w:val="006C04BA"/>
    <w:rsid w:val="006C1E27"/>
    <w:rsid w:val="006C236C"/>
    <w:rsid w:val="006C5562"/>
    <w:rsid w:val="006D0098"/>
    <w:rsid w:val="006D0443"/>
    <w:rsid w:val="006D070C"/>
    <w:rsid w:val="006D13B6"/>
    <w:rsid w:val="006D1CA6"/>
    <w:rsid w:val="006D28D9"/>
    <w:rsid w:val="006D4045"/>
    <w:rsid w:val="006D41E7"/>
    <w:rsid w:val="006D4F78"/>
    <w:rsid w:val="006D547A"/>
    <w:rsid w:val="006D6948"/>
    <w:rsid w:val="006D7060"/>
    <w:rsid w:val="006E06C5"/>
    <w:rsid w:val="006E09EA"/>
    <w:rsid w:val="006E0FD4"/>
    <w:rsid w:val="006E21E3"/>
    <w:rsid w:val="006E43A7"/>
    <w:rsid w:val="006E74AF"/>
    <w:rsid w:val="006E7CDD"/>
    <w:rsid w:val="006F1306"/>
    <w:rsid w:val="006F1D09"/>
    <w:rsid w:val="006F345E"/>
    <w:rsid w:val="006F4C4E"/>
    <w:rsid w:val="006F55AE"/>
    <w:rsid w:val="006F5BA1"/>
    <w:rsid w:val="006F7748"/>
    <w:rsid w:val="006F7D01"/>
    <w:rsid w:val="0070167B"/>
    <w:rsid w:val="007060AF"/>
    <w:rsid w:val="00706F23"/>
    <w:rsid w:val="007074EF"/>
    <w:rsid w:val="00707758"/>
    <w:rsid w:val="0071216D"/>
    <w:rsid w:val="00712EE4"/>
    <w:rsid w:val="00713DDC"/>
    <w:rsid w:val="007152C5"/>
    <w:rsid w:val="007158E0"/>
    <w:rsid w:val="00716F3D"/>
    <w:rsid w:val="0071783D"/>
    <w:rsid w:val="00717FBE"/>
    <w:rsid w:val="0072012D"/>
    <w:rsid w:val="007201D9"/>
    <w:rsid w:val="00720C95"/>
    <w:rsid w:val="007210EA"/>
    <w:rsid w:val="007222FB"/>
    <w:rsid w:val="00722AF8"/>
    <w:rsid w:val="007248E5"/>
    <w:rsid w:val="0072534B"/>
    <w:rsid w:val="0073016C"/>
    <w:rsid w:val="00730333"/>
    <w:rsid w:val="00730FC9"/>
    <w:rsid w:val="0073415D"/>
    <w:rsid w:val="00734298"/>
    <w:rsid w:val="00734EE7"/>
    <w:rsid w:val="0073534F"/>
    <w:rsid w:val="00740244"/>
    <w:rsid w:val="00742EDA"/>
    <w:rsid w:val="00746A17"/>
    <w:rsid w:val="00747BB3"/>
    <w:rsid w:val="00747F13"/>
    <w:rsid w:val="007500FE"/>
    <w:rsid w:val="0075030C"/>
    <w:rsid w:val="00751918"/>
    <w:rsid w:val="00753E01"/>
    <w:rsid w:val="007543AB"/>
    <w:rsid w:val="00757248"/>
    <w:rsid w:val="007579CE"/>
    <w:rsid w:val="007604F8"/>
    <w:rsid w:val="00760BAF"/>
    <w:rsid w:val="00760CAD"/>
    <w:rsid w:val="00762E1D"/>
    <w:rsid w:val="007646F7"/>
    <w:rsid w:val="0076606B"/>
    <w:rsid w:val="00766EB7"/>
    <w:rsid w:val="00767682"/>
    <w:rsid w:val="0076769A"/>
    <w:rsid w:val="00767DE6"/>
    <w:rsid w:val="00767ED7"/>
    <w:rsid w:val="0077113E"/>
    <w:rsid w:val="00772BF6"/>
    <w:rsid w:val="007743D8"/>
    <w:rsid w:val="007743E2"/>
    <w:rsid w:val="00775C22"/>
    <w:rsid w:val="00776BEF"/>
    <w:rsid w:val="00776E74"/>
    <w:rsid w:val="00780C51"/>
    <w:rsid w:val="0078102B"/>
    <w:rsid w:val="007927B1"/>
    <w:rsid w:val="00793396"/>
    <w:rsid w:val="00794E0B"/>
    <w:rsid w:val="007965E8"/>
    <w:rsid w:val="00797532"/>
    <w:rsid w:val="007A1948"/>
    <w:rsid w:val="007A343C"/>
    <w:rsid w:val="007A4D9F"/>
    <w:rsid w:val="007A51C9"/>
    <w:rsid w:val="007A69A8"/>
    <w:rsid w:val="007A6DEF"/>
    <w:rsid w:val="007A71B1"/>
    <w:rsid w:val="007B01DE"/>
    <w:rsid w:val="007B06A8"/>
    <w:rsid w:val="007B273D"/>
    <w:rsid w:val="007B279E"/>
    <w:rsid w:val="007B31E6"/>
    <w:rsid w:val="007B33E7"/>
    <w:rsid w:val="007B3D95"/>
    <w:rsid w:val="007B4674"/>
    <w:rsid w:val="007B4796"/>
    <w:rsid w:val="007B4C7D"/>
    <w:rsid w:val="007B6592"/>
    <w:rsid w:val="007B71D3"/>
    <w:rsid w:val="007B748A"/>
    <w:rsid w:val="007B7852"/>
    <w:rsid w:val="007C1078"/>
    <w:rsid w:val="007C3F4D"/>
    <w:rsid w:val="007C5297"/>
    <w:rsid w:val="007C5EFD"/>
    <w:rsid w:val="007C6F4D"/>
    <w:rsid w:val="007C7E87"/>
    <w:rsid w:val="007D055C"/>
    <w:rsid w:val="007D0C27"/>
    <w:rsid w:val="007D0EFC"/>
    <w:rsid w:val="007D1D4C"/>
    <w:rsid w:val="007D25E3"/>
    <w:rsid w:val="007D2AA0"/>
    <w:rsid w:val="007D2C1A"/>
    <w:rsid w:val="007D2E45"/>
    <w:rsid w:val="007D5652"/>
    <w:rsid w:val="007D58C5"/>
    <w:rsid w:val="007D6957"/>
    <w:rsid w:val="007D6A80"/>
    <w:rsid w:val="007E051A"/>
    <w:rsid w:val="007E13B8"/>
    <w:rsid w:val="007E15AD"/>
    <w:rsid w:val="007E323D"/>
    <w:rsid w:val="007E3FB8"/>
    <w:rsid w:val="007E4D77"/>
    <w:rsid w:val="007E4FAA"/>
    <w:rsid w:val="007E5682"/>
    <w:rsid w:val="007E667A"/>
    <w:rsid w:val="007E6F57"/>
    <w:rsid w:val="007E713E"/>
    <w:rsid w:val="007E756A"/>
    <w:rsid w:val="007F0F01"/>
    <w:rsid w:val="007F2EDC"/>
    <w:rsid w:val="007F36B5"/>
    <w:rsid w:val="007F376A"/>
    <w:rsid w:val="007F38A5"/>
    <w:rsid w:val="007F4624"/>
    <w:rsid w:val="007F4791"/>
    <w:rsid w:val="007F59BC"/>
    <w:rsid w:val="007F5E08"/>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7540"/>
    <w:rsid w:val="00807BA2"/>
    <w:rsid w:val="00810988"/>
    <w:rsid w:val="00814855"/>
    <w:rsid w:val="008150A3"/>
    <w:rsid w:val="00815D0B"/>
    <w:rsid w:val="0081687D"/>
    <w:rsid w:val="008179FE"/>
    <w:rsid w:val="00822ACB"/>
    <w:rsid w:val="00823E32"/>
    <w:rsid w:val="00823ECC"/>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400C6"/>
    <w:rsid w:val="00840ADC"/>
    <w:rsid w:val="00840EA7"/>
    <w:rsid w:val="00841B2A"/>
    <w:rsid w:val="00841E19"/>
    <w:rsid w:val="00841F55"/>
    <w:rsid w:val="00842045"/>
    <w:rsid w:val="008427BE"/>
    <w:rsid w:val="00843678"/>
    <w:rsid w:val="00844647"/>
    <w:rsid w:val="00847808"/>
    <w:rsid w:val="00850639"/>
    <w:rsid w:val="00853D9D"/>
    <w:rsid w:val="008546CB"/>
    <w:rsid w:val="00855123"/>
    <w:rsid w:val="008558EF"/>
    <w:rsid w:val="008567AE"/>
    <w:rsid w:val="0085696B"/>
    <w:rsid w:val="00857A91"/>
    <w:rsid w:val="008608F9"/>
    <w:rsid w:val="00861676"/>
    <w:rsid w:val="0086248C"/>
    <w:rsid w:val="00862C2B"/>
    <w:rsid w:val="00863034"/>
    <w:rsid w:val="008636EB"/>
    <w:rsid w:val="00864C21"/>
    <w:rsid w:val="00864C70"/>
    <w:rsid w:val="00864E46"/>
    <w:rsid w:val="008657F0"/>
    <w:rsid w:val="00866F28"/>
    <w:rsid w:val="0086718A"/>
    <w:rsid w:val="0086792D"/>
    <w:rsid w:val="00867E7D"/>
    <w:rsid w:val="008719F0"/>
    <w:rsid w:val="0087330A"/>
    <w:rsid w:val="00874277"/>
    <w:rsid w:val="00876700"/>
    <w:rsid w:val="00876DC2"/>
    <w:rsid w:val="0088016C"/>
    <w:rsid w:val="00881984"/>
    <w:rsid w:val="00882D6F"/>
    <w:rsid w:val="008832B6"/>
    <w:rsid w:val="008832E8"/>
    <w:rsid w:val="008839C4"/>
    <w:rsid w:val="008847FC"/>
    <w:rsid w:val="00887514"/>
    <w:rsid w:val="00890B5E"/>
    <w:rsid w:val="00890CC3"/>
    <w:rsid w:val="008916A2"/>
    <w:rsid w:val="00893D09"/>
    <w:rsid w:val="008947DE"/>
    <w:rsid w:val="00895EF7"/>
    <w:rsid w:val="008961BE"/>
    <w:rsid w:val="008A10FD"/>
    <w:rsid w:val="008A1F97"/>
    <w:rsid w:val="008A313B"/>
    <w:rsid w:val="008A4515"/>
    <w:rsid w:val="008A46A1"/>
    <w:rsid w:val="008A5A2C"/>
    <w:rsid w:val="008A5C06"/>
    <w:rsid w:val="008A68D5"/>
    <w:rsid w:val="008B037E"/>
    <w:rsid w:val="008B0567"/>
    <w:rsid w:val="008B24A8"/>
    <w:rsid w:val="008B261A"/>
    <w:rsid w:val="008B2F53"/>
    <w:rsid w:val="008B3E08"/>
    <w:rsid w:val="008B50C0"/>
    <w:rsid w:val="008B6C4E"/>
    <w:rsid w:val="008B6DAB"/>
    <w:rsid w:val="008C123C"/>
    <w:rsid w:val="008C164E"/>
    <w:rsid w:val="008C1982"/>
    <w:rsid w:val="008C2225"/>
    <w:rsid w:val="008C27F5"/>
    <w:rsid w:val="008C3907"/>
    <w:rsid w:val="008C3922"/>
    <w:rsid w:val="008C5071"/>
    <w:rsid w:val="008C66CF"/>
    <w:rsid w:val="008C67FB"/>
    <w:rsid w:val="008D0EF7"/>
    <w:rsid w:val="008D10CF"/>
    <w:rsid w:val="008D11A1"/>
    <w:rsid w:val="008D1839"/>
    <w:rsid w:val="008D24C7"/>
    <w:rsid w:val="008D2642"/>
    <w:rsid w:val="008D37A5"/>
    <w:rsid w:val="008D3B2A"/>
    <w:rsid w:val="008D4AE4"/>
    <w:rsid w:val="008D5237"/>
    <w:rsid w:val="008D7674"/>
    <w:rsid w:val="008E0AA1"/>
    <w:rsid w:val="008E1CDB"/>
    <w:rsid w:val="008E1EC9"/>
    <w:rsid w:val="008E2392"/>
    <w:rsid w:val="008E2A44"/>
    <w:rsid w:val="008E4D4C"/>
    <w:rsid w:val="008E53F7"/>
    <w:rsid w:val="008E6ADD"/>
    <w:rsid w:val="008E7CA0"/>
    <w:rsid w:val="008F0699"/>
    <w:rsid w:val="008F1CE7"/>
    <w:rsid w:val="008F347E"/>
    <w:rsid w:val="008F5E66"/>
    <w:rsid w:val="008F63DD"/>
    <w:rsid w:val="008F67D8"/>
    <w:rsid w:val="008F70B1"/>
    <w:rsid w:val="008F7FDD"/>
    <w:rsid w:val="00900576"/>
    <w:rsid w:val="00902680"/>
    <w:rsid w:val="00904F1B"/>
    <w:rsid w:val="00905C64"/>
    <w:rsid w:val="00905DD1"/>
    <w:rsid w:val="00906AB4"/>
    <w:rsid w:val="00907707"/>
    <w:rsid w:val="00907F30"/>
    <w:rsid w:val="00910523"/>
    <w:rsid w:val="00910675"/>
    <w:rsid w:val="00910927"/>
    <w:rsid w:val="00910982"/>
    <w:rsid w:val="0091125D"/>
    <w:rsid w:val="00914C87"/>
    <w:rsid w:val="0091646F"/>
    <w:rsid w:val="009167CB"/>
    <w:rsid w:val="00916B6D"/>
    <w:rsid w:val="00917F00"/>
    <w:rsid w:val="009231A8"/>
    <w:rsid w:val="0092487B"/>
    <w:rsid w:val="00924F7B"/>
    <w:rsid w:val="00925587"/>
    <w:rsid w:val="009257C4"/>
    <w:rsid w:val="009258AF"/>
    <w:rsid w:val="00925E57"/>
    <w:rsid w:val="00926A35"/>
    <w:rsid w:val="009271F1"/>
    <w:rsid w:val="00927250"/>
    <w:rsid w:val="0092730F"/>
    <w:rsid w:val="00932F24"/>
    <w:rsid w:val="009335B4"/>
    <w:rsid w:val="00933EEC"/>
    <w:rsid w:val="00934BCD"/>
    <w:rsid w:val="00934C71"/>
    <w:rsid w:val="009361E3"/>
    <w:rsid w:val="009366C9"/>
    <w:rsid w:val="00936A99"/>
    <w:rsid w:val="009411E2"/>
    <w:rsid w:val="00942033"/>
    <w:rsid w:val="0094569A"/>
    <w:rsid w:val="009468E3"/>
    <w:rsid w:val="00946DF9"/>
    <w:rsid w:val="00950F84"/>
    <w:rsid w:val="00952187"/>
    <w:rsid w:val="00953CE2"/>
    <w:rsid w:val="009547B7"/>
    <w:rsid w:val="00954971"/>
    <w:rsid w:val="00956293"/>
    <w:rsid w:val="00957698"/>
    <w:rsid w:val="009608E7"/>
    <w:rsid w:val="0096194D"/>
    <w:rsid w:val="00963A35"/>
    <w:rsid w:val="00963B4F"/>
    <w:rsid w:val="00967AAB"/>
    <w:rsid w:val="00971898"/>
    <w:rsid w:val="009748EE"/>
    <w:rsid w:val="009766B0"/>
    <w:rsid w:val="009803C3"/>
    <w:rsid w:val="00980716"/>
    <w:rsid w:val="00980B6F"/>
    <w:rsid w:val="0098289D"/>
    <w:rsid w:val="00982B1F"/>
    <w:rsid w:val="00983E8F"/>
    <w:rsid w:val="0098564E"/>
    <w:rsid w:val="00987338"/>
    <w:rsid w:val="00987EF4"/>
    <w:rsid w:val="00990254"/>
    <w:rsid w:val="00991507"/>
    <w:rsid w:val="00991D42"/>
    <w:rsid w:val="009938AC"/>
    <w:rsid w:val="00994026"/>
    <w:rsid w:val="00994A91"/>
    <w:rsid w:val="00994F61"/>
    <w:rsid w:val="00995491"/>
    <w:rsid w:val="00995C84"/>
    <w:rsid w:val="00997EFE"/>
    <w:rsid w:val="009A1958"/>
    <w:rsid w:val="009A2F90"/>
    <w:rsid w:val="009A5771"/>
    <w:rsid w:val="009A688C"/>
    <w:rsid w:val="009A6C9C"/>
    <w:rsid w:val="009A6D10"/>
    <w:rsid w:val="009A6D6A"/>
    <w:rsid w:val="009A7865"/>
    <w:rsid w:val="009B1824"/>
    <w:rsid w:val="009B1CD9"/>
    <w:rsid w:val="009B1E94"/>
    <w:rsid w:val="009B3893"/>
    <w:rsid w:val="009B5410"/>
    <w:rsid w:val="009B5BF6"/>
    <w:rsid w:val="009B6C57"/>
    <w:rsid w:val="009B6DA8"/>
    <w:rsid w:val="009B6DB0"/>
    <w:rsid w:val="009C16BA"/>
    <w:rsid w:val="009C1C84"/>
    <w:rsid w:val="009C3EEB"/>
    <w:rsid w:val="009C3EF8"/>
    <w:rsid w:val="009C4B4F"/>
    <w:rsid w:val="009D074D"/>
    <w:rsid w:val="009D4A25"/>
    <w:rsid w:val="009D4BEE"/>
    <w:rsid w:val="009D6713"/>
    <w:rsid w:val="009D6A98"/>
    <w:rsid w:val="009D759A"/>
    <w:rsid w:val="009D7D97"/>
    <w:rsid w:val="009E1BB9"/>
    <w:rsid w:val="009E335F"/>
    <w:rsid w:val="009E37D2"/>
    <w:rsid w:val="009E3A98"/>
    <w:rsid w:val="009E453C"/>
    <w:rsid w:val="009E48E1"/>
    <w:rsid w:val="009E4B25"/>
    <w:rsid w:val="009E5E3C"/>
    <w:rsid w:val="009E7111"/>
    <w:rsid w:val="009E7798"/>
    <w:rsid w:val="009E788C"/>
    <w:rsid w:val="009F1396"/>
    <w:rsid w:val="009F13E0"/>
    <w:rsid w:val="009F1F77"/>
    <w:rsid w:val="009F46DF"/>
    <w:rsid w:val="009F6343"/>
    <w:rsid w:val="00A028CB"/>
    <w:rsid w:val="00A02B6E"/>
    <w:rsid w:val="00A04026"/>
    <w:rsid w:val="00A04B9C"/>
    <w:rsid w:val="00A057B3"/>
    <w:rsid w:val="00A0748A"/>
    <w:rsid w:val="00A07CD0"/>
    <w:rsid w:val="00A11D54"/>
    <w:rsid w:val="00A127E6"/>
    <w:rsid w:val="00A13547"/>
    <w:rsid w:val="00A141C0"/>
    <w:rsid w:val="00A145E4"/>
    <w:rsid w:val="00A15B5D"/>
    <w:rsid w:val="00A15B98"/>
    <w:rsid w:val="00A16D21"/>
    <w:rsid w:val="00A2138C"/>
    <w:rsid w:val="00A21B2E"/>
    <w:rsid w:val="00A225CC"/>
    <w:rsid w:val="00A2404D"/>
    <w:rsid w:val="00A240A5"/>
    <w:rsid w:val="00A245F7"/>
    <w:rsid w:val="00A2490B"/>
    <w:rsid w:val="00A24E5C"/>
    <w:rsid w:val="00A3001D"/>
    <w:rsid w:val="00A31C13"/>
    <w:rsid w:val="00A322AA"/>
    <w:rsid w:val="00A331B6"/>
    <w:rsid w:val="00A337C2"/>
    <w:rsid w:val="00A33FD5"/>
    <w:rsid w:val="00A35730"/>
    <w:rsid w:val="00A36732"/>
    <w:rsid w:val="00A369EB"/>
    <w:rsid w:val="00A36EA7"/>
    <w:rsid w:val="00A37263"/>
    <w:rsid w:val="00A41AFC"/>
    <w:rsid w:val="00A4217D"/>
    <w:rsid w:val="00A426FC"/>
    <w:rsid w:val="00A44656"/>
    <w:rsid w:val="00A466B3"/>
    <w:rsid w:val="00A478B1"/>
    <w:rsid w:val="00A50003"/>
    <w:rsid w:val="00A50FD2"/>
    <w:rsid w:val="00A51CB7"/>
    <w:rsid w:val="00A51D5E"/>
    <w:rsid w:val="00A52FDE"/>
    <w:rsid w:val="00A53B40"/>
    <w:rsid w:val="00A55888"/>
    <w:rsid w:val="00A55903"/>
    <w:rsid w:val="00A5708D"/>
    <w:rsid w:val="00A600BB"/>
    <w:rsid w:val="00A601AE"/>
    <w:rsid w:val="00A60669"/>
    <w:rsid w:val="00A60E19"/>
    <w:rsid w:val="00A614F0"/>
    <w:rsid w:val="00A623F7"/>
    <w:rsid w:val="00A62F6A"/>
    <w:rsid w:val="00A63F1F"/>
    <w:rsid w:val="00A65155"/>
    <w:rsid w:val="00A66131"/>
    <w:rsid w:val="00A67201"/>
    <w:rsid w:val="00A71E83"/>
    <w:rsid w:val="00A72C2B"/>
    <w:rsid w:val="00A734AE"/>
    <w:rsid w:val="00A73806"/>
    <w:rsid w:val="00A73B63"/>
    <w:rsid w:val="00A73F22"/>
    <w:rsid w:val="00A75489"/>
    <w:rsid w:val="00A7750F"/>
    <w:rsid w:val="00A800A8"/>
    <w:rsid w:val="00A80706"/>
    <w:rsid w:val="00A80DDA"/>
    <w:rsid w:val="00A80ED8"/>
    <w:rsid w:val="00A84D27"/>
    <w:rsid w:val="00A86AB7"/>
    <w:rsid w:val="00A90015"/>
    <w:rsid w:val="00A91A96"/>
    <w:rsid w:val="00A92934"/>
    <w:rsid w:val="00A93D4A"/>
    <w:rsid w:val="00A93E82"/>
    <w:rsid w:val="00A9520F"/>
    <w:rsid w:val="00A969BC"/>
    <w:rsid w:val="00A96E87"/>
    <w:rsid w:val="00AA03E9"/>
    <w:rsid w:val="00AA190A"/>
    <w:rsid w:val="00AA2027"/>
    <w:rsid w:val="00AA3598"/>
    <w:rsid w:val="00AA4003"/>
    <w:rsid w:val="00AA41AC"/>
    <w:rsid w:val="00AA5AD6"/>
    <w:rsid w:val="00AA6B21"/>
    <w:rsid w:val="00AA6E0C"/>
    <w:rsid w:val="00AA7E16"/>
    <w:rsid w:val="00AB057F"/>
    <w:rsid w:val="00AB0ADE"/>
    <w:rsid w:val="00AB2B62"/>
    <w:rsid w:val="00AB332C"/>
    <w:rsid w:val="00AB3F82"/>
    <w:rsid w:val="00AB4403"/>
    <w:rsid w:val="00AB4A6D"/>
    <w:rsid w:val="00AB5240"/>
    <w:rsid w:val="00AB6DC6"/>
    <w:rsid w:val="00AC0706"/>
    <w:rsid w:val="00AC0F6D"/>
    <w:rsid w:val="00AC0F8F"/>
    <w:rsid w:val="00AC2B78"/>
    <w:rsid w:val="00AC54C8"/>
    <w:rsid w:val="00AC5747"/>
    <w:rsid w:val="00AC57C1"/>
    <w:rsid w:val="00AC644F"/>
    <w:rsid w:val="00AC696F"/>
    <w:rsid w:val="00AC6F43"/>
    <w:rsid w:val="00AC7601"/>
    <w:rsid w:val="00AC7956"/>
    <w:rsid w:val="00AD05EF"/>
    <w:rsid w:val="00AD13EF"/>
    <w:rsid w:val="00AD1486"/>
    <w:rsid w:val="00AD1A9E"/>
    <w:rsid w:val="00AD1C90"/>
    <w:rsid w:val="00AD266D"/>
    <w:rsid w:val="00AD27BD"/>
    <w:rsid w:val="00AD3D03"/>
    <w:rsid w:val="00AD62AB"/>
    <w:rsid w:val="00AD6D98"/>
    <w:rsid w:val="00AE28E1"/>
    <w:rsid w:val="00AE3337"/>
    <w:rsid w:val="00AE33E2"/>
    <w:rsid w:val="00AE3D24"/>
    <w:rsid w:val="00AE3DB2"/>
    <w:rsid w:val="00AE5152"/>
    <w:rsid w:val="00AE61A9"/>
    <w:rsid w:val="00AE6D57"/>
    <w:rsid w:val="00AF02E4"/>
    <w:rsid w:val="00AF1AA5"/>
    <w:rsid w:val="00AF3123"/>
    <w:rsid w:val="00AF4EA5"/>
    <w:rsid w:val="00AF4EFB"/>
    <w:rsid w:val="00AF732C"/>
    <w:rsid w:val="00B024EC"/>
    <w:rsid w:val="00B03077"/>
    <w:rsid w:val="00B03149"/>
    <w:rsid w:val="00B03388"/>
    <w:rsid w:val="00B03A8C"/>
    <w:rsid w:val="00B03CD3"/>
    <w:rsid w:val="00B05465"/>
    <w:rsid w:val="00B058EC"/>
    <w:rsid w:val="00B05FA1"/>
    <w:rsid w:val="00B10B08"/>
    <w:rsid w:val="00B11878"/>
    <w:rsid w:val="00B1192F"/>
    <w:rsid w:val="00B11F4D"/>
    <w:rsid w:val="00B12FDF"/>
    <w:rsid w:val="00B135FE"/>
    <w:rsid w:val="00B15192"/>
    <w:rsid w:val="00B16BBE"/>
    <w:rsid w:val="00B206BF"/>
    <w:rsid w:val="00B21C43"/>
    <w:rsid w:val="00B21D3E"/>
    <w:rsid w:val="00B242A5"/>
    <w:rsid w:val="00B24B5C"/>
    <w:rsid w:val="00B251E8"/>
    <w:rsid w:val="00B252CF"/>
    <w:rsid w:val="00B26C4D"/>
    <w:rsid w:val="00B27B63"/>
    <w:rsid w:val="00B32C11"/>
    <w:rsid w:val="00B333D7"/>
    <w:rsid w:val="00B33581"/>
    <w:rsid w:val="00B35944"/>
    <w:rsid w:val="00B35A61"/>
    <w:rsid w:val="00B35E40"/>
    <w:rsid w:val="00B37375"/>
    <w:rsid w:val="00B37708"/>
    <w:rsid w:val="00B40012"/>
    <w:rsid w:val="00B40883"/>
    <w:rsid w:val="00B41191"/>
    <w:rsid w:val="00B42B03"/>
    <w:rsid w:val="00B4392E"/>
    <w:rsid w:val="00B43DB7"/>
    <w:rsid w:val="00B44C23"/>
    <w:rsid w:val="00B4507C"/>
    <w:rsid w:val="00B50D42"/>
    <w:rsid w:val="00B5291F"/>
    <w:rsid w:val="00B52C70"/>
    <w:rsid w:val="00B5309F"/>
    <w:rsid w:val="00B531EC"/>
    <w:rsid w:val="00B53DC5"/>
    <w:rsid w:val="00B55BB9"/>
    <w:rsid w:val="00B5616A"/>
    <w:rsid w:val="00B600EA"/>
    <w:rsid w:val="00B607A3"/>
    <w:rsid w:val="00B60967"/>
    <w:rsid w:val="00B6203F"/>
    <w:rsid w:val="00B63448"/>
    <w:rsid w:val="00B64151"/>
    <w:rsid w:val="00B651A3"/>
    <w:rsid w:val="00B65370"/>
    <w:rsid w:val="00B66209"/>
    <w:rsid w:val="00B67B58"/>
    <w:rsid w:val="00B7112C"/>
    <w:rsid w:val="00B731C8"/>
    <w:rsid w:val="00B73490"/>
    <w:rsid w:val="00B75B89"/>
    <w:rsid w:val="00B766D8"/>
    <w:rsid w:val="00B76802"/>
    <w:rsid w:val="00B76D36"/>
    <w:rsid w:val="00B77A3E"/>
    <w:rsid w:val="00B77BFE"/>
    <w:rsid w:val="00B824F6"/>
    <w:rsid w:val="00B84235"/>
    <w:rsid w:val="00B8507E"/>
    <w:rsid w:val="00B923DF"/>
    <w:rsid w:val="00B92402"/>
    <w:rsid w:val="00B92530"/>
    <w:rsid w:val="00B92AFB"/>
    <w:rsid w:val="00B9301A"/>
    <w:rsid w:val="00B9337C"/>
    <w:rsid w:val="00B94792"/>
    <w:rsid w:val="00B94BEF"/>
    <w:rsid w:val="00B956CF"/>
    <w:rsid w:val="00B95C83"/>
    <w:rsid w:val="00B95CCF"/>
    <w:rsid w:val="00B97C5E"/>
    <w:rsid w:val="00B97FE5"/>
    <w:rsid w:val="00BA1789"/>
    <w:rsid w:val="00BA29A9"/>
    <w:rsid w:val="00BA45A7"/>
    <w:rsid w:val="00BA672E"/>
    <w:rsid w:val="00BA685C"/>
    <w:rsid w:val="00BB0225"/>
    <w:rsid w:val="00BB08AD"/>
    <w:rsid w:val="00BB19D0"/>
    <w:rsid w:val="00BB19FB"/>
    <w:rsid w:val="00BB1C95"/>
    <w:rsid w:val="00BB2202"/>
    <w:rsid w:val="00BB2D77"/>
    <w:rsid w:val="00BB320B"/>
    <w:rsid w:val="00BB439A"/>
    <w:rsid w:val="00BB4BA1"/>
    <w:rsid w:val="00BB6669"/>
    <w:rsid w:val="00BB6A68"/>
    <w:rsid w:val="00BC0827"/>
    <w:rsid w:val="00BC1132"/>
    <w:rsid w:val="00BC13FC"/>
    <w:rsid w:val="00BC3498"/>
    <w:rsid w:val="00BC4FE9"/>
    <w:rsid w:val="00BC5837"/>
    <w:rsid w:val="00BC6F41"/>
    <w:rsid w:val="00BC7474"/>
    <w:rsid w:val="00BC78BF"/>
    <w:rsid w:val="00BC7B89"/>
    <w:rsid w:val="00BC7F15"/>
    <w:rsid w:val="00BD0C32"/>
    <w:rsid w:val="00BD185F"/>
    <w:rsid w:val="00BD1E4B"/>
    <w:rsid w:val="00BD2F65"/>
    <w:rsid w:val="00BD4AAD"/>
    <w:rsid w:val="00BD5A41"/>
    <w:rsid w:val="00BD5FF9"/>
    <w:rsid w:val="00BD7C7C"/>
    <w:rsid w:val="00BE11C1"/>
    <w:rsid w:val="00BE17D4"/>
    <w:rsid w:val="00BE25C7"/>
    <w:rsid w:val="00BE2601"/>
    <w:rsid w:val="00BE3662"/>
    <w:rsid w:val="00BE4CDE"/>
    <w:rsid w:val="00BE5085"/>
    <w:rsid w:val="00BE5BBD"/>
    <w:rsid w:val="00BE5D40"/>
    <w:rsid w:val="00BE6D8A"/>
    <w:rsid w:val="00BF10E2"/>
    <w:rsid w:val="00BF1D8C"/>
    <w:rsid w:val="00BF22A8"/>
    <w:rsid w:val="00BF4726"/>
    <w:rsid w:val="00BF5AE9"/>
    <w:rsid w:val="00BF5F8A"/>
    <w:rsid w:val="00BF75F1"/>
    <w:rsid w:val="00C00EBF"/>
    <w:rsid w:val="00C02D65"/>
    <w:rsid w:val="00C03EEB"/>
    <w:rsid w:val="00C04326"/>
    <w:rsid w:val="00C04736"/>
    <w:rsid w:val="00C05730"/>
    <w:rsid w:val="00C05ED3"/>
    <w:rsid w:val="00C05F7E"/>
    <w:rsid w:val="00C06430"/>
    <w:rsid w:val="00C06895"/>
    <w:rsid w:val="00C07793"/>
    <w:rsid w:val="00C12380"/>
    <w:rsid w:val="00C12F9B"/>
    <w:rsid w:val="00C1302F"/>
    <w:rsid w:val="00C136AC"/>
    <w:rsid w:val="00C13EA5"/>
    <w:rsid w:val="00C1441E"/>
    <w:rsid w:val="00C14BE4"/>
    <w:rsid w:val="00C14D1D"/>
    <w:rsid w:val="00C14FE6"/>
    <w:rsid w:val="00C15FC4"/>
    <w:rsid w:val="00C1754A"/>
    <w:rsid w:val="00C20D46"/>
    <w:rsid w:val="00C228AF"/>
    <w:rsid w:val="00C23026"/>
    <w:rsid w:val="00C231A7"/>
    <w:rsid w:val="00C248EA"/>
    <w:rsid w:val="00C24DB7"/>
    <w:rsid w:val="00C26827"/>
    <w:rsid w:val="00C26CDE"/>
    <w:rsid w:val="00C2794D"/>
    <w:rsid w:val="00C27F3B"/>
    <w:rsid w:val="00C30B14"/>
    <w:rsid w:val="00C32D17"/>
    <w:rsid w:val="00C3353A"/>
    <w:rsid w:val="00C338C3"/>
    <w:rsid w:val="00C33D33"/>
    <w:rsid w:val="00C4070C"/>
    <w:rsid w:val="00C426EC"/>
    <w:rsid w:val="00C4307B"/>
    <w:rsid w:val="00C4565E"/>
    <w:rsid w:val="00C46A90"/>
    <w:rsid w:val="00C47AB1"/>
    <w:rsid w:val="00C50201"/>
    <w:rsid w:val="00C52179"/>
    <w:rsid w:val="00C527C0"/>
    <w:rsid w:val="00C53658"/>
    <w:rsid w:val="00C540ED"/>
    <w:rsid w:val="00C54139"/>
    <w:rsid w:val="00C547B6"/>
    <w:rsid w:val="00C570AA"/>
    <w:rsid w:val="00C5781F"/>
    <w:rsid w:val="00C61757"/>
    <w:rsid w:val="00C623DF"/>
    <w:rsid w:val="00C64C18"/>
    <w:rsid w:val="00C64DBC"/>
    <w:rsid w:val="00C6553D"/>
    <w:rsid w:val="00C6670F"/>
    <w:rsid w:val="00C66E49"/>
    <w:rsid w:val="00C67F4A"/>
    <w:rsid w:val="00C71596"/>
    <w:rsid w:val="00C73308"/>
    <w:rsid w:val="00C754A2"/>
    <w:rsid w:val="00C75A34"/>
    <w:rsid w:val="00C75A5A"/>
    <w:rsid w:val="00C75D58"/>
    <w:rsid w:val="00C7614C"/>
    <w:rsid w:val="00C76F53"/>
    <w:rsid w:val="00C77033"/>
    <w:rsid w:val="00C77E48"/>
    <w:rsid w:val="00C800AA"/>
    <w:rsid w:val="00C80776"/>
    <w:rsid w:val="00C814F2"/>
    <w:rsid w:val="00C8187A"/>
    <w:rsid w:val="00C81E15"/>
    <w:rsid w:val="00C85F58"/>
    <w:rsid w:val="00C8748A"/>
    <w:rsid w:val="00C912A0"/>
    <w:rsid w:val="00C92D1F"/>
    <w:rsid w:val="00C9333E"/>
    <w:rsid w:val="00C957E0"/>
    <w:rsid w:val="00C962BC"/>
    <w:rsid w:val="00CA01EC"/>
    <w:rsid w:val="00CA02E8"/>
    <w:rsid w:val="00CA181A"/>
    <w:rsid w:val="00CA2EFE"/>
    <w:rsid w:val="00CA481B"/>
    <w:rsid w:val="00CA6E39"/>
    <w:rsid w:val="00CA7AD4"/>
    <w:rsid w:val="00CA7D7D"/>
    <w:rsid w:val="00CB1A1F"/>
    <w:rsid w:val="00CB235B"/>
    <w:rsid w:val="00CB2AEC"/>
    <w:rsid w:val="00CB4538"/>
    <w:rsid w:val="00CB4624"/>
    <w:rsid w:val="00CB517E"/>
    <w:rsid w:val="00CB643D"/>
    <w:rsid w:val="00CB6744"/>
    <w:rsid w:val="00CB68AC"/>
    <w:rsid w:val="00CB6B20"/>
    <w:rsid w:val="00CB6D43"/>
    <w:rsid w:val="00CB6FF0"/>
    <w:rsid w:val="00CB79B9"/>
    <w:rsid w:val="00CB7F77"/>
    <w:rsid w:val="00CC1E4B"/>
    <w:rsid w:val="00CC1E7B"/>
    <w:rsid w:val="00CC2D0E"/>
    <w:rsid w:val="00CC55E6"/>
    <w:rsid w:val="00CD1307"/>
    <w:rsid w:val="00CD185A"/>
    <w:rsid w:val="00CD3ED9"/>
    <w:rsid w:val="00CD3F51"/>
    <w:rsid w:val="00CD4482"/>
    <w:rsid w:val="00CD45BE"/>
    <w:rsid w:val="00CD4F1E"/>
    <w:rsid w:val="00CD4FB4"/>
    <w:rsid w:val="00CD5103"/>
    <w:rsid w:val="00CD59F9"/>
    <w:rsid w:val="00CD6819"/>
    <w:rsid w:val="00CD6834"/>
    <w:rsid w:val="00CD73C8"/>
    <w:rsid w:val="00CD7633"/>
    <w:rsid w:val="00CE058E"/>
    <w:rsid w:val="00CE1AAB"/>
    <w:rsid w:val="00CE2CC7"/>
    <w:rsid w:val="00CE3191"/>
    <w:rsid w:val="00CE407E"/>
    <w:rsid w:val="00CE4346"/>
    <w:rsid w:val="00CE4C72"/>
    <w:rsid w:val="00CE73C9"/>
    <w:rsid w:val="00CE7937"/>
    <w:rsid w:val="00CE7B4F"/>
    <w:rsid w:val="00CF1695"/>
    <w:rsid w:val="00CF1A2E"/>
    <w:rsid w:val="00CF37BA"/>
    <w:rsid w:val="00CF4B8A"/>
    <w:rsid w:val="00D001B6"/>
    <w:rsid w:val="00D00528"/>
    <w:rsid w:val="00D00ED1"/>
    <w:rsid w:val="00D010D3"/>
    <w:rsid w:val="00D012D5"/>
    <w:rsid w:val="00D01664"/>
    <w:rsid w:val="00D01E30"/>
    <w:rsid w:val="00D027D6"/>
    <w:rsid w:val="00D051EC"/>
    <w:rsid w:val="00D068C2"/>
    <w:rsid w:val="00D078C9"/>
    <w:rsid w:val="00D1057B"/>
    <w:rsid w:val="00D10676"/>
    <w:rsid w:val="00D1228C"/>
    <w:rsid w:val="00D14840"/>
    <w:rsid w:val="00D152DD"/>
    <w:rsid w:val="00D1547B"/>
    <w:rsid w:val="00D203AA"/>
    <w:rsid w:val="00D20A27"/>
    <w:rsid w:val="00D211A9"/>
    <w:rsid w:val="00D21363"/>
    <w:rsid w:val="00D213A1"/>
    <w:rsid w:val="00D22EF3"/>
    <w:rsid w:val="00D23731"/>
    <w:rsid w:val="00D2396A"/>
    <w:rsid w:val="00D23FBF"/>
    <w:rsid w:val="00D25988"/>
    <w:rsid w:val="00D263BB"/>
    <w:rsid w:val="00D2709B"/>
    <w:rsid w:val="00D27CE8"/>
    <w:rsid w:val="00D27FE7"/>
    <w:rsid w:val="00D30CD4"/>
    <w:rsid w:val="00D31680"/>
    <w:rsid w:val="00D324DA"/>
    <w:rsid w:val="00D326BF"/>
    <w:rsid w:val="00D332A2"/>
    <w:rsid w:val="00D36D48"/>
    <w:rsid w:val="00D3776A"/>
    <w:rsid w:val="00D40AC6"/>
    <w:rsid w:val="00D40E46"/>
    <w:rsid w:val="00D42662"/>
    <w:rsid w:val="00D43556"/>
    <w:rsid w:val="00D44507"/>
    <w:rsid w:val="00D44A73"/>
    <w:rsid w:val="00D46022"/>
    <w:rsid w:val="00D4606B"/>
    <w:rsid w:val="00D5282F"/>
    <w:rsid w:val="00D556FE"/>
    <w:rsid w:val="00D5756E"/>
    <w:rsid w:val="00D57912"/>
    <w:rsid w:val="00D60B33"/>
    <w:rsid w:val="00D60D56"/>
    <w:rsid w:val="00D60E8B"/>
    <w:rsid w:val="00D629BD"/>
    <w:rsid w:val="00D62C69"/>
    <w:rsid w:val="00D62FD9"/>
    <w:rsid w:val="00D63419"/>
    <w:rsid w:val="00D63575"/>
    <w:rsid w:val="00D643D8"/>
    <w:rsid w:val="00D676B5"/>
    <w:rsid w:val="00D7022C"/>
    <w:rsid w:val="00D70567"/>
    <w:rsid w:val="00D707EB"/>
    <w:rsid w:val="00D70E1D"/>
    <w:rsid w:val="00D70E44"/>
    <w:rsid w:val="00D71EFB"/>
    <w:rsid w:val="00D72267"/>
    <w:rsid w:val="00D72EF2"/>
    <w:rsid w:val="00D73097"/>
    <w:rsid w:val="00D73682"/>
    <w:rsid w:val="00D74654"/>
    <w:rsid w:val="00D763CD"/>
    <w:rsid w:val="00D77E2C"/>
    <w:rsid w:val="00D80222"/>
    <w:rsid w:val="00D80879"/>
    <w:rsid w:val="00D824E6"/>
    <w:rsid w:val="00D85339"/>
    <w:rsid w:val="00D8574C"/>
    <w:rsid w:val="00D86346"/>
    <w:rsid w:val="00D877B7"/>
    <w:rsid w:val="00D87A0B"/>
    <w:rsid w:val="00D90EEE"/>
    <w:rsid w:val="00D938DE"/>
    <w:rsid w:val="00D94A52"/>
    <w:rsid w:val="00D94FD3"/>
    <w:rsid w:val="00D954D6"/>
    <w:rsid w:val="00D9605A"/>
    <w:rsid w:val="00D96A6D"/>
    <w:rsid w:val="00D977D3"/>
    <w:rsid w:val="00D97DB3"/>
    <w:rsid w:val="00DA04E9"/>
    <w:rsid w:val="00DA073E"/>
    <w:rsid w:val="00DA1A28"/>
    <w:rsid w:val="00DA1F8D"/>
    <w:rsid w:val="00DA3465"/>
    <w:rsid w:val="00DA4A3E"/>
    <w:rsid w:val="00DA5F7E"/>
    <w:rsid w:val="00DA66E2"/>
    <w:rsid w:val="00DA78A5"/>
    <w:rsid w:val="00DA7FE8"/>
    <w:rsid w:val="00DB178F"/>
    <w:rsid w:val="00DB1FF2"/>
    <w:rsid w:val="00DB2E67"/>
    <w:rsid w:val="00DB38CE"/>
    <w:rsid w:val="00DB4A17"/>
    <w:rsid w:val="00DB4E9A"/>
    <w:rsid w:val="00DB77FC"/>
    <w:rsid w:val="00DC27B6"/>
    <w:rsid w:val="00DC3560"/>
    <w:rsid w:val="00DC4379"/>
    <w:rsid w:val="00DC43CF"/>
    <w:rsid w:val="00DC4B01"/>
    <w:rsid w:val="00DC5576"/>
    <w:rsid w:val="00DC593F"/>
    <w:rsid w:val="00DC6970"/>
    <w:rsid w:val="00DC70DD"/>
    <w:rsid w:val="00DD013B"/>
    <w:rsid w:val="00DD0EC5"/>
    <w:rsid w:val="00DD1753"/>
    <w:rsid w:val="00DD1DD2"/>
    <w:rsid w:val="00DD3E21"/>
    <w:rsid w:val="00DD3EB8"/>
    <w:rsid w:val="00DD61EA"/>
    <w:rsid w:val="00DD65E8"/>
    <w:rsid w:val="00DD765C"/>
    <w:rsid w:val="00DD7A8B"/>
    <w:rsid w:val="00DE156B"/>
    <w:rsid w:val="00DE1C68"/>
    <w:rsid w:val="00DE2B21"/>
    <w:rsid w:val="00DE3A6C"/>
    <w:rsid w:val="00DE5238"/>
    <w:rsid w:val="00DE527A"/>
    <w:rsid w:val="00DE55E4"/>
    <w:rsid w:val="00DE5DDF"/>
    <w:rsid w:val="00DE66A3"/>
    <w:rsid w:val="00DE6A62"/>
    <w:rsid w:val="00DE776F"/>
    <w:rsid w:val="00DF087D"/>
    <w:rsid w:val="00DF1086"/>
    <w:rsid w:val="00DF3162"/>
    <w:rsid w:val="00DF3792"/>
    <w:rsid w:val="00DF5483"/>
    <w:rsid w:val="00DF54D6"/>
    <w:rsid w:val="00DF68BE"/>
    <w:rsid w:val="00DF7283"/>
    <w:rsid w:val="00DF75BF"/>
    <w:rsid w:val="00DF7699"/>
    <w:rsid w:val="00DF7C10"/>
    <w:rsid w:val="00E0123B"/>
    <w:rsid w:val="00E030CD"/>
    <w:rsid w:val="00E03CCE"/>
    <w:rsid w:val="00E04FEF"/>
    <w:rsid w:val="00E07BB7"/>
    <w:rsid w:val="00E10BBF"/>
    <w:rsid w:val="00E10D16"/>
    <w:rsid w:val="00E11C3D"/>
    <w:rsid w:val="00E1231C"/>
    <w:rsid w:val="00E12C19"/>
    <w:rsid w:val="00E1351C"/>
    <w:rsid w:val="00E1595C"/>
    <w:rsid w:val="00E16B19"/>
    <w:rsid w:val="00E17D7C"/>
    <w:rsid w:val="00E202B0"/>
    <w:rsid w:val="00E223D0"/>
    <w:rsid w:val="00E236A5"/>
    <w:rsid w:val="00E238CE"/>
    <w:rsid w:val="00E23A84"/>
    <w:rsid w:val="00E24CAF"/>
    <w:rsid w:val="00E3159E"/>
    <w:rsid w:val="00E3229D"/>
    <w:rsid w:val="00E33B57"/>
    <w:rsid w:val="00E352FC"/>
    <w:rsid w:val="00E356B1"/>
    <w:rsid w:val="00E3690B"/>
    <w:rsid w:val="00E37254"/>
    <w:rsid w:val="00E40BDC"/>
    <w:rsid w:val="00E41194"/>
    <w:rsid w:val="00E4270A"/>
    <w:rsid w:val="00E42776"/>
    <w:rsid w:val="00E44A26"/>
    <w:rsid w:val="00E4603B"/>
    <w:rsid w:val="00E4680A"/>
    <w:rsid w:val="00E47A29"/>
    <w:rsid w:val="00E50DD9"/>
    <w:rsid w:val="00E5147A"/>
    <w:rsid w:val="00E520A6"/>
    <w:rsid w:val="00E52E97"/>
    <w:rsid w:val="00E53661"/>
    <w:rsid w:val="00E5409A"/>
    <w:rsid w:val="00E541BA"/>
    <w:rsid w:val="00E55302"/>
    <w:rsid w:val="00E55A13"/>
    <w:rsid w:val="00E55FD1"/>
    <w:rsid w:val="00E56FC3"/>
    <w:rsid w:val="00E57126"/>
    <w:rsid w:val="00E57B09"/>
    <w:rsid w:val="00E6246C"/>
    <w:rsid w:val="00E6365C"/>
    <w:rsid w:val="00E63E88"/>
    <w:rsid w:val="00E64B88"/>
    <w:rsid w:val="00E650F8"/>
    <w:rsid w:val="00E678BF"/>
    <w:rsid w:val="00E67B51"/>
    <w:rsid w:val="00E70EA9"/>
    <w:rsid w:val="00E71097"/>
    <w:rsid w:val="00E72E5C"/>
    <w:rsid w:val="00E74F72"/>
    <w:rsid w:val="00E81B50"/>
    <w:rsid w:val="00E82A55"/>
    <w:rsid w:val="00E83327"/>
    <w:rsid w:val="00E84335"/>
    <w:rsid w:val="00E84946"/>
    <w:rsid w:val="00E84965"/>
    <w:rsid w:val="00E84EC9"/>
    <w:rsid w:val="00E852A4"/>
    <w:rsid w:val="00E863DB"/>
    <w:rsid w:val="00E86E24"/>
    <w:rsid w:val="00E8737C"/>
    <w:rsid w:val="00E873C8"/>
    <w:rsid w:val="00E87BAA"/>
    <w:rsid w:val="00E90BB1"/>
    <w:rsid w:val="00E91BB5"/>
    <w:rsid w:val="00E93CBB"/>
    <w:rsid w:val="00E94896"/>
    <w:rsid w:val="00E94E8D"/>
    <w:rsid w:val="00E9557F"/>
    <w:rsid w:val="00E96A40"/>
    <w:rsid w:val="00E97590"/>
    <w:rsid w:val="00E97F45"/>
    <w:rsid w:val="00EA0254"/>
    <w:rsid w:val="00EA2B6A"/>
    <w:rsid w:val="00EA30EA"/>
    <w:rsid w:val="00EA328C"/>
    <w:rsid w:val="00EA342A"/>
    <w:rsid w:val="00EA36C6"/>
    <w:rsid w:val="00EA3A3B"/>
    <w:rsid w:val="00EA4C27"/>
    <w:rsid w:val="00EA51ED"/>
    <w:rsid w:val="00EA52D9"/>
    <w:rsid w:val="00EA7492"/>
    <w:rsid w:val="00EB0D74"/>
    <w:rsid w:val="00EB2446"/>
    <w:rsid w:val="00EB3527"/>
    <w:rsid w:val="00EB3F14"/>
    <w:rsid w:val="00EB4C81"/>
    <w:rsid w:val="00EB4E50"/>
    <w:rsid w:val="00EB5113"/>
    <w:rsid w:val="00EB6172"/>
    <w:rsid w:val="00EB6BCE"/>
    <w:rsid w:val="00EB7F06"/>
    <w:rsid w:val="00EC0413"/>
    <w:rsid w:val="00EC2472"/>
    <w:rsid w:val="00EC3F11"/>
    <w:rsid w:val="00EC578E"/>
    <w:rsid w:val="00EC63B3"/>
    <w:rsid w:val="00EC63E3"/>
    <w:rsid w:val="00EC693F"/>
    <w:rsid w:val="00EC6D9E"/>
    <w:rsid w:val="00EC6E29"/>
    <w:rsid w:val="00EC7B3D"/>
    <w:rsid w:val="00ED1208"/>
    <w:rsid w:val="00ED19FC"/>
    <w:rsid w:val="00ED1BB7"/>
    <w:rsid w:val="00ED24B4"/>
    <w:rsid w:val="00ED3712"/>
    <w:rsid w:val="00ED4787"/>
    <w:rsid w:val="00ED66F9"/>
    <w:rsid w:val="00EE0A2C"/>
    <w:rsid w:val="00EE149E"/>
    <w:rsid w:val="00EE224A"/>
    <w:rsid w:val="00EE3023"/>
    <w:rsid w:val="00EE3724"/>
    <w:rsid w:val="00EE3882"/>
    <w:rsid w:val="00EE499C"/>
    <w:rsid w:val="00EE515A"/>
    <w:rsid w:val="00EE5C06"/>
    <w:rsid w:val="00EE5C2E"/>
    <w:rsid w:val="00EE60C8"/>
    <w:rsid w:val="00EE6947"/>
    <w:rsid w:val="00EE6E83"/>
    <w:rsid w:val="00EF0711"/>
    <w:rsid w:val="00EF12AA"/>
    <w:rsid w:val="00EF14AD"/>
    <w:rsid w:val="00EF1AE0"/>
    <w:rsid w:val="00EF34BA"/>
    <w:rsid w:val="00EF3F62"/>
    <w:rsid w:val="00EF4D10"/>
    <w:rsid w:val="00EF6792"/>
    <w:rsid w:val="00EF6CBC"/>
    <w:rsid w:val="00EF6F7D"/>
    <w:rsid w:val="00EF7881"/>
    <w:rsid w:val="00F0279A"/>
    <w:rsid w:val="00F03D4D"/>
    <w:rsid w:val="00F04414"/>
    <w:rsid w:val="00F0550F"/>
    <w:rsid w:val="00F05FEF"/>
    <w:rsid w:val="00F062C9"/>
    <w:rsid w:val="00F06E7D"/>
    <w:rsid w:val="00F07FE0"/>
    <w:rsid w:val="00F13D7F"/>
    <w:rsid w:val="00F14311"/>
    <w:rsid w:val="00F1498C"/>
    <w:rsid w:val="00F154A1"/>
    <w:rsid w:val="00F1586A"/>
    <w:rsid w:val="00F22B1B"/>
    <w:rsid w:val="00F23C57"/>
    <w:rsid w:val="00F314A4"/>
    <w:rsid w:val="00F33D19"/>
    <w:rsid w:val="00F33D5C"/>
    <w:rsid w:val="00F345A7"/>
    <w:rsid w:val="00F3703B"/>
    <w:rsid w:val="00F372E7"/>
    <w:rsid w:val="00F37CAA"/>
    <w:rsid w:val="00F37F6C"/>
    <w:rsid w:val="00F41345"/>
    <w:rsid w:val="00F42347"/>
    <w:rsid w:val="00F4254D"/>
    <w:rsid w:val="00F42971"/>
    <w:rsid w:val="00F42CA6"/>
    <w:rsid w:val="00F42D2D"/>
    <w:rsid w:val="00F42E91"/>
    <w:rsid w:val="00F4309D"/>
    <w:rsid w:val="00F43AB3"/>
    <w:rsid w:val="00F43BB5"/>
    <w:rsid w:val="00F44BC3"/>
    <w:rsid w:val="00F47922"/>
    <w:rsid w:val="00F47923"/>
    <w:rsid w:val="00F517EE"/>
    <w:rsid w:val="00F52104"/>
    <w:rsid w:val="00F5218E"/>
    <w:rsid w:val="00F536CC"/>
    <w:rsid w:val="00F54001"/>
    <w:rsid w:val="00F547D5"/>
    <w:rsid w:val="00F54A5F"/>
    <w:rsid w:val="00F54B68"/>
    <w:rsid w:val="00F55113"/>
    <w:rsid w:val="00F55BE9"/>
    <w:rsid w:val="00F56443"/>
    <w:rsid w:val="00F56C95"/>
    <w:rsid w:val="00F57F64"/>
    <w:rsid w:val="00F61060"/>
    <w:rsid w:val="00F627AE"/>
    <w:rsid w:val="00F634ED"/>
    <w:rsid w:val="00F660B8"/>
    <w:rsid w:val="00F666DA"/>
    <w:rsid w:val="00F7153D"/>
    <w:rsid w:val="00F71A41"/>
    <w:rsid w:val="00F7644C"/>
    <w:rsid w:val="00F76F1E"/>
    <w:rsid w:val="00F77F67"/>
    <w:rsid w:val="00F8135F"/>
    <w:rsid w:val="00F816D8"/>
    <w:rsid w:val="00F827A7"/>
    <w:rsid w:val="00F82C58"/>
    <w:rsid w:val="00F8382D"/>
    <w:rsid w:val="00F84D58"/>
    <w:rsid w:val="00F850E4"/>
    <w:rsid w:val="00F856B3"/>
    <w:rsid w:val="00F85F6B"/>
    <w:rsid w:val="00F90F12"/>
    <w:rsid w:val="00F93A71"/>
    <w:rsid w:val="00F93FC1"/>
    <w:rsid w:val="00F9421C"/>
    <w:rsid w:val="00F9660B"/>
    <w:rsid w:val="00F9795F"/>
    <w:rsid w:val="00FA10F9"/>
    <w:rsid w:val="00FA1253"/>
    <w:rsid w:val="00FA1690"/>
    <w:rsid w:val="00FA3003"/>
    <w:rsid w:val="00FA35DC"/>
    <w:rsid w:val="00FA5FAA"/>
    <w:rsid w:val="00FA6647"/>
    <w:rsid w:val="00FA7655"/>
    <w:rsid w:val="00FB1536"/>
    <w:rsid w:val="00FB156D"/>
    <w:rsid w:val="00FB2840"/>
    <w:rsid w:val="00FB376F"/>
    <w:rsid w:val="00FB4E64"/>
    <w:rsid w:val="00FB5893"/>
    <w:rsid w:val="00FB688C"/>
    <w:rsid w:val="00FB7AD2"/>
    <w:rsid w:val="00FC1547"/>
    <w:rsid w:val="00FC154C"/>
    <w:rsid w:val="00FC1B5F"/>
    <w:rsid w:val="00FC38B7"/>
    <w:rsid w:val="00FC4180"/>
    <w:rsid w:val="00FC4652"/>
    <w:rsid w:val="00FC655D"/>
    <w:rsid w:val="00FC7F4F"/>
    <w:rsid w:val="00FD0386"/>
    <w:rsid w:val="00FD0681"/>
    <w:rsid w:val="00FD0AFE"/>
    <w:rsid w:val="00FD0E43"/>
    <w:rsid w:val="00FD17B4"/>
    <w:rsid w:val="00FD37B3"/>
    <w:rsid w:val="00FD3B5C"/>
    <w:rsid w:val="00FD429E"/>
    <w:rsid w:val="00FD42A6"/>
    <w:rsid w:val="00FD4818"/>
    <w:rsid w:val="00FD49C3"/>
    <w:rsid w:val="00FD4D7F"/>
    <w:rsid w:val="00FD5302"/>
    <w:rsid w:val="00FD663E"/>
    <w:rsid w:val="00FD7579"/>
    <w:rsid w:val="00FE1F61"/>
    <w:rsid w:val="00FE3571"/>
    <w:rsid w:val="00FE4571"/>
    <w:rsid w:val="00FE5624"/>
    <w:rsid w:val="00FE58B8"/>
    <w:rsid w:val="00FE5C81"/>
    <w:rsid w:val="00FF140A"/>
    <w:rsid w:val="00FF1729"/>
    <w:rsid w:val="00FF1AA4"/>
    <w:rsid w:val="00FF2525"/>
    <w:rsid w:val="00FF2A99"/>
    <w:rsid w:val="00FF3139"/>
    <w:rsid w:val="00FF3E28"/>
    <w:rsid w:val="00FF4989"/>
    <w:rsid w:val="00FF4C9E"/>
    <w:rsid w:val="00FF59D2"/>
    <w:rsid w:val="00FF7379"/>
    <w:rsid w:val="00FF73C7"/>
    <w:rsid w:val="00FF7D7E"/>
    <w:rsid w:val="00FF7F4C"/>
    <w:rsid w:val="02267FE1"/>
    <w:rsid w:val="066C6158"/>
    <w:rsid w:val="09E77530"/>
    <w:rsid w:val="0F9206E8"/>
    <w:rsid w:val="13CA57A1"/>
    <w:rsid w:val="1E3A3A73"/>
    <w:rsid w:val="21AF7724"/>
    <w:rsid w:val="22E33544"/>
    <w:rsid w:val="23B674F2"/>
    <w:rsid w:val="2B1A3299"/>
    <w:rsid w:val="31561FB3"/>
    <w:rsid w:val="31820637"/>
    <w:rsid w:val="397E746A"/>
    <w:rsid w:val="3B497682"/>
    <w:rsid w:val="402E32EA"/>
    <w:rsid w:val="4233302A"/>
    <w:rsid w:val="486F28BA"/>
    <w:rsid w:val="49B56541"/>
    <w:rsid w:val="4C820C46"/>
    <w:rsid w:val="502169AA"/>
    <w:rsid w:val="58130BCA"/>
    <w:rsid w:val="588D2F95"/>
    <w:rsid w:val="6BBB1E0C"/>
    <w:rsid w:val="6BD63806"/>
    <w:rsid w:val="701C0B57"/>
    <w:rsid w:val="716322C3"/>
    <w:rsid w:val="736E1E00"/>
    <w:rsid w:val="759C0272"/>
    <w:rsid w:val="7F7619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qFormat="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F28F2"/>
    <w:pPr>
      <w:widowControl w:val="0"/>
      <w:jc w:val="both"/>
    </w:pPr>
    <w:rPr>
      <w:kern w:val="2"/>
      <w:sz w:val="21"/>
      <w:szCs w:val="24"/>
    </w:rPr>
  </w:style>
  <w:style w:type="paragraph" w:styleId="1">
    <w:name w:val="heading 1"/>
    <w:basedOn w:val="a"/>
    <w:next w:val="a"/>
    <w:qFormat/>
    <w:rsid w:val="005F28F2"/>
    <w:pPr>
      <w:keepNext/>
      <w:keepLines/>
      <w:spacing w:before="340" w:after="330" w:line="578" w:lineRule="auto"/>
      <w:outlineLvl w:val="0"/>
    </w:pPr>
    <w:rPr>
      <w:b/>
      <w:bCs/>
      <w:kern w:val="44"/>
      <w:sz w:val="44"/>
      <w:szCs w:val="44"/>
    </w:rPr>
  </w:style>
  <w:style w:type="paragraph" w:styleId="2">
    <w:name w:val="heading 2"/>
    <w:basedOn w:val="a"/>
    <w:next w:val="a"/>
    <w:qFormat/>
    <w:rsid w:val="005F28F2"/>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5F28F2"/>
    <w:pPr>
      <w:keepNext/>
      <w:keepLines/>
      <w:spacing w:before="260" w:after="260" w:line="416" w:lineRule="auto"/>
      <w:outlineLvl w:val="2"/>
    </w:pPr>
    <w:rPr>
      <w:b/>
      <w:bCs/>
      <w:sz w:val="32"/>
      <w:szCs w:val="32"/>
    </w:rPr>
  </w:style>
  <w:style w:type="paragraph" w:styleId="4">
    <w:name w:val="heading 4"/>
    <w:basedOn w:val="a"/>
    <w:next w:val="a"/>
    <w:qFormat/>
    <w:rsid w:val="005F28F2"/>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5F28F2"/>
    <w:pPr>
      <w:keepNext/>
      <w:keepLines/>
      <w:spacing w:before="280" w:after="290" w:line="376" w:lineRule="auto"/>
      <w:outlineLvl w:val="4"/>
    </w:pPr>
    <w:rPr>
      <w:b/>
      <w:bCs/>
      <w:sz w:val="28"/>
      <w:szCs w:val="28"/>
    </w:rPr>
  </w:style>
  <w:style w:type="paragraph" w:styleId="6">
    <w:name w:val="heading 6"/>
    <w:basedOn w:val="a"/>
    <w:next w:val="a"/>
    <w:qFormat/>
    <w:rsid w:val="005F28F2"/>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5F28F2"/>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5F28F2"/>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5F28F2"/>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5F28F2"/>
    <w:pPr>
      <w:shd w:val="clear" w:color="auto" w:fill="000080"/>
    </w:pPr>
  </w:style>
  <w:style w:type="paragraph" w:styleId="a4">
    <w:name w:val="annotation text"/>
    <w:basedOn w:val="a"/>
    <w:link w:val="Char"/>
    <w:semiHidden/>
    <w:qFormat/>
    <w:rsid w:val="005F28F2"/>
    <w:pPr>
      <w:jc w:val="left"/>
    </w:pPr>
  </w:style>
  <w:style w:type="paragraph" w:styleId="a5">
    <w:name w:val="Body Text"/>
    <w:basedOn w:val="a"/>
    <w:qFormat/>
    <w:rsid w:val="005F28F2"/>
    <w:pPr>
      <w:adjustRightInd w:val="0"/>
      <w:snapToGrid w:val="0"/>
      <w:spacing w:line="324" w:lineRule="auto"/>
      <w:ind w:right="28"/>
      <w:jc w:val="left"/>
    </w:pPr>
    <w:rPr>
      <w:rFonts w:ascii="仿宋_GB2312" w:eastAsia="仿宋_GB2312" w:hint="eastAsia"/>
      <w:kern w:val="0"/>
      <w:sz w:val="28"/>
      <w:szCs w:val="20"/>
    </w:rPr>
  </w:style>
  <w:style w:type="paragraph" w:styleId="30">
    <w:name w:val="toc 3"/>
    <w:basedOn w:val="a"/>
    <w:next w:val="a"/>
    <w:autoRedefine/>
    <w:qFormat/>
    <w:rsid w:val="005F28F2"/>
    <w:pPr>
      <w:tabs>
        <w:tab w:val="right" w:leader="dot" w:pos="8820"/>
      </w:tabs>
      <w:ind w:leftChars="400" w:left="840"/>
    </w:pPr>
  </w:style>
  <w:style w:type="paragraph" w:styleId="a6">
    <w:name w:val="Plain Text"/>
    <w:basedOn w:val="a"/>
    <w:qFormat/>
    <w:rsid w:val="005F28F2"/>
    <w:rPr>
      <w:rFonts w:ascii="宋体" w:hAnsi="Courier New"/>
      <w:szCs w:val="21"/>
    </w:rPr>
  </w:style>
  <w:style w:type="paragraph" w:styleId="a7">
    <w:name w:val="Date"/>
    <w:basedOn w:val="a"/>
    <w:next w:val="a"/>
    <w:qFormat/>
    <w:rsid w:val="005F28F2"/>
    <w:rPr>
      <w:sz w:val="24"/>
      <w:szCs w:val="20"/>
    </w:rPr>
  </w:style>
  <w:style w:type="paragraph" w:styleId="a8">
    <w:name w:val="endnote text"/>
    <w:basedOn w:val="a"/>
    <w:semiHidden/>
    <w:qFormat/>
    <w:rsid w:val="005F28F2"/>
    <w:pPr>
      <w:snapToGrid w:val="0"/>
      <w:jc w:val="left"/>
    </w:pPr>
  </w:style>
  <w:style w:type="paragraph" w:styleId="a9">
    <w:name w:val="Balloon Text"/>
    <w:basedOn w:val="a"/>
    <w:semiHidden/>
    <w:qFormat/>
    <w:rsid w:val="005F28F2"/>
    <w:rPr>
      <w:sz w:val="18"/>
      <w:szCs w:val="18"/>
    </w:rPr>
  </w:style>
  <w:style w:type="paragraph" w:styleId="aa">
    <w:name w:val="footer"/>
    <w:basedOn w:val="a"/>
    <w:qFormat/>
    <w:rsid w:val="005F28F2"/>
    <w:pPr>
      <w:tabs>
        <w:tab w:val="center" w:pos="4153"/>
        <w:tab w:val="right" w:pos="8306"/>
      </w:tabs>
      <w:snapToGrid w:val="0"/>
      <w:jc w:val="left"/>
    </w:pPr>
    <w:rPr>
      <w:sz w:val="18"/>
      <w:szCs w:val="18"/>
    </w:rPr>
  </w:style>
  <w:style w:type="paragraph" w:styleId="ab">
    <w:name w:val="header"/>
    <w:basedOn w:val="a"/>
    <w:qFormat/>
    <w:rsid w:val="005F28F2"/>
    <w:pPr>
      <w:pBdr>
        <w:bottom w:val="single" w:sz="6" w:space="1" w:color="auto"/>
      </w:pBdr>
      <w:tabs>
        <w:tab w:val="center" w:pos="4153"/>
        <w:tab w:val="right" w:pos="8306"/>
      </w:tabs>
      <w:snapToGrid w:val="0"/>
      <w:jc w:val="center"/>
    </w:pPr>
    <w:rPr>
      <w:sz w:val="18"/>
      <w:szCs w:val="18"/>
    </w:rPr>
  </w:style>
  <w:style w:type="paragraph" w:styleId="ac">
    <w:name w:val="footnote text"/>
    <w:basedOn w:val="a"/>
    <w:semiHidden/>
    <w:qFormat/>
    <w:rsid w:val="005F28F2"/>
    <w:pPr>
      <w:snapToGrid w:val="0"/>
      <w:jc w:val="left"/>
    </w:pPr>
    <w:rPr>
      <w:sz w:val="18"/>
      <w:szCs w:val="18"/>
    </w:rPr>
  </w:style>
  <w:style w:type="paragraph" w:styleId="20">
    <w:name w:val="toc 2"/>
    <w:basedOn w:val="a"/>
    <w:next w:val="a"/>
    <w:autoRedefine/>
    <w:qFormat/>
    <w:rsid w:val="005F28F2"/>
    <w:pPr>
      <w:tabs>
        <w:tab w:val="left" w:pos="1260"/>
        <w:tab w:val="right" w:leader="dot" w:pos="8834"/>
      </w:tabs>
      <w:ind w:leftChars="200" w:left="420"/>
    </w:pPr>
  </w:style>
  <w:style w:type="paragraph" w:styleId="21">
    <w:name w:val="Body Text 2"/>
    <w:basedOn w:val="a"/>
    <w:qFormat/>
    <w:rsid w:val="005F28F2"/>
    <w:pPr>
      <w:spacing w:after="120" w:line="480" w:lineRule="auto"/>
    </w:pPr>
    <w:rPr>
      <w:szCs w:val="20"/>
    </w:rPr>
  </w:style>
  <w:style w:type="paragraph" w:styleId="ad">
    <w:name w:val="Normal (Web)"/>
    <w:basedOn w:val="a"/>
    <w:qFormat/>
    <w:rsid w:val="005F28F2"/>
    <w:pPr>
      <w:widowControl/>
      <w:spacing w:before="100" w:beforeAutospacing="1" w:after="100" w:afterAutospacing="1"/>
      <w:jc w:val="left"/>
    </w:pPr>
    <w:rPr>
      <w:rFonts w:ascii="宋体" w:hAnsi="宋体"/>
      <w:kern w:val="0"/>
      <w:sz w:val="24"/>
    </w:rPr>
  </w:style>
  <w:style w:type="paragraph" w:styleId="ae">
    <w:name w:val="annotation subject"/>
    <w:basedOn w:val="a4"/>
    <w:next w:val="a4"/>
    <w:semiHidden/>
    <w:qFormat/>
    <w:rsid w:val="005F28F2"/>
    <w:rPr>
      <w:b/>
      <w:bCs/>
    </w:rPr>
  </w:style>
  <w:style w:type="table" w:styleId="af">
    <w:name w:val="Table Grid"/>
    <w:basedOn w:val="a1"/>
    <w:qFormat/>
    <w:rsid w:val="005F28F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qFormat/>
    <w:rsid w:val="005F28F2"/>
    <w:rPr>
      <w:b/>
      <w:bCs/>
    </w:rPr>
  </w:style>
  <w:style w:type="character" w:styleId="af1">
    <w:name w:val="endnote reference"/>
    <w:basedOn w:val="a0"/>
    <w:semiHidden/>
    <w:qFormat/>
    <w:rsid w:val="005F28F2"/>
    <w:rPr>
      <w:vertAlign w:val="superscript"/>
    </w:rPr>
  </w:style>
  <w:style w:type="character" w:styleId="af2">
    <w:name w:val="page number"/>
    <w:basedOn w:val="a0"/>
    <w:qFormat/>
    <w:rsid w:val="005F28F2"/>
  </w:style>
  <w:style w:type="character" w:styleId="af3">
    <w:name w:val="Hyperlink"/>
    <w:basedOn w:val="a0"/>
    <w:qFormat/>
    <w:rsid w:val="005F28F2"/>
    <w:rPr>
      <w:color w:val="0000FF"/>
      <w:u w:val="single"/>
    </w:rPr>
  </w:style>
  <w:style w:type="character" w:styleId="af4">
    <w:name w:val="annotation reference"/>
    <w:basedOn w:val="a0"/>
    <w:semiHidden/>
    <w:qFormat/>
    <w:rsid w:val="005F28F2"/>
    <w:rPr>
      <w:sz w:val="21"/>
      <w:szCs w:val="21"/>
    </w:rPr>
  </w:style>
  <w:style w:type="character" w:styleId="af5">
    <w:name w:val="footnote reference"/>
    <w:basedOn w:val="a0"/>
    <w:semiHidden/>
    <w:qFormat/>
    <w:rsid w:val="005F28F2"/>
    <w:rPr>
      <w:vertAlign w:val="superscript"/>
    </w:rPr>
  </w:style>
  <w:style w:type="paragraph" w:customStyle="1" w:styleId="Char0">
    <w:name w:val="Char"/>
    <w:basedOn w:val="a"/>
    <w:qFormat/>
    <w:rsid w:val="005F28F2"/>
  </w:style>
  <w:style w:type="character" w:customStyle="1" w:styleId="CharCharCharCharCharCharCharChar">
    <w:name w:val="正文文字 Char Char Char Char Char Char Char Char"/>
    <w:basedOn w:val="a0"/>
    <w:qFormat/>
    <w:rsid w:val="005F28F2"/>
    <w:rPr>
      <w:rFonts w:ascii="仿宋_GB2312" w:eastAsia="仿宋_GB2312"/>
      <w:sz w:val="28"/>
      <w:lang w:val="en-US" w:eastAsia="zh-CN" w:bidi="ar-SA"/>
    </w:rPr>
  </w:style>
  <w:style w:type="character" w:customStyle="1" w:styleId="afont1">
    <w:name w:val="afont1"/>
    <w:basedOn w:val="a0"/>
    <w:qFormat/>
    <w:rsid w:val="005F28F2"/>
    <w:rPr>
      <w:rFonts w:ascii="Arial Narrow" w:hAnsi="Arial Narrow" w:hint="default"/>
      <w:sz w:val="21"/>
      <w:szCs w:val="21"/>
    </w:rPr>
  </w:style>
  <w:style w:type="paragraph" w:customStyle="1" w:styleId="CharChar">
    <w:name w:val="Char Char"/>
    <w:basedOn w:val="a"/>
    <w:qFormat/>
    <w:rsid w:val="005F28F2"/>
  </w:style>
  <w:style w:type="paragraph" w:customStyle="1" w:styleId="Default">
    <w:name w:val="Default"/>
    <w:qFormat/>
    <w:rsid w:val="005F28F2"/>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autoRedefine/>
    <w:qFormat/>
    <w:rsid w:val="005F28F2"/>
    <w:pPr>
      <w:tabs>
        <w:tab w:val="left" w:pos="840"/>
      </w:tabs>
      <w:adjustRightInd w:val="0"/>
      <w:spacing w:line="360" w:lineRule="atLeast"/>
      <w:ind w:left="840" w:hanging="360"/>
      <w:textAlignment w:val="baseline"/>
    </w:pPr>
    <w:rPr>
      <w:sz w:val="24"/>
    </w:rPr>
  </w:style>
  <w:style w:type="paragraph" w:customStyle="1" w:styleId="xl33">
    <w:name w:val="xl33"/>
    <w:basedOn w:val="a"/>
    <w:qFormat/>
    <w:rsid w:val="005F28F2"/>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qFormat/>
    <w:rsid w:val="005F28F2"/>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qFormat/>
    <w:rsid w:val="005F28F2"/>
    <w:pPr>
      <w:numPr>
        <w:numId w:val="1"/>
      </w:numPr>
    </w:pPr>
    <w:rPr>
      <w:sz w:val="24"/>
      <w:szCs w:val="20"/>
    </w:rPr>
  </w:style>
  <w:style w:type="paragraph" w:customStyle="1" w:styleId="af6">
    <w:name w:val="简单回函地址"/>
    <w:basedOn w:val="a"/>
    <w:qFormat/>
    <w:rsid w:val="005F28F2"/>
  </w:style>
  <w:style w:type="paragraph" w:customStyle="1" w:styleId="FormLabel">
    <w:name w:val="Form Label"/>
    <w:basedOn w:val="a"/>
    <w:qFormat/>
    <w:rsid w:val="005F28F2"/>
    <w:pPr>
      <w:widowControl/>
      <w:spacing w:line="280" w:lineRule="exact"/>
      <w:jc w:val="left"/>
    </w:pPr>
    <w:rPr>
      <w:kern w:val="0"/>
      <w:sz w:val="18"/>
      <w:szCs w:val="20"/>
      <w:lang w:val="en-GB" w:eastAsia="en-US"/>
    </w:rPr>
  </w:style>
  <w:style w:type="paragraph" w:customStyle="1" w:styleId="Char1">
    <w:name w:val="Char1"/>
    <w:basedOn w:val="a"/>
    <w:qFormat/>
    <w:rsid w:val="005F28F2"/>
  </w:style>
  <w:style w:type="character" w:customStyle="1" w:styleId="2CharCharChar">
    <w:name w:val="标题 2 Char Char Char"/>
    <w:basedOn w:val="a0"/>
    <w:qFormat/>
    <w:rsid w:val="005F28F2"/>
    <w:rPr>
      <w:rFonts w:ascii="Arial" w:eastAsia="宋体" w:hAnsi="Arial"/>
      <w:b/>
      <w:kern w:val="2"/>
      <w:sz w:val="28"/>
      <w:szCs w:val="28"/>
      <w:lang w:val="en-US" w:eastAsia="zh-CN" w:bidi="ar-SA"/>
    </w:rPr>
  </w:style>
  <w:style w:type="paragraph" w:customStyle="1" w:styleId="xl31">
    <w:name w:val="xl31"/>
    <w:basedOn w:val="a"/>
    <w:qFormat/>
    <w:rsid w:val="005F28F2"/>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rsid w:val="005F28F2"/>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qFormat/>
    <w:rsid w:val="005F28F2"/>
    <w:pPr>
      <w:widowControl/>
      <w:spacing w:after="160" w:line="240" w:lineRule="exact"/>
      <w:jc w:val="left"/>
    </w:pPr>
    <w:rPr>
      <w:rFonts w:ascii="Verdana" w:hAnsi="Verdana" w:cs="Verdana"/>
      <w:kern w:val="0"/>
      <w:sz w:val="20"/>
      <w:szCs w:val="20"/>
      <w:lang w:eastAsia="en-US"/>
    </w:rPr>
  </w:style>
  <w:style w:type="character" w:customStyle="1" w:styleId="Char">
    <w:name w:val="批注文字 Char"/>
    <w:basedOn w:val="a0"/>
    <w:link w:val="a4"/>
    <w:qFormat/>
    <w:rsid w:val="005F28F2"/>
    <w:rPr>
      <w:rFonts w:eastAsia="宋体"/>
      <w:kern w:val="2"/>
      <w:sz w:val="21"/>
      <w:szCs w:val="24"/>
      <w:lang w:val="en-US" w:eastAsia="zh-CN" w:bidi="ar-SA"/>
    </w:rPr>
  </w:style>
  <w:style w:type="paragraph" w:customStyle="1" w:styleId="CharCharCharCharCharChar1CharCharChar">
    <w:name w:val="Char Char Char Char Char Char1 Char Char Char"/>
    <w:basedOn w:val="a"/>
    <w:qFormat/>
    <w:rsid w:val="005F28F2"/>
    <w:pPr>
      <w:autoSpaceDE w:val="0"/>
      <w:autoSpaceDN w:val="0"/>
      <w:adjustRightInd w:val="0"/>
      <w:jc w:val="left"/>
      <w:textAlignment w:val="baseline"/>
    </w:pPr>
    <w:rPr>
      <w:rFonts w:ascii="宋体"/>
      <w:kern w:val="0"/>
      <w:sz w:val="34"/>
      <w:szCs w:val="20"/>
    </w:rPr>
  </w:style>
  <w:style w:type="paragraph" w:customStyle="1" w:styleId="xl30">
    <w:name w:val="xl30"/>
    <w:basedOn w:val="a"/>
    <w:qFormat/>
    <w:rsid w:val="005F28F2"/>
    <w:pPr>
      <w:widowControl/>
      <w:spacing w:before="100" w:beforeAutospacing="1" w:after="100" w:afterAutospacing="1"/>
      <w:jc w:val="right"/>
    </w:pPr>
    <w:rPr>
      <w:rFonts w:eastAsia="Arial Unicode MS"/>
      <w:kern w:val="0"/>
      <w:szCs w:val="21"/>
    </w:rPr>
  </w:style>
  <w:style w:type="paragraph" w:customStyle="1" w:styleId="10">
    <w:name w:val="修订1"/>
    <w:hidden/>
    <w:uiPriority w:val="99"/>
    <w:semiHidden/>
    <w:qFormat/>
    <w:rsid w:val="005F28F2"/>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020;&#26102;&#20449;&#25209;\2014&#24180;\&#26032;&#21326;&#20248;&#36873;&#20998;&#32418;&#28151;&#21512;&#22411;&#35777;&#21048;&#25237;&#36164;&#22522;&#37329;&#38750;&#36135;&#24065;&#24066;&#22330;&#22522;&#37329;&#20998;&#32418;&#20844;&#21578;%5b2%5d.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DF916-7E15-47CB-BD7A-79D50168D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新华优选分红混合型证券投资基金非货币市场基金分红公告[2].dot</Template>
  <TotalTime>0</TotalTime>
  <Pages>3</Pages>
  <Words>325</Words>
  <Characters>1858</Characters>
  <Application>Microsoft Office Word</Application>
  <DocSecurity>4</DocSecurity>
  <Lines>15</Lines>
  <Paragraphs>4</Paragraphs>
  <ScaleCrop>false</ScaleCrop>
  <Company>WwW.YlmF.CoM</Company>
  <LinksUpToDate>false</LinksUpToDate>
  <CharactersWithSpaces>2179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宋珊姗</dc:creator>
  <cp:lastModifiedBy>ZHONGM</cp:lastModifiedBy>
  <cp:revision>2</cp:revision>
  <cp:lastPrinted>2015-05-20T10:32:00Z</cp:lastPrinted>
  <dcterms:created xsi:type="dcterms:W3CDTF">2026-01-29T16:00:00Z</dcterms:created>
  <dcterms:modified xsi:type="dcterms:W3CDTF">2026-01-29T16:00:00Z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eyJoZGlkIjoiZDlmZjhjYzQyMjVmZjZiMjZmYTI2OWE4ZDllYjFkN2IiLCJ1c2VySWQiOiIxNjY2MzQ3MDgxIn0=</vt:lpwstr>
  </property>
  <property fmtid="{D5CDD505-2E9C-101B-9397-08002B2CF9AE}" pid="3" name="KSOProductBuildVer">
    <vt:lpwstr>2052-12.1.0.24031</vt:lpwstr>
  </property>
  <property fmtid="{D5CDD505-2E9C-101B-9397-08002B2CF9AE}" pid="4" name="ICV">
    <vt:lpwstr>833F810AF9C441D090DFA201338EBB88_12</vt:lpwstr>
  </property>
</Properties>
</file>