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79" w:rsidRDefault="008A5524">
      <w:pPr>
        <w:autoSpaceDE w:val="0"/>
        <w:autoSpaceDN w:val="0"/>
        <w:adjustRightInd w:val="0"/>
        <w:spacing w:before="30" w:line="288" w:lineRule="auto"/>
        <w:ind w:left="15"/>
        <w:jc w:val="center"/>
        <w:outlineLvl w:val="0"/>
        <w:rPr>
          <w:rFonts w:ascii="宋体" w:eastAsia="宋体" w:hAnsi="Arial" w:cs="宋体"/>
          <w:b/>
          <w:bCs/>
          <w:color w:val="000000"/>
          <w:kern w:val="0"/>
          <w:sz w:val="30"/>
          <w:szCs w:val="30"/>
        </w:rPr>
      </w:pPr>
      <w:r>
        <w:rPr>
          <w:rFonts w:ascii="宋体" w:eastAsia="宋体" w:hAnsi="Arial" w:cs="宋体" w:hint="eastAsia"/>
          <w:b/>
          <w:bCs/>
          <w:color w:val="000000"/>
          <w:kern w:val="0"/>
          <w:sz w:val="30"/>
          <w:szCs w:val="30"/>
        </w:rPr>
        <w:t>国寿安保</w:t>
      </w:r>
      <w:r>
        <w:rPr>
          <w:rFonts w:ascii="宋体" w:eastAsia="宋体" w:hAnsi="Arial" w:cs="宋体" w:hint="eastAsia"/>
          <w:b/>
          <w:bCs/>
          <w:color w:val="000000"/>
          <w:kern w:val="0"/>
          <w:sz w:val="30"/>
          <w:szCs w:val="30"/>
        </w:rPr>
        <w:t>中证</w:t>
      </w:r>
      <w:r>
        <w:rPr>
          <w:rFonts w:ascii="宋体" w:eastAsia="宋体" w:hAnsi="Arial" w:cs="宋体" w:hint="eastAsia"/>
          <w:b/>
          <w:bCs/>
          <w:color w:val="000000"/>
          <w:kern w:val="0"/>
          <w:sz w:val="30"/>
          <w:szCs w:val="30"/>
        </w:rPr>
        <w:t>800</w:t>
      </w:r>
      <w:r>
        <w:rPr>
          <w:rFonts w:ascii="宋体" w:eastAsia="宋体" w:hAnsi="Arial" w:cs="宋体" w:hint="eastAsia"/>
          <w:b/>
          <w:bCs/>
          <w:color w:val="000000"/>
          <w:kern w:val="0"/>
          <w:sz w:val="30"/>
          <w:szCs w:val="30"/>
        </w:rPr>
        <w:t>指数增强型证券投资基金</w:t>
      </w:r>
      <w:r>
        <w:rPr>
          <w:rFonts w:ascii="宋体" w:eastAsia="宋体" w:hAnsi="Arial" w:cs="宋体" w:hint="eastAsia"/>
          <w:b/>
          <w:bCs/>
          <w:color w:val="000000"/>
          <w:kern w:val="0"/>
          <w:sz w:val="30"/>
          <w:szCs w:val="30"/>
        </w:rPr>
        <w:t>开放日常申购、赎回、转换和定期定额投资业务的公告</w:t>
      </w:r>
    </w:p>
    <w:p w:rsidR="00794179" w:rsidRDefault="00794179">
      <w:pPr>
        <w:autoSpaceDE w:val="0"/>
        <w:autoSpaceDN w:val="0"/>
        <w:adjustRightInd w:val="0"/>
        <w:spacing w:line="288" w:lineRule="auto"/>
        <w:jc w:val="left"/>
        <w:rPr>
          <w:rFonts w:ascii="MS Sans Serif" w:hAnsi="MS Sans Serif" w:cs="MS Sans Serif"/>
          <w:color w:val="000000"/>
          <w:kern w:val="0"/>
          <w:sz w:val="30"/>
          <w:szCs w:val="30"/>
        </w:rPr>
      </w:pPr>
    </w:p>
    <w:p w:rsidR="00794179" w:rsidRDefault="008A5524">
      <w:pPr>
        <w:autoSpaceDE w:val="0"/>
        <w:autoSpaceDN w:val="0"/>
        <w:adjustRightInd w:val="0"/>
        <w:spacing w:before="30" w:line="288" w:lineRule="auto"/>
        <w:ind w:left="15"/>
        <w:jc w:val="center"/>
        <w:outlineLvl w:val="0"/>
        <w:rPr>
          <w:rFonts w:ascii="Arial" w:eastAsia="宋体" w:hAnsi="Arial" w:cs="Arial"/>
          <w:color w:val="000000"/>
          <w:kern w:val="0"/>
          <w:sz w:val="24"/>
          <w:szCs w:val="24"/>
        </w:rPr>
      </w:pPr>
      <w:r>
        <w:rPr>
          <w:rFonts w:ascii="Arial" w:eastAsia="宋体" w:hAnsi="Arial" w:cs="Arial"/>
          <w:color w:val="000000"/>
          <w:kern w:val="0"/>
          <w:sz w:val="24"/>
          <w:szCs w:val="24"/>
        </w:rPr>
        <w:t>公告送出日期：</w:t>
      </w:r>
      <w:r>
        <w:rPr>
          <w:rFonts w:ascii="Arial" w:eastAsia="宋体" w:hAnsi="Arial" w:cs="Arial"/>
          <w:color w:val="000000"/>
          <w:kern w:val="0"/>
          <w:sz w:val="24"/>
          <w:szCs w:val="24"/>
        </w:rPr>
        <w:t>202</w:t>
      </w:r>
      <w:r>
        <w:rPr>
          <w:rFonts w:ascii="Arial" w:eastAsia="宋体" w:hAnsi="Arial" w:cs="Arial" w:hint="eastAsia"/>
          <w:color w:val="000000"/>
          <w:kern w:val="0"/>
          <w:sz w:val="24"/>
          <w:szCs w:val="24"/>
        </w:rPr>
        <w:t>6</w:t>
      </w:r>
      <w:r>
        <w:rPr>
          <w:rFonts w:ascii="Arial" w:eastAsia="宋体" w:hAnsi="Arial" w:cs="Arial"/>
          <w:color w:val="000000"/>
          <w:kern w:val="0"/>
          <w:sz w:val="24"/>
          <w:szCs w:val="24"/>
        </w:rPr>
        <w:t>年</w:t>
      </w:r>
      <w:r>
        <w:rPr>
          <w:rFonts w:ascii="Arial" w:eastAsia="宋体" w:hAnsi="Arial" w:cs="Arial" w:hint="eastAsia"/>
          <w:color w:val="000000"/>
          <w:kern w:val="0"/>
          <w:sz w:val="24"/>
          <w:szCs w:val="24"/>
        </w:rPr>
        <w:t>1</w:t>
      </w:r>
      <w:r>
        <w:rPr>
          <w:rFonts w:ascii="Arial" w:eastAsia="宋体" w:hAnsi="Arial" w:cs="Arial"/>
          <w:color w:val="000000"/>
          <w:kern w:val="0"/>
          <w:sz w:val="24"/>
          <w:szCs w:val="24"/>
        </w:rPr>
        <w:t>月</w:t>
      </w:r>
      <w:r>
        <w:rPr>
          <w:rFonts w:ascii="Arial" w:eastAsia="宋体" w:hAnsi="Arial" w:cs="Arial" w:hint="eastAsia"/>
          <w:color w:val="000000"/>
          <w:kern w:val="0"/>
          <w:sz w:val="24"/>
          <w:szCs w:val="24"/>
        </w:rPr>
        <w:t>30</w:t>
      </w:r>
      <w:r>
        <w:rPr>
          <w:rFonts w:ascii="Arial" w:eastAsia="宋体" w:hAnsi="Arial" w:cs="Arial"/>
          <w:color w:val="000000"/>
          <w:kern w:val="0"/>
          <w:sz w:val="24"/>
          <w:szCs w:val="24"/>
        </w:rPr>
        <w:t>日</w:t>
      </w:r>
    </w:p>
    <w:p w:rsidR="00794179" w:rsidRDefault="008A5524">
      <w:pPr>
        <w:autoSpaceDE w:val="0"/>
        <w:autoSpaceDN w:val="0"/>
        <w:adjustRightInd w:val="0"/>
        <w:spacing w:before="30" w:line="288" w:lineRule="auto"/>
        <w:ind w:left="15"/>
        <w:jc w:val="left"/>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1</w:t>
      </w:r>
      <w:r>
        <w:rPr>
          <w:rFonts w:ascii="宋体" w:eastAsia="宋体" w:hAnsi="Arial" w:cs="宋体" w:hint="eastAsia"/>
          <w:b/>
          <w:bCs/>
          <w:color w:val="000000"/>
          <w:kern w:val="0"/>
          <w:sz w:val="24"/>
          <w:szCs w:val="24"/>
        </w:rPr>
        <w:t>、公告基本信息</w:t>
      </w:r>
    </w:p>
    <w:tbl>
      <w:tblPr>
        <w:tblW w:w="9168" w:type="dxa"/>
        <w:jc w:val="center"/>
        <w:tblLayout w:type="fixed"/>
        <w:tblLook w:val="04A0"/>
      </w:tblPr>
      <w:tblGrid>
        <w:gridCol w:w="3612"/>
        <w:gridCol w:w="2757"/>
        <w:gridCol w:w="2799"/>
      </w:tblGrid>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基金名称</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宋体" w:eastAsia="宋体" w:cs="宋体" w:hint="eastAsia"/>
                <w:color w:val="000000"/>
                <w:kern w:val="0"/>
                <w:sz w:val="24"/>
                <w:szCs w:val="24"/>
              </w:rPr>
              <w:t>国寿安保</w:t>
            </w:r>
            <w:r>
              <w:rPr>
                <w:rFonts w:ascii="宋体" w:eastAsia="宋体" w:cs="宋体" w:hint="eastAsia"/>
                <w:color w:val="000000"/>
                <w:kern w:val="0"/>
                <w:sz w:val="24"/>
                <w:szCs w:val="24"/>
              </w:rPr>
              <w:t>中证</w:t>
            </w:r>
            <w:r>
              <w:rPr>
                <w:rFonts w:ascii="宋体" w:eastAsia="宋体" w:cs="宋体" w:hint="eastAsia"/>
                <w:color w:val="000000"/>
                <w:kern w:val="0"/>
                <w:sz w:val="24"/>
                <w:szCs w:val="24"/>
              </w:rPr>
              <w:t>800</w:t>
            </w:r>
            <w:r>
              <w:rPr>
                <w:rFonts w:ascii="宋体" w:eastAsia="宋体" w:cs="宋体" w:hint="eastAsia"/>
                <w:color w:val="000000"/>
                <w:kern w:val="0"/>
                <w:sz w:val="24"/>
                <w:szCs w:val="24"/>
              </w:rPr>
              <w:t>指数增强型证券投资基金</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基金简称</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Times New Roman" w:eastAsia="宋体" w:hAnsi="Times New Roman" w:hint="eastAsia"/>
                <w:color w:val="000000"/>
                <w:kern w:val="0"/>
                <w:sz w:val="24"/>
                <w:szCs w:val="24"/>
              </w:rPr>
              <w:t>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基金主代码</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Times New Roman" w:hAnsi="Times New Roman" w:hint="eastAsia"/>
                <w:bCs/>
                <w:sz w:val="24"/>
                <w:szCs w:val="20"/>
              </w:rPr>
              <w:t>026255</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基金运作方式</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hint="eastAsia"/>
                <w:bCs/>
                <w:sz w:val="24"/>
                <w:szCs w:val="20"/>
              </w:rPr>
              <w:t>契约型开放式</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基金合同生效日</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jc w:val="left"/>
              <w:rPr>
                <w:rFonts w:ascii="Arial" w:hAnsi="Arial" w:cs="Arial"/>
                <w:color w:val="000000"/>
                <w:kern w:val="0"/>
                <w:sz w:val="24"/>
                <w:szCs w:val="24"/>
              </w:rPr>
            </w:pPr>
            <w:r>
              <w:rPr>
                <w:rFonts w:ascii="Times New Roman" w:hAnsi="Times New Roman" w:hint="eastAsia"/>
                <w:bCs/>
                <w:sz w:val="24"/>
                <w:szCs w:val="20"/>
              </w:rPr>
              <w:t>202</w:t>
            </w:r>
            <w:r>
              <w:rPr>
                <w:rFonts w:ascii="Times New Roman" w:hAnsi="Times New Roman" w:hint="eastAsia"/>
                <w:bCs/>
                <w:sz w:val="24"/>
                <w:szCs w:val="20"/>
              </w:rPr>
              <w:t>5</w:t>
            </w:r>
            <w:r>
              <w:rPr>
                <w:rFonts w:ascii="Times New Roman" w:hAnsi="Times New Roman" w:hint="eastAsia"/>
                <w:bCs/>
                <w:sz w:val="24"/>
                <w:szCs w:val="20"/>
              </w:rPr>
              <w:t>年</w:t>
            </w:r>
            <w:r>
              <w:rPr>
                <w:rFonts w:ascii="Times New Roman" w:hAnsi="Times New Roman" w:hint="eastAsia"/>
                <w:bCs/>
                <w:sz w:val="24"/>
                <w:szCs w:val="20"/>
              </w:rPr>
              <w:t>12</w:t>
            </w:r>
            <w:r>
              <w:rPr>
                <w:rFonts w:ascii="Times New Roman" w:hAnsi="Times New Roman" w:hint="eastAsia"/>
                <w:bCs/>
                <w:sz w:val="24"/>
                <w:szCs w:val="20"/>
              </w:rPr>
              <w:t>月</w:t>
            </w:r>
            <w:r>
              <w:rPr>
                <w:rFonts w:ascii="Times New Roman" w:hAnsi="Times New Roman" w:hint="eastAsia"/>
                <w:bCs/>
                <w:sz w:val="24"/>
                <w:szCs w:val="20"/>
              </w:rPr>
              <w:t>30</w:t>
            </w:r>
            <w:r>
              <w:rPr>
                <w:rFonts w:ascii="Times New Roman" w:hAnsi="Times New Roman" w:hint="eastAsia"/>
                <w:bCs/>
                <w:sz w:val="24"/>
                <w:szCs w:val="20"/>
              </w:rPr>
              <w:t>日</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基金管理人名称</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宋体" w:eastAsia="宋体" w:cs="宋体" w:hint="eastAsia"/>
                <w:color w:val="000000"/>
                <w:kern w:val="0"/>
                <w:sz w:val="24"/>
                <w:szCs w:val="24"/>
              </w:rPr>
              <w:t>国寿安保基金管理有限公司</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基金托管人名称</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Times New Roman" w:hAnsi="Times New Roman" w:hint="eastAsia"/>
                <w:bCs/>
                <w:sz w:val="24"/>
                <w:szCs w:val="20"/>
              </w:rPr>
              <w:t>交通</w:t>
            </w:r>
            <w:r>
              <w:rPr>
                <w:rFonts w:ascii="Times New Roman" w:hAnsi="Times New Roman" w:hint="eastAsia"/>
                <w:bCs/>
                <w:sz w:val="24"/>
                <w:szCs w:val="20"/>
              </w:rPr>
              <w:t>银行股份有限公司</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基金注册登记机构名称</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国寿安保基金管理有限公司</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公告依据</w:t>
            </w:r>
          </w:p>
        </w:tc>
        <w:tc>
          <w:tcPr>
            <w:tcW w:w="5556" w:type="dxa"/>
            <w:gridSpan w:val="2"/>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Times New Roman" w:eastAsia="宋体" w:hAnsi="Times New Roman" w:hint="eastAsia"/>
                <w:color w:val="000000"/>
                <w:kern w:val="0"/>
                <w:sz w:val="24"/>
                <w:szCs w:val="24"/>
              </w:rPr>
              <w:t>《中华人民共和国证券投资基金法》、《公开募集证券投资基金运作管理办法》等相关法律法规以及《国寿安保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指数增强型证券投资基金</w:t>
            </w:r>
            <w:r>
              <w:rPr>
                <w:rFonts w:ascii="Times New Roman" w:eastAsia="宋体" w:hAnsi="Times New Roman" w:hint="eastAsia"/>
                <w:color w:val="000000"/>
                <w:kern w:val="0"/>
                <w:sz w:val="24"/>
                <w:szCs w:val="24"/>
              </w:rPr>
              <w:t>基金合同》、《国寿安保</w:t>
            </w:r>
            <w:r>
              <w:rPr>
                <w:rFonts w:ascii="Times New Roman" w:eastAsia="宋体" w:hAnsi="Times New Roman" w:hint="eastAsia"/>
                <w:color w:val="000000"/>
                <w:kern w:val="0"/>
                <w:sz w:val="24"/>
                <w:szCs w:val="24"/>
              </w:rPr>
              <w:t>中证</w:t>
            </w:r>
            <w:r>
              <w:rPr>
                <w:rFonts w:ascii="Times New Roman" w:eastAsia="宋体" w:hAnsi="Times New Roman" w:hint="eastAsia"/>
                <w:color w:val="000000"/>
                <w:kern w:val="0"/>
                <w:sz w:val="24"/>
                <w:szCs w:val="24"/>
              </w:rPr>
              <w:t>800</w:t>
            </w:r>
            <w:r>
              <w:rPr>
                <w:rFonts w:ascii="Times New Roman" w:eastAsia="宋体" w:hAnsi="Times New Roman" w:hint="eastAsia"/>
                <w:color w:val="000000"/>
                <w:kern w:val="0"/>
                <w:sz w:val="24"/>
                <w:szCs w:val="24"/>
              </w:rPr>
              <w:t>指数增强型证券投资基金</w:t>
            </w:r>
            <w:r>
              <w:rPr>
                <w:rFonts w:ascii="Times New Roman" w:eastAsia="宋体" w:hAnsi="Times New Roman" w:hint="eastAsia"/>
                <w:color w:val="000000"/>
                <w:kern w:val="0"/>
                <w:sz w:val="24"/>
                <w:szCs w:val="24"/>
              </w:rPr>
              <w:t>招募说明书》</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申购起始日</w:t>
            </w:r>
          </w:p>
        </w:tc>
        <w:tc>
          <w:tcPr>
            <w:tcW w:w="5556" w:type="dxa"/>
            <w:gridSpan w:val="2"/>
            <w:tcBorders>
              <w:top w:val="single" w:sz="8" w:space="0" w:color="000000"/>
              <w:left w:val="single" w:sz="8" w:space="0" w:color="000000"/>
              <w:bottom w:val="single" w:sz="8" w:space="0" w:color="000000"/>
              <w:right w:val="single" w:sz="8" w:space="0" w:color="000000"/>
            </w:tcBorders>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bCs/>
                <w:sz w:val="24"/>
                <w:szCs w:val="24"/>
              </w:rPr>
              <w:t>202</w:t>
            </w:r>
            <w:r>
              <w:rPr>
                <w:rFonts w:ascii="Arial" w:hAnsi="Arial" w:cs="Arial" w:hint="eastAsia"/>
                <w:bCs/>
                <w:sz w:val="24"/>
                <w:szCs w:val="24"/>
              </w:rPr>
              <w:t>6</w:t>
            </w:r>
            <w:r>
              <w:rPr>
                <w:rFonts w:ascii="Arial" w:hAnsi="Arial" w:cs="Arial"/>
                <w:bCs/>
                <w:sz w:val="24"/>
                <w:szCs w:val="24"/>
              </w:rPr>
              <w:t>年</w:t>
            </w:r>
            <w:r>
              <w:rPr>
                <w:rFonts w:ascii="Arial" w:hAnsi="Arial" w:cs="Arial" w:hint="eastAsia"/>
                <w:bCs/>
                <w:sz w:val="24"/>
                <w:szCs w:val="24"/>
              </w:rPr>
              <w:t>1</w:t>
            </w:r>
            <w:r>
              <w:rPr>
                <w:rFonts w:ascii="Arial" w:hAnsi="Arial" w:cs="Arial"/>
                <w:bCs/>
                <w:sz w:val="24"/>
                <w:szCs w:val="24"/>
              </w:rPr>
              <w:t>月</w:t>
            </w:r>
            <w:r>
              <w:rPr>
                <w:rFonts w:ascii="Arial" w:hAnsi="Arial" w:cs="Arial" w:hint="eastAsia"/>
                <w:bCs/>
                <w:sz w:val="24"/>
                <w:szCs w:val="24"/>
              </w:rPr>
              <w:t>30</w:t>
            </w:r>
            <w:r>
              <w:rPr>
                <w:rFonts w:ascii="Arial" w:hAnsi="Arial" w:cs="Arial"/>
                <w:bCs/>
                <w:sz w:val="24"/>
                <w:szCs w:val="24"/>
              </w:rPr>
              <w:t>日</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赎回起始日</w:t>
            </w:r>
          </w:p>
        </w:tc>
        <w:tc>
          <w:tcPr>
            <w:tcW w:w="5556" w:type="dxa"/>
            <w:gridSpan w:val="2"/>
            <w:tcBorders>
              <w:top w:val="single" w:sz="8" w:space="0" w:color="000000"/>
              <w:left w:val="single" w:sz="8" w:space="0" w:color="000000"/>
              <w:bottom w:val="single" w:sz="8" w:space="0" w:color="000000"/>
              <w:right w:val="single" w:sz="8" w:space="0" w:color="000000"/>
            </w:tcBorders>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bCs/>
                <w:sz w:val="24"/>
                <w:szCs w:val="24"/>
              </w:rPr>
              <w:t>202</w:t>
            </w:r>
            <w:r>
              <w:rPr>
                <w:rFonts w:ascii="Arial" w:hAnsi="Arial" w:cs="Arial" w:hint="eastAsia"/>
                <w:bCs/>
                <w:sz w:val="24"/>
                <w:szCs w:val="24"/>
              </w:rPr>
              <w:t>6</w:t>
            </w:r>
            <w:r>
              <w:rPr>
                <w:rFonts w:ascii="Arial" w:hAnsi="Arial" w:cs="Arial"/>
                <w:bCs/>
                <w:sz w:val="24"/>
                <w:szCs w:val="24"/>
              </w:rPr>
              <w:t>年</w:t>
            </w:r>
            <w:r>
              <w:rPr>
                <w:rFonts w:ascii="Arial" w:hAnsi="Arial" w:cs="Arial" w:hint="eastAsia"/>
                <w:bCs/>
                <w:sz w:val="24"/>
                <w:szCs w:val="24"/>
              </w:rPr>
              <w:t>1</w:t>
            </w:r>
            <w:r>
              <w:rPr>
                <w:rFonts w:ascii="Arial" w:hAnsi="Arial" w:cs="Arial"/>
                <w:bCs/>
                <w:sz w:val="24"/>
                <w:szCs w:val="24"/>
              </w:rPr>
              <w:t>月</w:t>
            </w:r>
            <w:r>
              <w:rPr>
                <w:rFonts w:ascii="Arial" w:hAnsi="Arial" w:cs="Arial" w:hint="eastAsia"/>
                <w:bCs/>
                <w:sz w:val="24"/>
                <w:szCs w:val="24"/>
              </w:rPr>
              <w:t>30</w:t>
            </w:r>
            <w:r>
              <w:rPr>
                <w:rFonts w:ascii="Arial" w:hAnsi="Arial" w:cs="Arial"/>
                <w:bCs/>
                <w:sz w:val="24"/>
                <w:szCs w:val="24"/>
              </w:rPr>
              <w:t>日</w:t>
            </w:r>
          </w:p>
        </w:tc>
      </w:tr>
      <w:tr w:rsidR="00794179">
        <w:trPr>
          <w:jc w:val="center"/>
        </w:trPr>
        <w:tc>
          <w:tcPr>
            <w:tcW w:w="3612" w:type="dxa"/>
            <w:tcBorders>
              <w:top w:val="single" w:sz="8" w:space="0" w:color="000000"/>
              <w:left w:val="single" w:sz="8" w:space="0" w:color="000000"/>
              <w:bottom w:val="single" w:sz="4" w:space="0" w:color="auto"/>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转换转入起始日</w:t>
            </w:r>
          </w:p>
        </w:tc>
        <w:tc>
          <w:tcPr>
            <w:tcW w:w="5556" w:type="dxa"/>
            <w:gridSpan w:val="2"/>
            <w:tcBorders>
              <w:top w:val="single" w:sz="8" w:space="0" w:color="000000"/>
              <w:left w:val="single" w:sz="8" w:space="0" w:color="000000"/>
              <w:bottom w:val="single" w:sz="4" w:space="0" w:color="auto"/>
              <w:right w:val="single" w:sz="8" w:space="0" w:color="000000"/>
            </w:tcBorders>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bCs/>
                <w:sz w:val="24"/>
                <w:szCs w:val="24"/>
              </w:rPr>
              <w:t>202</w:t>
            </w:r>
            <w:r>
              <w:rPr>
                <w:rFonts w:ascii="Arial" w:hAnsi="Arial" w:cs="Arial" w:hint="eastAsia"/>
                <w:bCs/>
                <w:sz w:val="24"/>
                <w:szCs w:val="24"/>
              </w:rPr>
              <w:t>6</w:t>
            </w:r>
            <w:r>
              <w:rPr>
                <w:rFonts w:ascii="Arial" w:hAnsi="Arial" w:cs="Arial"/>
                <w:bCs/>
                <w:sz w:val="24"/>
                <w:szCs w:val="24"/>
              </w:rPr>
              <w:t>年</w:t>
            </w:r>
            <w:r>
              <w:rPr>
                <w:rFonts w:ascii="Arial" w:hAnsi="Arial" w:cs="Arial" w:hint="eastAsia"/>
                <w:bCs/>
                <w:sz w:val="24"/>
                <w:szCs w:val="24"/>
              </w:rPr>
              <w:t>1</w:t>
            </w:r>
            <w:r>
              <w:rPr>
                <w:rFonts w:ascii="Arial" w:hAnsi="Arial" w:cs="Arial"/>
                <w:bCs/>
                <w:sz w:val="24"/>
                <w:szCs w:val="24"/>
              </w:rPr>
              <w:t>月</w:t>
            </w:r>
            <w:r>
              <w:rPr>
                <w:rFonts w:ascii="Arial" w:hAnsi="Arial" w:cs="Arial" w:hint="eastAsia"/>
                <w:bCs/>
                <w:sz w:val="24"/>
                <w:szCs w:val="24"/>
              </w:rPr>
              <w:t>30</w:t>
            </w:r>
            <w:r>
              <w:rPr>
                <w:rFonts w:ascii="Arial" w:hAnsi="Arial" w:cs="Arial"/>
                <w:bCs/>
                <w:sz w:val="24"/>
                <w:szCs w:val="24"/>
              </w:rPr>
              <w:t>日</w:t>
            </w:r>
          </w:p>
        </w:tc>
      </w:tr>
      <w:tr w:rsidR="00794179">
        <w:trPr>
          <w:jc w:val="center"/>
        </w:trPr>
        <w:tc>
          <w:tcPr>
            <w:tcW w:w="3612" w:type="dxa"/>
            <w:tcBorders>
              <w:top w:val="single" w:sz="4" w:space="0" w:color="auto"/>
              <w:left w:val="single" w:sz="4" w:space="0" w:color="auto"/>
              <w:bottom w:val="single" w:sz="4" w:space="0" w:color="auto"/>
              <w:right w:val="single" w:sz="4" w:space="0" w:color="auto"/>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转换转出起始日</w:t>
            </w:r>
          </w:p>
        </w:tc>
        <w:tc>
          <w:tcPr>
            <w:tcW w:w="5556" w:type="dxa"/>
            <w:gridSpan w:val="2"/>
            <w:tcBorders>
              <w:top w:val="single" w:sz="4" w:space="0" w:color="auto"/>
              <w:left w:val="single" w:sz="4" w:space="0" w:color="auto"/>
              <w:bottom w:val="single" w:sz="4" w:space="0" w:color="auto"/>
              <w:right w:val="single" w:sz="4" w:space="0" w:color="auto"/>
            </w:tcBorders>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bCs/>
                <w:sz w:val="24"/>
                <w:szCs w:val="24"/>
              </w:rPr>
              <w:t>202</w:t>
            </w:r>
            <w:r>
              <w:rPr>
                <w:rFonts w:ascii="Arial" w:hAnsi="Arial" w:cs="Arial" w:hint="eastAsia"/>
                <w:bCs/>
                <w:sz w:val="24"/>
                <w:szCs w:val="24"/>
              </w:rPr>
              <w:t>6</w:t>
            </w:r>
            <w:r>
              <w:rPr>
                <w:rFonts w:ascii="Arial" w:hAnsi="Arial" w:cs="Arial"/>
                <w:bCs/>
                <w:sz w:val="24"/>
                <w:szCs w:val="24"/>
              </w:rPr>
              <w:t>年</w:t>
            </w:r>
            <w:r>
              <w:rPr>
                <w:rFonts w:ascii="Arial" w:hAnsi="Arial" w:cs="Arial" w:hint="eastAsia"/>
                <w:bCs/>
                <w:sz w:val="24"/>
                <w:szCs w:val="24"/>
              </w:rPr>
              <w:t>1</w:t>
            </w:r>
            <w:r>
              <w:rPr>
                <w:rFonts w:ascii="Arial" w:hAnsi="Arial" w:cs="Arial"/>
                <w:bCs/>
                <w:sz w:val="24"/>
                <w:szCs w:val="24"/>
              </w:rPr>
              <w:t>月</w:t>
            </w:r>
            <w:r>
              <w:rPr>
                <w:rFonts w:ascii="Arial" w:hAnsi="Arial" w:cs="Arial" w:hint="eastAsia"/>
                <w:bCs/>
                <w:sz w:val="24"/>
                <w:szCs w:val="24"/>
              </w:rPr>
              <w:t>30</w:t>
            </w:r>
            <w:r>
              <w:rPr>
                <w:rFonts w:ascii="Arial" w:hAnsi="Arial" w:cs="Arial"/>
                <w:bCs/>
                <w:sz w:val="24"/>
                <w:szCs w:val="24"/>
              </w:rPr>
              <w:t>日</w:t>
            </w:r>
          </w:p>
        </w:tc>
      </w:tr>
      <w:tr w:rsidR="00794179">
        <w:trPr>
          <w:jc w:val="center"/>
        </w:trPr>
        <w:tc>
          <w:tcPr>
            <w:tcW w:w="3612" w:type="dxa"/>
            <w:tcBorders>
              <w:top w:val="single" w:sz="4" w:space="0" w:color="auto"/>
              <w:left w:val="single" w:sz="4" w:space="0" w:color="auto"/>
              <w:bottom w:val="single" w:sz="4" w:space="0" w:color="auto"/>
              <w:right w:val="single" w:sz="4" w:space="0" w:color="auto"/>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color w:val="000000"/>
                <w:kern w:val="0"/>
                <w:sz w:val="24"/>
                <w:szCs w:val="24"/>
              </w:rPr>
              <w:t>定期定额投资起始日</w:t>
            </w:r>
          </w:p>
        </w:tc>
        <w:tc>
          <w:tcPr>
            <w:tcW w:w="5556" w:type="dxa"/>
            <w:gridSpan w:val="2"/>
            <w:tcBorders>
              <w:top w:val="single" w:sz="4" w:space="0" w:color="auto"/>
              <w:left w:val="single" w:sz="4" w:space="0" w:color="auto"/>
              <w:bottom w:val="single" w:sz="4" w:space="0" w:color="auto"/>
              <w:right w:val="single" w:sz="4" w:space="0" w:color="auto"/>
            </w:tcBorders>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Arial" w:hAnsi="Arial" w:cs="Arial"/>
                <w:bCs/>
                <w:sz w:val="24"/>
                <w:szCs w:val="24"/>
              </w:rPr>
              <w:t>202</w:t>
            </w:r>
            <w:r>
              <w:rPr>
                <w:rFonts w:ascii="Arial" w:hAnsi="Arial" w:cs="Arial" w:hint="eastAsia"/>
                <w:bCs/>
                <w:sz w:val="24"/>
                <w:szCs w:val="24"/>
              </w:rPr>
              <w:t>6</w:t>
            </w:r>
            <w:r>
              <w:rPr>
                <w:rFonts w:ascii="Arial" w:hAnsi="Arial" w:cs="Arial"/>
                <w:bCs/>
                <w:sz w:val="24"/>
                <w:szCs w:val="24"/>
              </w:rPr>
              <w:t>年</w:t>
            </w:r>
            <w:r>
              <w:rPr>
                <w:rFonts w:ascii="Arial" w:hAnsi="Arial" w:cs="Arial" w:hint="eastAsia"/>
                <w:bCs/>
                <w:sz w:val="24"/>
                <w:szCs w:val="24"/>
              </w:rPr>
              <w:t>1</w:t>
            </w:r>
            <w:r>
              <w:rPr>
                <w:rFonts w:ascii="Arial" w:hAnsi="Arial" w:cs="Arial"/>
                <w:bCs/>
                <w:sz w:val="24"/>
                <w:szCs w:val="24"/>
              </w:rPr>
              <w:t>月</w:t>
            </w:r>
            <w:r>
              <w:rPr>
                <w:rFonts w:ascii="Arial" w:hAnsi="Arial" w:cs="Arial" w:hint="eastAsia"/>
                <w:bCs/>
                <w:sz w:val="24"/>
                <w:szCs w:val="24"/>
              </w:rPr>
              <w:t>30</w:t>
            </w:r>
            <w:r>
              <w:rPr>
                <w:rFonts w:ascii="Arial" w:hAnsi="Arial" w:cs="Arial"/>
                <w:bCs/>
                <w:sz w:val="24"/>
                <w:szCs w:val="24"/>
              </w:rPr>
              <w:t>日</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宋体" w:eastAsia="宋体" w:hAnsi="Arial" w:cs="宋体" w:hint="eastAsia"/>
                <w:color w:val="000000"/>
                <w:kern w:val="0"/>
                <w:sz w:val="24"/>
                <w:szCs w:val="24"/>
              </w:rPr>
              <w:t>下属分级基金的基金简称</w:t>
            </w:r>
          </w:p>
        </w:tc>
        <w:tc>
          <w:tcPr>
            <w:tcW w:w="2757" w:type="dxa"/>
            <w:tcBorders>
              <w:top w:val="single" w:sz="8" w:space="0" w:color="000000"/>
              <w:left w:val="single" w:sz="8" w:space="0" w:color="000000"/>
              <w:bottom w:val="single" w:sz="8" w:space="0" w:color="000000"/>
              <w:right w:val="single" w:sz="4" w:space="0" w:color="auto"/>
            </w:tcBorders>
            <w:vAlign w:val="center"/>
          </w:tcPr>
          <w:p w:rsidR="00794179" w:rsidRDefault="008A5524">
            <w:pPr>
              <w:autoSpaceDE w:val="0"/>
              <w:autoSpaceDN w:val="0"/>
              <w:spacing w:line="360" w:lineRule="auto"/>
              <w:ind w:left="17"/>
              <w:jc w:val="left"/>
              <w:rPr>
                <w:rFonts w:ascii="Arial" w:hAnsi="Arial" w:cs="Arial"/>
                <w:bCs/>
                <w:sz w:val="24"/>
                <w:szCs w:val="24"/>
              </w:rPr>
            </w:pPr>
            <w:r>
              <w:rPr>
                <w:rFonts w:ascii="Times New Roman" w:hAnsi="Times New Roman" w:hint="eastAsia"/>
                <w:bCs/>
                <w:sz w:val="24"/>
                <w:szCs w:val="20"/>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A</w:t>
            </w:r>
          </w:p>
        </w:tc>
        <w:tc>
          <w:tcPr>
            <w:tcW w:w="2799" w:type="dxa"/>
            <w:tcBorders>
              <w:top w:val="single" w:sz="8" w:space="0" w:color="000000"/>
              <w:left w:val="single" w:sz="4" w:space="0" w:color="auto"/>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Times New Roman" w:hAnsi="Times New Roman" w:hint="eastAsia"/>
                <w:bCs/>
                <w:sz w:val="24"/>
                <w:szCs w:val="20"/>
              </w:rPr>
              <w:t>国寿安保</w:t>
            </w:r>
            <w:r>
              <w:rPr>
                <w:rFonts w:ascii="Times New Roman" w:hAnsi="Times New Roman" w:hint="eastAsia"/>
                <w:bCs/>
                <w:sz w:val="24"/>
                <w:szCs w:val="20"/>
              </w:rPr>
              <w:t>中证</w:t>
            </w:r>
            <w:r>
              <w:rPr>
                <w:rFonts w:ascii="Times New Roman" w:hAnsi="Times New Roman" w:hint="eastAsia"/>
                <w:bCs/>
                <w:sz w:val="24"/>
                <w:szCs w:val="20"/>
              </w:rPr>
              <w:t>800</w:t>
            </w:r>
            <w:r>
              <w:rPr>
                <w:rFonts w:ascii="Times New Roman" w:hAnsi="Times New Roman" w:hint="eastAsia"/>
                <w:bCs/>
                <w:sz w:val="24"/>
                <w:szCs w:val="20"/>
              </w:rPr>
              <w:t>指数增强</w:t>
            </w:r>
            <w:r>
              <w:rPr>
                <w:rFonts w:ascii="Times New Roman" w:hAnsi="Times New Roman" w:hint="eastAsia"/>
                <w:bCs/>
                <w:sz w:val="24"/>
                <w:szCs w:val="20"/>
              </w:rPr>
              <w:t>C</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宋体" w:eastAsia="宋体" w:hAnsi="Arial" w:cs="宋体" w:hint="eastAsia"/>
                <w:color w:val="000000"/>
                <w:kern w:val="0"/>
                <w:sz w:val="24"/>
                <w:szCs w:val="24"/>
              </w:rPr>
              <w:t>下属分级基金的交易代码</w:t>
            </w:r>
          </w:p>
        </w:tc>
        <w:tc>
          <w:tcPr>
            <w:tcW w:w="2757" w:type="dxa"/>
            <w:tcBorders>
              <w:top w:val="single" w:sz="8" w:space="0" w:color="000000"/>
              <w:left w:val="single" w:sz="8" w:space="0" w:color="000000"/>
              <w:bottom w:val="single" w:sz="8" w:space="0" w:color="000000"/>
              <w:right w:val="single" w:sz="4" w:space="0" w:color="auto"/>
            </w:tcBorders>
            <w:vAlign w:val="center"/>
          </w:tcPr>
          <w:p w:rsidR="00794179" w:rsidRDefault="008A5524">
            <w:pPr>
              <w:autoSpaceDE w:val="0"/>
              <w:autoSpaceDN w:val="0"/>
              <w:spacing w:line="360" w:lineRule="auto"/>
              <w:ind w:left="17"/>
              <w:jc w:val="left"/>
              <w:rPr>
                <w:rFonts w:ascii="Arial" w:hAnsi="Arial" w:cs="Arial"/>
                <w:bCs/>
                <w:sz w:val="24"/>
                <w:szCs w:val="24"/>
              </w:rPr>
            </w:pPr>
            <w:r>
              <w:rPr>
                <w:rFonts w:ascii="Times New Roman" w:hAnsi="Times New Roman" w:hint="eastAsia"/>
                <w:bCs/>
                <w:sz w:val="24"/>
                <w:szCs w:val="20"/>
              </w:rPr>
              <w:t>026255</w:t>
            </w:r>
          </w:p>
        </w:tc>
        <w:tc>
          <w:tcPr>
            <w:tcW w:w="2799" w:type="dxa"/>
            <w:tcBorders>
              <w:top w:val="single" w:sz="8" w:space="0" w:color="000000"/>
              <w:left w:val="single" w:sz="4" w:space="0" w:color="auto"/>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bCs/>
                <w:sz w:val="24"/>
                <w:szCs w:val="24"/>
              </w:rPr>
            </w:pPr>
            <w:r>
              <w:rPr>
                <w:rFonts w:ascii="Times New Roman" w:hAnsi="Times New Roman" w:hint="eastAsia"/>
                <w:bCs/>
                <w:sz w:val="24"/>
                <w:szCs w:val="20"/>
              </w:rPr>
              <w:t>026256</w:t>
            </w:r>
          </w:p>
        </w:tc>
      </w:tr>
      <w:tr w:rsidR="00794179">
        <w:trPr>
          <w:jc w:val="center"/>
        </w:trPr>
        <w:tc>
          <w:tcPr>
            <w:tcW w:w="3612" w:type="dxa"/>
            <w:tcBorders>
              <w:top w:val="single" w:sz="8" w:space="0" w:color="000000"/>
              <w:left w:val="single" w:sz="8" w:space="0" w:color="000000"/>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color w:val="000000"/>
                <w:kern w:val="0"/>
                <w:sz w:val="24"/>
                <w:szCs w:val="24"/>
              </w:rPr>
            </w:pPr>
            <w:r>
              <w:rPr>
                <w:rFonts w:ascii="宋体" w:eastAsia="宋体" w:hAnsi="Arial" w:cs="宋体" w:hint="eastAsia"/>
                <w:color w:val="000000"/>
                <w:kern w:val="0"/>
                <w:sz w:val="24"/>
                <w:szCs w:val="24"/>
              </w:rPr>
              <w:t>该分级基金是否开放申购、赎回、转换、定期定额投资</w:t>
            </w:r>
          </w:p>
        </w:tc>
        <w:tc>
          <w:tcPr>
            <w:tcW w:w="2757" w:type="dxa"/>
            <w:tcBorders>
              <w:top w:val="single" w:sz="8" w:space="0" w:color="000000"/>
              <w:left w:val="single" w:sz="8" w:space="0" w:color="000000"/>
              <w:bottom w:val="single" w:sz="8" w:space="0" w:color="000000"/>
              <w:right w:val="single" w:sz="4" w:space="0" w:color="auto"/>
            </w:tcBorders>
            <w:vAlign w:val="center"/>
          </w:tcPr>
          <w:p w:rsidR="00794179" w:rsidRDefault="008A5524">
            <w:pPr>
              <w:autoSpaceDE w:val="0"/>
              <w:autoSpaceDN w:val="0"/>
              <w:spacing w:line="360" w:lineRule="auto"/>
              <w:ind w:left="17"/>
              <w:jc w:val="left"/>
              <w:rPr>
                <w:rFonts w:ascii="Arial" w:hAnsi="Arial" w:cs="Arial"/>
                <w:bCs/>
                <w:sz w:val="24"/>
                <w:szCs w:val="24"/>
              </w:rPr>
            </w:pPr>
            <w:r>
              <w:rPr>
                <w:rFonts w:ascii="宋体" w:eastAsia="宋体" w:hAnsi="Arial" w:cs="宋体" w:hint="eastAsia"/>
                <w:color w:val="000000"/>
                <w:kern w:val="0"/>
                <w:sz w:val="24"/>
                <w:szCs w:val="24"/>
              </w:rPr>
              <w:t>是</w:t>
            </w:r>
          </w:p>
        </w:tc>
        <w:tc>
          <w:tcPr>
            <w:tcW w:w="2799" w:type="dxa"/>
            <w:tcBorders>
              <w:top w:val="single" w:sz="8" w:space="0" w:color="000000"/>
              <w:left w:val="single" w:sz="4" w:space="0" w:color="auto"/>
              <w:bottom w:val="single" w:sz="8" w:space="0" w:color="000000"/>
              <w:right w:val="single" w:sz="8" w:space="0" w:color="000000"/>
            </w:tcBorders>
            <w:vAlign w:val="center"/>
          </w:tcPr>
          <w:p w:rsidR="00794179" w:rsidRDefault="008A5524">
            <w:pPr>
              <w:autoSpaceDE w:val="0"/>
              <w:autoSpaceDN w:val="0"/>
              <w:spacing w:line="360" w:lineRule="auto"/>
              <w:ind w:left="17"/>
              <w:jc w:val="left"/>
              <w:rPr>
                <w:rFonts w:ascii="Arial" w:hAnsi="Arial" w:cs="Arial"/>
                <w:bCs/>
                <w:sz w:val="24"/>
                <w:szCs w:val="24"/>
              </w:rPr>
            </w:pPr>
            <w:r>
              <w:rPr>
                <w:rFonts w:ascii="宋体" w:eastAsia="宋体" w:hAnsi="Arial" w:cs="宋体" w:hint="eastAsia"/>
                <w:color w:val="000000"/>
                <w:kern w:val="0"/>
                <w:sz w:val="24"/>
                <w:szCs w:val="24"/>
              </w:rPr>
              <w:t>是</w:t>
            </w:r>
          </w:p>
        </w:tc>
      </w:tr>
    </w:tbl>
    <w:p w:rsidR="00794179" w:rsidRDefault="00794179">
      <w:pPr>
        <w:autoSpaceDE w:val="0"/>
        <w:autoSpaceDN w:val="0"/>
        <w:adjustRightInd w:val="0"/>
        <w:spacing w:line="288" w:lineRule="auto"/>
        <w:jc w:val="left"/>
        <w:rPr>
          <w:rFonts w:ascii="MS Sans Serif" w:hAnsi="MS Sans Serif" w:cs="MS Sans Serif"/>
          <w:color w:val="000000"/>
          <w:kern w:val="0"/>
          <w:sz w:val="24"/>
          <w:szCs w:val="24"/>
        </w:rPr>
      </w:pPr>
    </w:p>
    <w:p w:rsidR="00794179" w:rsidRDefault="008A5524">
      <w:pPr>
        <w:autoSpaceDE w:val="0"/>
        <w:autoSpaceDN w:val="0"/>
        <w:adjustRightInd w:val="0"/>
        <w:spacing w:before="30" w:line="360" w:lineRule="auto"/>
        <w:ind w:left="17"/>
        <w:jc w:val="left"/>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lastRenderedPageBreak/>
        <w:t>2</w:t>
      </w:r>
      <w:r>
        <w:rPr>
          <w:rFonts w:ascii="宋体" w:eastAsia="宋体" w:hAnsi="Arial" w:cs="宋体" w:hint="eastAsia"/>
          <w:b/>
          <w:bCs/>
          <w:color w:val="000000"/>
          <w:kern w:val="0"/>
          <w:sz w:val="24"/>
          <w:szCs w:val="24"/>
        </w:rPr>
        <w:t>、日常申购、赎回、转换、定期定额投资业务的办理时间</w:t>
      </w:r>
    </w:p>
    <w:p w:rsidR="00794179" w:rsidRDefault="008A5524">
      <w:pPr>
        <w:autoSpaceDE w:val="0"/>
        <w:autoSpaceDN w:val="0"/>
        <w:adjustRightInd w:val="0"/>
        <w:spacing w:before="30" w:line="360" w:lineRule="auto"/>
        <w:ind w:left="17" w:firstLineChars="200" w:firstLine="480"/>
        <w:jc w:val="left"/>
        <w:rPr>
          <w:bCs/>
          <w:sz w:val="24"/>
        </w:rPr>
      </w:pPr>
      <w:r>
        <w:rPr>
          <w:rFonts w:hint="eastAsia"/>
          <w:bCs/>
          <w:sz w:val="24"/>
        </w:rPr>
        <w:t>投资人在开放日办理基金份额的申购和赎回，具体办理时间为上海证券交易所、深圳证券交易所的正常交易日的交易时间（若本基金参与港股通交易且该工作日为非港股通交易日时，则基金管理人有权根据实际情况决定本基金暂停申购、赎回及转换业务并公告），但基金管理人根据法律法规、中国证监会的要求或基金合同的规定公告暂停申购、赎回时除外。</w:t>
      </w:r>
    </w:p>
    <w:p w:rsidR="00794179" w:rsidRDefault="008A5524">
      <w:pPr>
        <w:autoSpaceDE w:val="0"/>
        <w:autoSpaceDN w:val="0"/>
        <w:adjustRightInd w:val="0"/>
        <w:spacing w:before="30" w:line="360" w:lineRule="auto"/>
        <w:ind w:left="17" w:firstLineChars="200" w:firstLine="480"/>
        <w:jc w:val="left"/>
        <w:rPr>
          <w:bCs/>
          <w:sz w:val="24"/>
        </w:rPr>
      </w:pPr>
      <w:r>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794179" w:rsidRDefault="008A5524">
      <w:pPr>
        <w:autoSpaceDE w:val="0"/>
        <w:autoSpaceDN w:val="0"/>
        <w:spacing w:line="360" w:lineRule="auto"/>
        <w:jc w:val="left"/>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 </w:t>
      </w:r>
      <w:r>
        <w:rPr>
          <w:rFonts w:ascii="宋体" w:eastAsia="宋体" w:hAnsi="Arial" w:cs="宋体" w:hint="eastAsia"/>
          <w:b/>
          <w:bCs/>
          <w:color w:val="000000"/>
          <w:kern w:val="0"/>
          <w:sz w:val="24"/>
          <w:szCs w:val="24"/>
        </w:rPr>
        <w:t>、日常申购业务</w:t>
      </w: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3.1 </w:t>
      </w:r>
      <w:r>
        <w:rPr>
          <w:rFonts w:ascii="宋体" w:eastAsia="宋体" w:hAnsi="Arial" w:cs="宋体" w:hint="eastAsia"/>
          <w:b/>
          <w:bCs/>
          <w:color w:val="000000"/>
          <w:kern w:val="0"/>
          <w:sz w:val="24"/>
          <w:szCs w:val="24"/>
        </w:rPr>
        <w:t>申购金额限制</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）投资者通过其他销售机构和基金管理人网上直销交易系统首次申购和单笔追加申购的最低金额均为</w:t>
      </w:r>
      <w:r>
        <w:rPr>
          <w:rFonts w:ascii="Arial" w:hAnsi="Arial" w:cs="Arial" w:hint="eastAsia"/>
          <w:bCs/>
          <w:sz w:val="24"/>
          <w:szCs w:val="24"/>
        </w:rPr>
        <w:t>1</w:t>
      </w:r>
      <w:r>
        <w:rPr>
          <w:rFonts w:ascii="Arial" w:hAnsi="Arial" w:cs="Arial" w:hint="eastAsia"/>
          <w:bCs/>
          <w:sz w:val="24"/>
          <w:szCs w:val="24"/>
        </w:rPr>
        <w:t>元（含申购费）；投资者通过直销中心首次申购的，首次最低申购金额为人民币</w:t>
      </w:r>
      <w:r>
        <w:rPr>
          <w:rFonts w:ascii="Arial" w:hAnsi="Arial" w:cs="Arial" w:hint="eastAsia"/>
          <w:bCs/>
          <w:sz w:val="24"/>
          <w:szCs w:val="24"/>
        </w:rPr>
        <w:t>1</w:t>
      </w:r>
      <w:r>
        <w:rPr>
          <w:rFonts w:ascii="Arial" w:hAnsi="Arial" w:cs="Arial" w:hint="eastAsia"/>
          <w:bCs/>
          <w:sz w:val="24"/>
          <w:szCs w:val="24"/>
        </w:rPr>
        <w:t>元（含申购费），单笔追加申购金额不得低于</w:t>
      </w:r>
      <w:r>
        <w:rPr>
          <w:rFonts w:ascii="Arial" w:hAnsi="Arial" w:cs="Arial" w:hint="eastAsia"/>
          <w:bCs/>
          <w:sz w:val="24"/>
          <w:szCs w:val="24"/>
        </w:rPr>
        <w:t>1</w:t>
      </w:r>
      <w:r>
        <w:rPr>
          <w:rFonts w:ascii="Arial" w:hAnsi="Arial" w:cs="Arial" w:hint="eastAsia"/>
          <w:bCs/>
          <w:sz w:val="24"/>
          <w:szCs w:val="24"/>
        </w:rPr>
        <w:t>元（含申购费）。基金销售机构另有规定的，以基金销售机构的规定为准</w:t>
      </w:r>
      <w:r>
        <w:rPr>
          <w:rFonts w:ascii="Arial" w:hAnsi="Arial" w:cs="Arial" w:hint="eastAsia"/>
          <w:bCs/>
          <w:sz w:val="24"/>
          <w:szCs w:val="24"/>
        </w:rPr>
        <w:t>。</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）本基金对单个投资人累计持有的基金份额不设上限。</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bCs/>
          <w:sz w:val="24"/>
          <w:szCs w:val="24"/>
        </w:rPr>
        <w:t>3</w:t>
      </w:r>
      <w:r>
        <w:rPr>
          <w:rFonts w:ascii="Arial" w:hAnsi="Arial" w:cs="Arial" w:hint="eastAsia"/>
          <w:bCs/>
          <w:sz w:val="24"/>
          <w:szCs w:val="24"/>
        </w:rPr>
        <w:t>）基金管理人有权规定单个投资者单日或单笔申购金额上限，具体金额请参见更新招募说明书或相关公告。</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bCs/>
          <w:sz w:val="24"/>
          <w:szCs w:val="24"/>
        </w:rPr>
        <w:t>4</w:t>
      </w:r>
      <w:r>
        <w:rPr>
          <w:rFonts w:ascii="Arial" w:hAnsi="Arial" w:cs="Arial" w:hint="eastAsia"/>
          <w:bCs/>
          <w:sz w:val="24"/>
          <w:szCs w:val="24"/>
        </w:rPr>
        <w:t>）基金管理人有权规定本基金的总规模限额、单日净申购比例上限，具体规模或比例上限请参见更新招募说明书或相关公告。</w:t>
      </w:r>
    </w:p>
    <w:p w:rsidR="00794179" w:rsidRDefault="008A5524">
      <w:pPr>
        <w:numPr>
          <w:ilvl w:val="255"/>
          <w:numId w:val="0"/>
        </w:numPr>
        <w:adjustRightInd w:val="0"/>
        <w:snapToGrid w:val="0"/>
        <w:spacing w:line="360" w:lineRule="auto"/>
        <w:ind w:firstLineChars="200" w:firstLine="480"/>
        <w:jc w:val="left"/>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5</w:t>
      </w:r>
      <w:r>
        <w:rPr>
          <w:rFonts w:ascii="Arial" w:hAnsi="Arial" w:cs="Arial" w:hint="eastAsia"/>
          <w:bCs/>
          <w:sz w:val="24"/>
          <w:szCs w:val="24"/>
        </w:rPr>
        <w:t>）</w:t>
      </w:r>
      <w:r>
        <w:rPr>
          <w:rFonts w:ascii="Arial" w:hAnsi="Arial" w:cs="Arial"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w:t>
      </w:r>
      <w:r>
        <w:rPr>
          <w:rFonts w:ascii="Arial" w:hAnsi="Arial" w:cs="Arial" w:hint="eastAsia"/>
          <w:bCs/>
          <w:sz w:val="24"/>
          <w:szCs w:val="24"/>
        </w:rPr>
        <w:t>控制的需要，可采取上述措施对基金规模予以控制。具体见基金管理人相关公告。</w:t>
      </w:r>
    </w:p>
    <w:p w:rsidR="00794179" w:rsidRDefault="008A5524">
      <w:pPr>
        <w:numPr>
          <w:ilvl w:val="255"/>
          <w:numId w:val="0"/>
        </w:numPr>
        <w:adjustRightInd w:val="0"/>
        <w:snapToGrid w:val="0"/>
        <w:spacing w:line="360" w:lineRule="auto"/>
        <w:ind w:firstLineChars="200" w:firstLine="480"/>
        <w:jc w:val="left"/>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6</w:t>
      </w:r>
      <w:r>
        <w:rPr>
          <w:rFonts w:ascii="Arial" w:hAnsi="Arial" w:cs="Arial" w:hint="eastAsia"/>
          <w:bCs/>
          <w:sz w:val="24"/>
          <w:szCs w:val="24"/>
        </w:rPr>
        <w:t>）</w:t>
      </w:r>
      <w:r>
        <w:rPr>
          <w:rFonts w:ascii="Arial" w:hAnsi="Arial" w:cs="Arial" w:hint="eastAsia"/>
          <w:bCs/>
          <w:sz w:val="24"/>
          <w:szCs w:val="24"/>
        </w:rPr>
        <w:t>基金管理人可在法律法规允许的情况下，调整上述规定申购金额。基金管理人必须在调整实施前依照《信息披露办法》的有关规定在规定媒介上公告。</w:t>
      </w:r>
    </w:p>
    <w:p w:rsidR="00794179" w:rsidRDefault="00794179">
      <w:pPr>
        <w:pStyle w:val="a0"/>
        <w:rPr>
          <w:rFonts w:ascii="Arial" w:hAnsi="Arial" w:cs="Arial"/>
          <w:bCs/>
          <w:szCs w:val="24"/>
        </w:rPr>
      </w:pPr>
    </w:p>
    <w:p w:rsidR="00794179" w:rsidRDefault="00794179">
      <w:pPr>
        <w:pStyle w:val="a4"/>
        <w:rPr>
          <w:rFonts w:ascii="Arial" w:hAnsi="Arial" w:cs="Arial"/>
          <w:bCs/>
          <w:szCs w:val="24"/>
        </w:rPr>
      </w:pPr>
    </w:p>
    <w:p w:rsidR="00794179" w:rsidRDefault="00794179">
      <w:pPr>
        <w:pStyle w:val="a4"/>
        <w:rPr>
          <w:rFonts w:ascii="Arial" w:hAnsi="Arial" w:cs="Arial"/>
          <w:bCs/>
          <w:szCs w:val="24"/>
        </w:rPr>
      </w:pPr>
    </w:p>
    <w:p w:rsidR="00794179" w:rsidRDefault="00794179">
      <w:pPr>
        <w:pStyle w:val="a4"/>
        <w:rPr>
          <w:rFonts w:ascii="Arial" w:hAnsi="Arial" w:cs="Arial"/>
          <w:bCs/>
          <w:szCs w:val="24"/>
        </w:rPr>
      </w:pPr>
    </w:p>
    <w:p w:rsidR="00794179" w:rsidRDefault="00794179">
      <w:pPr>
        <w:pStyle w:val="a4"/>
        <w:rPr>
          <w:rFonts w:ascii="Arial" w:hAnsi="Arial" w:cs="Arial"/>
          <w:bCs/>
          <w:szCs w:val="24"/>
        </w:rPr>
      </w:pP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lastRenderedPageBreak/>
        <w:t xml:space="preserve">3.2 </w:t>
      </w:r>
      <w:r>
        <w:rPr>
          <w:rFonts w:ascii="宋体" w:eastAsia="宋体" w:hAnsi="Arial" w:cs="宋体" w:hint="eastAsia"/>
          <w:b/>
          <w:bCs/>
          <w:color w:val="000000"/>
          <w:kern w:val="0"/>
          <w:sz w:val="24"/>
          <w:szCs w:val="24"/>
        </w:rPr>
        <w:t>申购费率</w:t>
      </w:r>
    </w:p>
    <w:p w:rsidR="00794179" w:rsidRDefault="008A5524">
      <w:pPr>
        <w:autoSpaceDE w:val="0"/>
        <w:autoSpaceDN w:val="0"/>
        <w:spacing w:line="360" w:lineRule="auto"/>
        <w:ind w:left="15" w:firstLineChars="200" w:firstLine="480"/>
        <w:jc w:val="left"/>
        <w:outlineLvl w:val="2"/>
        <w:rPr>
          <w:sz w:val="24"/>
        </w:rPr>
      </w:pPr>
      <w:r>
        <w:rPr>
          <w:rFonts w:hint="eastAsia"/>
          <w:sz w:val="24"/>
        </w:rPr>
        <w:t>（</w:t>
      </w:r>
      <w:r>
        <w:rPr>
          <w:rFonts w:hint="eastAsia"/>
          <w:sz w:val="24"/>
        </w:rPr>
        <w:t>1</w:t>
      </w:r>
      <w:r>
        <w:rPr>
          <w:rFonts w:hint="eastAsia"/>
          <w:sz w:val="24"/>
        </w:rPr>
        <w:t>）申购费率</w:t>
      </w: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
        <w:gridCol w:w="2421"/>
        <w:gridCol w:w="2364"/>
        <w:gridCol w:w="1697"/>
      </w:tblGrid>
      <w:tr w:rsidR="00794179">
        <w:trPr>
          <w:trHeight w:val="64"/>
          <w:jc w:val="center"/>
        </w:trPr>
        <w:tc>
          <w:tcPr>
            <w:tcW w:w="1365" w:type="dxa"/>
            <w:vMerge w:val="restart"/>
            <w:vAlign w:val="center"/>
          </w:tcPr>
          <w:p w:rsidR="00794179" w:rsidRDefault="008A5524">
            <w:pPr>
              <w:widowControl/>
              <w:spacing w:line="360" w:lineRule="auto"/>
              <w:jc w:val="center"/>
              <w:rPr>
                <w:rFonts w:ascii="Times New Roman" w:eastAsiaTheme="majorEastAsia" w:hAnsi="Times New Roman"/>
                <w:bCs/>
                <w:szCs w:val="21"/>
              </w:rPr>
            </w:pPr>
            <w:r>
              <w:rPr>
                <w:rFonts w:ascii="Arial" w:hAnsi="Arial" w:cs="Arial" w:hint="eastAsia"/>
                <w:b/>
                <w:szCs w:val="21"/>
              </w:rPr>
              <w:t>申购费率</w:t>
            </w:r>
          </w:p>
        </w:tc>
        <w:tc>
          <w:tcPr>
            <w:tcW w:w="2421" w:type="dxa"/>
          </w:tcPr>
          <w:p w:rsidR="00794179" w:rsidRDefault="008A5524">
            <w:pPr>
              <w:widowControl/>
              <w:spacing w:line="360" w:lineRule="auto"/>
              <w:jc w:val="center"/>
              <w:rPr>
                <w:rFonts w:ascii="Times New Roman" w:eastAsiaTheme="majorEastAsia" w:hAnsi="Times New Roman"/>
                <w:kern w:val="0"/>
                <w:szCs w:val="21"/>
              </w:rPr>
            </w:pPr>
            <w:r>
              <w:rPr>
                <w:rFonts w:ascii="Arial" w:hAnsi="Arial" w:cs="Arial" w:hint="eastAsia"/>
                <w:b/>
                <w:bCs/>
                <w:kern w:val="0"/>
                <w:sz w:val="18"/>
                <w:szCs w:val="18"/>
              </w:rPr>
              <w:t>申购金额（</w:t>
            </w:r>
            <w:r>
              <w:rPr>
                <w:rFonts w:ascii="Arial" w:hAnsi="Arial" w:cs="Arial" w:hint="eastAsia"/>
                <w:b/>
                <w:bCs/>
                <w:kern w:val="0"/>
                <w:sz w:val="18"/>
                <w:szCs w:val="18"/>
              </w:rPr>
              <w:t>M</w:t>
            </w:r>
            <w:r>
              <w:rPr>
                <w:rFonts w:ascii="Arial" w:hAnsi="Arial" w:cs="Arial" w:hint="eastAsia"/>
                <w:b/>
                <w:bCs/>
                <w:kern w:val="0"/>
                <w:sz w:val="18"/>
                <w:szCs w:val="18"/>
              </w:rPr>
              <w:t>）</w:t>
            </w:r>
          </w:p>
        </w:tc>
        <w:tc>
          <w:tcPr>
            <w:tcW w:w="2364" w:type="dxa"/>
          </w:tcPr>
          <w:p w:rsidR="00794179" w:rsidRDefault="008A5524">
            <w:pPr>
              <w:pStyle w:val="af0"/>
              <w:tabs>
                <w:tab w:val="center" w:pos="1096"/>
                <w:tab w:val="right" w:pos="2193"/>
              </w:tabs>
              <w:ind w:firstLineChars="0" w:firstLine="0"/>
              <w:jc w:val="center"/>
              <w:rPr>
                <w:rFonts w:eastAsiaTheme="majorEastAsia"/>
                <w:b/>
                <w:color w:val="000000"/>
                <w:kern w:val="0"/>
                <w:sz w:val="21"/>
                <w:szCs w:val="21"/>
              </w:rPr>
            </w:pPr>
            <w:r>
              <w:rPr>
                <w:rFonts w:ascii="Arial" w:hAnsi="Arial" w:cs="Arial"/>
                <w:b/>
                <w:color w:val="000000"/>
                <w:kern w:val="0"/>
                <w:sz w:val="18"/>
                <w:szCs w:val="18"/>
              </w:rPr>
              <w:t>A</w:t>
            </w:r>
            <w:r>
              <w:rPr>
                <w:rFonts w:ascii="Arial" w:hAnsi="Arial" w:cs="Arial"/>
                <w:b/>
                <w:color w:val="000000"/>
                <w:kern w:val="0"/>
                <w:sz w:val="18"/>
                <w:szCs w:val="18"/>
              </w:rPr>
              <w:t>类基金份额</w:t>
            </w:r>
          </w:p>
        </w:tc>
        <w:tc>
          <w:tcPr>
            <w:tcW w:w="1697" w:type="dxa"/>
            <w:vAlign w:val="center"/>
          </w:tcPr>
          <w:p w:rsidR="00794179" w:rsidRDefault="008A5524">
            <w:pPr>
              <w:pStyle w:val="af0"/>
              <w:ind w:firstLineChars="0" w:firstLine="0"/>
              <w:jc w:val="center"/>
              <w:rPr>
                <w:rFonts w:eastAsiaTheme="majorEastAsia"/>
                <w:b/>
                <w:color w:val="000000"/>
                <w:kern w:val="0"/>
                <w:sz w:val="21"/>
                <w:szCs w:val="21"/>
              </w:rPr>
            </w:pPr>
            <w:r>
              <w:rPr>
                <w:rFonts w:ascii="Arial" w:hAnsi="Arial" w:cs="Arial"/>
                <w:b/>
                <w:color w:val="000000"/>
                <w:kern w:val="0"/>
                <w:sz w:val="18"/>
                <w:szCs w:val="18"/>
              </w:rPr>
              <w:t>C</w:t>
            </w:r>
            <w:r>
              <w:rPr>
                <w:rFonts w:ascii="Arial" w:hAnsi="Arial" w:cs="Arial"/>
                <w:b/>
                <w:color w:val="000000"/>
                <w:kern w:val="0"/>
                <w:sz w:val="18"/>
                <w:szCs w:val="18"/>
              </w:rPr>
              <w:t>类基金份额</w:t>
            </w:r>
          </w:p>
        </w:tc>
      </w:tr>
      <w:tr w:rsidR="00794179">
        <w:trPr>
          <w:trHeight w:val="64"/>
          <w:jc w:val="center"/>
        </w:trPr>
        <w:tc>
          <w:tcPr>
            <w:tcW w:w="1365" w:type="dxa"/>
            <w:vMerge/>
          </w:tcPr>
          <w:p w:rsidR="00794179" w:rsidRDefault="00794179">
            <w:pPr>
              <w:widowControl/>
              <w:spacing w:line="360" w:lineRule="auto"/>
              <w:jc w:val="center"/>
              <w:rPr>
                <w:rFonts w:ascii="Times New Roman" w:eastAsiaTheme="majorEastAsia" w:hAnsi="Times New Roman"/>
                <w:kern w:val="0"/>
                <w:szCs w:val="21"/>
              </w:rPr>
            </w:pPr>
          </w:p>
        </w:tc>
        <w:tc>
          <w:tcPr>
            <w:tcW w:w="2421" w:type="dxa"/>
            <w:vAlign w:val="center"/>
          </w:tcPr>
          <w:p w:rsidR="00794179" w:rsidRDefault="008A5524">
            <w:pPr>
              <w:widowControl/>
              <w:spacing w:line="360" w:lineRule="auto"/>
              <w:jc w:val="center"/>
              <w:rPr>
                <w:rFonts w:ascii="Times New Roman" w:eastAsiaTheme="majorEastAsia" w:hAnsi="Times New Roman"/>
                <w:color w:val="000000"/>
                <w:kern w:val="0"/>
                <w:szCs w:val="21"/>
              </w:rPr>
            </w:pP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100</w:t>
            </w:r>
            <w:r>
              <w:rPr>
                <w:rFonts w:ascii="Arial" w:hAnsi="Arial" w:cs="Arial" w:hint="eastAsia"/>
                <w:color w:val="000000"/>
                <w:kern w:val="0"/>
                <w:sz w:val="18"/>
                <w:szCs w:val="18"/>
              </w:rPr>
              <w:t>万元</w:t>
            </w:r>
          </w:p>
        </w:tc>
        <w:tc>
          <w:tcPr>
            <w:tcW w:w="2364" w:type="dxa"/>
            <w:vAlign w:val="center"/>
          </w:tcPr>
          <w:p w:rsidR="00794179" w:rsidRDefault="008A5524">
            <w:pPr>
              <w:widowControl/>
              <w:jc w:val="center"/>
              <w:rPr>
                <w:rFonts w:ascii="Times New Roman" w:eastAsiaTheme="majorEastAsia" w:hAnsi="Times New Roman"/>
                <w:color w:val="000000"/>
                <w:kern w:val="0"/>
                <w:szCs w:val="21"/>
              </w:rPr>
            </w:pPr>
            <w:r>
              <w:rPr>
                <w:rFonts w:ascii="Arial" w:hAnsi="Arial" w:cs="Arial" w:hint="eastAsia"/>
                <w:color w:val="000000"/>
                <w:kern w:val="0"/>
                <w:sz w:val="18"/>
                <w:szCs w:val="18"/>
              </w:rPr>
              <w:t>1.20</w:t>
            </w:r>
            <w:r>
              <w:rPr>
                <w:rFonts w:ascii="Arial" w:hAnsi="Arial" w:cs="Arial"/>
                <w:color w:val="000000"/>
                <w:kern w:val="0"/>
                <w:sz w:val="18"/>
                <w:szCs w:val="18"/>
              </w:rPr>
              <w:t>%</w:t>
            </w:r>
          </w:p>
        </w:tc>
        <w:tc>
          <w:tcPr>
            <w:tcW w:w="1697" w:type="dxa"/>
            <w:vMerge w:val="restart"/>
            <w:vAlign w:val="center"/>
          </w:tcPr>
          <w:p w:rsidR="00794179" w:rsidRDefault="008A5524">
            <w:pPr>
              <w:widowControl/>
              <w:spacing w:line="360" w:lineRule="auto"/>
              <w:jc w:val="center"/>
              <w:rPr>
                <w:rFonts w:ascii="Times New Roman" w:eastAsiaTheme="majorEastAsia" w:hAnsi="Times New Roman"/>
                <w:kern w:val="0"/>
                <w:szCs w:val="21"/>
              </w:rPr>
            </w:pPr>
            <w:r>
              <w:rPr>
                <w:rFonts w:ascii="Arial" w:hAnsi="Arial" w:cs="Arial"/>
                <w:kern w:val="0"/>
                <w:sz w:val="18"/>
                <w:szCs w:val="18"/>
              </w:rPr>
              <w:t>0%</w:t>
            </w:r>
          </w:p>
        </w:tc>
      </w:tr>
      <w:tr w:rsidR="00794179">
        <w:trPr>
          <w:trHeight w:val="64"/>
          <w:jc w:val="center"/>
        </w:trPr>
        <w:tc>
          <w:tcPr>
            <w:tcW w:w="1365" w:type="dxa"/>
            <w:vMerge/>
          </w:tcPr>
          <w:p w:rsidR="00794179" w:rsidRDefault="00794179">
            <w:pPr>
              <w:widowControl/>
              <w:spacing w:line="360" w:lineRule="auto"/>
              <w:jc w:val="center"/>
              <w:rPr>
                <w:rFonts w:ascii="Times New Roman" w:eastAsiaTheme="majorEastAsia" w:hAnsi="Times New Roman"/>
                <w:kern w:val="0"/>
                <w:szCs w:val="21"/>
              </w:rPr>
            </w:pPr>
          </w:p>
        </w:tc>
        <w:tc>
          <w:tcPr>
            <w:tcW w:w="2421" w:type="dxa"/>
            <w:vAlign w:val="center"/>
          </w:tcPr>
          <w:p w:rsidR="00794179" w:rsidRDefault="008A5524">
            <w:pPr>
              <w:widowControl/>
              <w:spacing w:line="360" w:lineRule="auto"/>
              <w:jc w:val="center"/>
              <w:rPr>
                <w:rFonts w:ascii="Times New Roman" w:eastAsiaTheme="majorEastAsia" w:hAnsi="Times New Roman"/>
                <w:color w:val="000000"/>
                <w:kern w:val="0"/>
                <w:szCs w:val="21"/>
              </w:rPr>
            </w:pPr>
            <w:r>
              <w:rPr>
                <w:rFonts w:ascii="Arial" w:hAnsi="Arial" w:cs="Arial" w:hint="eastAsia"/>
                <w:color w:val="000000"/>
                <w:kern w:val="0"/>
                <w:sz w:val="18"/>
                <w:szCs w:val="18"/>
              </w:rPr>
              <w:t>100</w:t>
            </w:r>
            <w:r>
              <w:rPr>
                <w:rFonts w:ascii="Arial" w:hAnsi="Arial" w:cs="Arial" w:hint="eastAsia"/>
                <w:color w:val="000000"/>
                <w:kern w:val="0"/>
                <w:sz w:val="18"/>
                <w:szCs w:val="18"/>
              </w:rPr>
              <w:t>万元≤</w:t>
            </w: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3</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364" w:type="dxa"/>
            <w:vAlign w:val="center"/>
          </w:tcPr>
          <w:p w:rsidR="00794179" w:rsidRDefault="008A5524">
            <w:pPr>
              <w:widowControl/>
              <w:jc w:val="center"/>
              <w:rPr>
                <w:rFonts w:ascii="Times New Roman" w:eastAsiaTheme="majorEastAsia" w:hAnsi="Times New Roman"/>
                <w:color w:val="000000"/>
                <w:kern w:val="0"/>
                <w:szCs w:val="21"/>
              </w:rPr>
            </w:pPr>
            <w:r>
              <w:rPr>
                <w:rFonts w:ascii="Arial" w:hAnsi="Arial" w:cs="Arial" w:hint="eastAsia"/>
                <w:color w:val="000000"/>
                <w:kern w:val="0"/>
                <w:sz w:val="18"/>
                <w:szCs w:val="18"/>
              </w:rPr>
              <w:t>0.80</w:t>
            </w:r>
            <w:r>
              <w:rPr>
                <w:rFonts w:ascii="Arial" w:hAnsi="Arial" w:cs="Arial"/>
                <w:color w:val="000000"/>
                <w:kern w:val="0"/>
                <w:sz w:val="18"/>
                <w:szCs w:val="18"/>
              </w:rPr>
              <w:t>%</w:t>
            </w:r>
          </w:p>
        </w:tc>
        <w:tc>
          <w:tcPr>
            <w:tcW w:w="1697" w:type="dxa"/>
            <w:vMerge/>
          </w:tcPr>
          <w:p w:rsidR="00794179" w:rsidRDefault="00794179">
            <w:pPr>
              <w:widowControl/>
              <w:spacing w:line="360" w:lineRule="auto"/>
              <w:jc w:val="center"/>
              <w:rPr>
                <w:rFonts w:ascii="Times New Roman" w:eastAsiaTheme="majorEastAsia" w:hAnsi="Times New Roman"/>
                <w:kern w:val="0"/>
                <w:szCs w:val="21"/>
              </w:rPr>
            </w:pPr>
          </w:p>
        </w:tc>
      </w:tr>
      <w:tr w:rsidR="00794179">
        <w:trPr>
          <w:trHeight w:val="341"/>
          <w:jc w:val="center"/>
        </w:trPr>
        <w:tc>
          <w:tcPr>
            <w:tcW w:w="1365" w:type="dxa"/>
            <w:vMerge/>
          </w:tcPr>
          <w:p w:rsidR="00794179" w:rsidRDefault="00794179">
            <w:pPr>
              <w:widowControl/>
              <w:spacing w:line="360" w:lineRule="auto"/>
              <w:jc w:val="center"/>
              <w:rPr>
                <w:rFonts w:ascii="Times New Roman" w:eastAsiaTheme="majorEastAsia" w:hAnsi="Times New Roman"/>
                <w:kern w:val="0"/>
                <w:szCs w:val="21"/>
              </w:rPr>
            </w:pPr>
          </w:p>
        </w:tc>
        <w:tc>
          <w:tcPr>
            <w:tcW w:w="2421" w:type="dxa"/>
            <w:vAlign w:val="center"/>
          </w:tcPr>
          <w:p w:rsidR="00794179" w:rsidRDefault="008A5524">
            <w:pPr>
              <w:widowControl/>
              <w:spacing w:line="360" w:lineRule="auto"/>
              <w:jc w:val="center"/>
              <w:rPr>
                <w:rFonts w:ascii="Times New Roman" w:eastAsiaTheme="majorEastAsia" w:hAnsi="Times New Roman"/>
                <w:color w:val="000000"/>
                <w:kern w:val="0"/>
                <w:szCs w:val="21"/>
              </w:rPr>
            </w:pPr>
            <w:r>
              <w:rPr>
                <w:rFonts w:ascii="Arial" w:hAnsi="Arial" w:cs="Arial" w:hint="eastAsia"/>
                <w:color w:val="000000"/>
                <w:kern w:val="0"/>
                <w:sz w:val="18"/>
                <w:szCs w:val="18"/>
              </w:rPr>
              <w:t>300</w:t>
            </w:r>
            <w:r>
              <w:rPr>
                <w:rFonts w:ascii="Arial" w:hAnsi="Arial" w:cs="Arial" w:hint="eastAsia"/>
                <w:color w:val="000000"/>
                <w:kern w:val="0"/>
                <w:sz w:val="18"/>
                <w:szCs w:val="18"/>
              </w:rPr>
              <w:t>万元≤</w:t>
            </w: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5</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364" w:type="dxa"/>
            <w:vAlign w:val="center"/>
          </w:tcPr>
          <w:p w:rsidR="00794179" w:rsidRDefault="008A5524">
            <w:pPr>
              <w:widowControl/>
              <w:jc w:val="center"/>
              <w:rPr>
                <w:rFonts w:ascii="Times New Roman" w:eastAsiaTheme="majorEastAsia" w:hAnsi="Times New Roman"/>
                <w:color w:val="000000"/>
                <w:kern w:val="0"/>
                <w:szCs w:val="21"/>
              </w:rPr>
            </w:pPr>
            <w:r>
              <w:rPr>
                <w:rFonts w:ascii="Arial" w:hAnsi="Arial" w:cs="Arial"/>
                <w:color w:val="000000"/>
                <w:kern w:val="0"/>
                <w:sz w:val="18"/>
                <w:szCs w:val="18"/>
              </w:rPr>
              <w:t>0.</w:t>
            </w:r>
            <w:r>
              <w:rPr>
                <w:rFonts w:ascii="Arial" w:hAnsi="Arial" w:cs="Arial" w:hint="eastAsia"/>
                <w:color w:val="000000"/>
                <w:kern w:val="0"/>
                <w:sz w:val="18"/>
                <w:szCs w:val="18"/>
              </w:rPr>
              <w:t>40</w:t>
            </w:r>
            <w:r>
              <w:rPr>
                <w:rFonts w:ascii="Arial" w:hAnsi="Arial" w:cs="Arial"/>
                <w:color w:val="000000"/>
                <w:kern w:val="0"/>
                <w:sz w:val="18"/>
                <w:szCs w:val="18"/>
              </w:rPr>
              <w:t>%</w:t>
            </w:r>
          </w:p>
        </w:tc>
        <w:tc>
          <w:tcPr>
            <w:tcW w:w="1697" w:type="dxa"/>
            <w:vMerge/>
          </w:tcPr>
          <w:p w:rsidR="00794179" w:rsidRDefault="00794179">
            <w:pPr>
              <w:widowControl/>
              <w:spacing w:line="360" w:lineRule="auto"/>
              <w:jc w:val="center"/>
              <w:rPr>
                <w:rFonts w:ascii="Times New Roman" w:eastAsiaTheme="majorEastAsia" w:hAnsi="Times New Roman"/>
                <w:kern w:val="0"/>
                <w:szCs w:val="21"/>
              </w:rPr>
            </w:pPr>
          </w:p>
        </w:tc>
      </w:tr>
      <w:tr w:rsidR="00794179">
        <w:trPr>
          <w:trHeight w:val="274"/>
          <w:jc w:val="center"/>
        </w:trPr>
        <w:tc>
          <w:tcPr>
            <w:tcW w:w="1365" w:type="dxa"/>
            <w:vMerge/>
          </w:tcPr>
          <w:p w:rsidR="00794179" w:rsidRDefault="00794179">
            <w:pPr>
              <w:spacing w:line="360" w:lineRule="auto"/>
              <w:jc w:val="center"/>
              <w:rPr>
                <w:rFonts w:ascii="Times New Roman" w:eastAsiaTheme="majorEastAsia" w:hAnsi="Times New Roman"/>
                <w:kern w:val="0"/>
                <w:szCs w:val="21"/>
              </w:rPr>
            </w:pPr>
          </w:p>
        </w:tc>
        <w:tc>
          <w:tcPr>
            <w:tcW w:w="2421" w:type="dxa"/>
            <w:vAlign w:val="center"/>
          </w:tcPr>
          <w:p w:rsidR="00794179" w:rsidRDefault="008A5524">
            <w:pPr>
              <w:spacing w:line="360" w:lineRule="auto"/>
              <w:jc w:val="center"/>
              <w:rPr>
                <w:rFonts w:ascii="Times New Roman" w:eastAsiaTheme="majorEastAsia" w:hAnsi="Times New Roman"/>
                <w:color w:val="000000"/>
                <w:kern w:val="0"/>
                <w:szCs w:val="21"/>
              </w:rPr>
            </w:pP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5</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364" w:type="dxa"/>
            <w:vAlign w:val="center"/>
          </w:tcPr>
          <w:p w:rsidR="00794179" w:rsidRDefault="008A5524">
            <w:pPr>
              <w:widowControl/>
              <w:jc w:val="center"/>
              <w:rPr>
                <w:rFonts w:ascii="Times New Roman" w:eastAsiaTheme="majorEastAsia" w:hAnsi="Times New Roman"/>
                <w:color w:val="000000"/>
                <w:kern w:val="0"/>
                <w:szCs w:val="21"/>
              </w:rPr>
            </w:pPr>
            <w:r>
              <w:rPr>
                <w:rFonts w:ascii="Arial" w:hAnsi="Arial" w:cs="Arial"/>
                <w:color w:val="000000"/>
                <w:kern w:val="0"/>
                <w:sz w:val="18"/>
                <w:szCs w:val="18"/>
              </w:rPr>
              <w:t>按笔收取，</w:t>
            </w:r>
            <w:r>
              <w:rPr>
                <w:rFonts w:ascii="Arial" w:hAnsi="Arial" w:cs="Arial"/>
                <w:color w:val="000000"/>
                <w:kern w:val="0"/>
                <w:sz w:val="18"/>
                <w:szCs w:val="18"/>
              </w:rPr>
              <w:t>1000</w:t>
            </w:r>
            <w:r>
              <w:rPr>
                <w:rFonts w:ascii="Arial" w:hAnsi="Arial" w:cs="Arial"/>
                <w:color w:val="000000"/>
                <w:kern w:val="0"/>
                <w:sz w:val="18"/>
                <w:szCs w:val="18"/>
              </w:rPr>
              <w:t>元</w:t>
            </w:r>
            <w:r>
              <w:rPr>
                <w:rFonts w:ascii="Arial" w:hAnsi="Arial" w:cs="Arial"/>
                <w:color w:val="000000"/>
                <w:kern w:val="0"/>
                <w:sz w:val="18"/>
                <w:szCs w:val="18"/>
              </w:rPr>
              <w:t>/</w:t>
            </w:r>
            <w:r>
              <w:rPr>
                <w:rFonts w:ascii="Arial" w:hAnsi="Arial" w:cs="Arial"/>
                <w:color w:val="000000"/>
                <w:kern w:val="0"/>
                <w:sz w:val="18"/>
                <w:szCs w:val="18"/>
              </w:rPr>
              <w:t>笔</w:t>
            </w:r>
          </w:p>
        </w:tc>
        <w:tc>
          <w:tcPr>
            <w:tcW w:w="1697" w:type="dxa"/>
            <w:vMerge/>
          </w:tcPr>
          <w:p w:rsidR="00794179" w:rsidRDefault="00794179">
            <w:pPr>
              <w:spacing w:line="360" w:lineRule="auto"/>
              <w:jc w:val="center"/>
              <w:rPr>
                <w:rFonts w:ascii="Times New Roman" w:eastAsiaTheme="majorEastAsia" w:hAnsi="Times New Roman"/>
                <w:kern w:val="0"/>
                <w:szCs w:val="21"/>
              </w:rPr>
            </w:pPr>
          </w:p>
        </w:tc>
      </w:tr>
    </w:tbl>
    <w:p w:rsidR="00794179" w:rsidRDefault="008A5524">
      <w:pPr>
        <w:autoSpaceDE w:val="0"/>
        <w:autoSpaceDN w:val="0"/>
        <w:spacing w:line="360" w:lineRule="auto"/>
        <w:ind w:firstLineChars="175" w:firstLine="420"/>
        <w:jc w:val="left"/>
        <w:outlineLvl w:val="1"/>
        <w:rPr>
          <w:rFonts w:ascii="Arial" w:hAnsi="Arial" w:cs="Arial"/>
          <w:bCs/>
          <w:sz w:val="24"/>
          <w:szCs w:val="24"/>
        </w:rPr>
      </w:pPr>
      <w:r>
        <w:rPr>
          <w:rFonts w:ascii="Arial" w:hAnsi="Arial" w:cs="Arial" w:hint="eastAsia"/>
          <w:bCs/>
          <w:sz w:val="24"/>
          <w:szCs w:val="24"/>
        </w:rPr>
        <w:t>本基金</w:t>
      </w:r>
      <w:r>
        <w:rPr>
          <w:rFonts w:ascii="Arial" w:hAnsi="Arial" w:cs="Arial" w:hint="eastAsia"/>
          <w:bCs/>
          <w:sz w:val="24"/>
          <w:szCs w:val="24"/>
        </w:rPr>
        <w:t>A</w:t>
      </w:r>
      <w:r>
        <w:rPr>
          <w:rFonts w:ascii="Arial" w:hAnsi="Arial" w:cs="Arial" w:hint="eastAsia"/>
          <w:bCs/>
          <w:sz w:val="24"/>
          <w:szCs w:val="24"/>
        </w:rPr>
        <w:t>类基金份额的申购费用由申购</w:t>
      </w:r>
      <w:r>
        <w:rPr>
          <w:rFonts w:ascii="Arial" w:hAnsi="Arial" w:cs="Arial" w:hint="eastAsia"/>
          <w:bCs/>
          <w:sz w:val="24"/>
          <w:szCs w:val="24"/>
        </w:rPr>
        <w:t>A</w:t>
      </w:r>
      <w:r>
        <w:rPr>
          <w:rFonts w:ascii="Arial" w:hAnsi="Arial" w:cs="Arial" w:hint="eastAsia"/>
          <w:bCs/>
          <w:sz w:val="24"/>
          <w:szCs w:val="24"/>
        </w:rPr>
        <w:t>类基金份额的投资人承担，不列入基金资产，申购费主要用于本基金的市场推广和销售、登记等各项费用。</w:t>
      </w:r>
      <w:r>
        <w:rPr>
          <w:rFonts w:ascii="Arial" w:hAnsi="Arial" w:cs="Arial" w:hint="eastAsia"/>
          <w:bCs/>
          <w:sz w:val="24"/>
          <w:szCs w:val="24"/>
        </w:rPr>
        <w:t>C</w:t>
      </w:r>
      <w:r>
        <w:rPr>
          <w:rFonts w:ascii="Arial" w:hAnsi="Arial" w:cs="Arial" w:hint="eastAsia"/>
          <w:bCs/>
          <w:sz w:val="24"/>
          <w:szCs w:val="24"/>
        </w:rPr>
        <w:t>类基金份额不收取申购费。</w:t>
      </w:r>
    </w:p>
    <w:p w:rsidR="00794179" w:rsidRDefault="008A5524">
      <w:pPr>
        <w:autoSpaceDE w:val="0"/>
        <w:autoSpaceDN w:val="0"/>
        <w:spacing w:line="360" w:lineRule="auto"/>
        <w:ind w:firstLineChars="175" w:firstLine="420"/>
        <w:jc w:val="left"/>
        <w:outlineLvl w:val="1"/>
        <w:rPr>
          <w:rFonts w:ascii="Arial" w:hAnsi="Arial" w:cs="Arial"/>
          <w:bCs/>
          <w:sz w:val="24"/>
          <w:szCs w:val="24"/>
        </w:rPr>
      </w:pPr>
      <w:r>
        <w:rPr>
          <w:rFonts w:ascii="Arial" w:hAnsi="Arial" w:cs="Arial" w:hint="eastAsia"/>
          <w:bCs/>
          <w:sz w:val="24"/>
          <w:szCs w:val="24"/>
        </w:rPr>
        <w:t>投资者在一天之内多次申购的，需按单一交易账户当日累计申购金额对应的费率计算申购费用。</w:t>
      </w: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3.3 </w:t>
      </w:r>
      <w:r>
        <w:rPr>
          <w:rFonts w:ascii="宋体" w:eastAsia="宋体" w:hAnsi="Arial" w:cs="宋体" w:hint="eastAsia"/>
          <w:b/>
          <w:bCs/>
          <w:color w:val="000000"/>
          <w:kern w:val="0"/>
          <w:sz w:val="24"/>
          <w:szCs w:val="24"/>
        </w:rPr>
        <w:t>其他与申购相关的事项</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）基金管理人可以在基金合同约定的范围内调整费率或收费方式，并最迟应于新的费率或收费方式实施日前依照《信息披露办法》的有关规定在规定媒介上公告。</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）机构投资者通过本公司直销中心开户并申购本基金，享受申购费率</w:t>
      </w:r>
      <w:r>
        <w:rPr>
          <w:rFonts w:ascii="Arial" w:hAnsi="Arial" w:cs="Arial" w:hint="eastAsia"/>
          <w:bCs/>
          <w:sz w:val="24"/>
          <w:szCs w:val="24"/>
        </w:rPr>
        <w:t>1</w:t>
      </w:r>
      <w:r>
        <w:rPr>
          <w:rFonts w:ascii="Arial" w:hAnsi="Arial" w:cs="Arial" w:hint="eastAsia"/>
          <w:bCs/>
          <w:sz w:val="24"/>
          <w:szCs w:val="24"/>
        </w:rPr>
        <w:t>折优惠，申购费率为固定金额的，按原费率执行，不再享有费率折扣。具体详见</w:t>
      </w:r>
      <w:r>
        <w:rPr>
          <w:rFonts w:ascii="Arial" w:hAnsi="Arial" w:cs="Arial" w:hint="eastAsia"/>
          <w:bCs/>
          <w:sz w:val="24"/>
          <w:szCs w:val="24"/>
        </w:rPr>
        <w:t>2018</w:t>
      </w:r>
      <w:r>
        <w:rPr>
          <w:rFonts w:ascii="Arial" w:hAnsi="Arial" w:cs="Arial" w:hint="eastAsia"/>
          <w:bCs/>
          <w:sz w:val="24"/>
          <w:szCs w:val="24"/>
        </w:rPr>
        <w:t>年</w:t>
      </w:r>
      <w:r>
        <w:rPr>
          <w:rFonts w:ascii="Arial" w:hAnsi="Arial" w:cs="Arial" w:hint="eastAsia"/>
          <w:bCs/>
          <w:sz w:val="24"/>
          <w:szCs w:val="24"/>
        </w:rPr>
        <w:t>4</w:t>
      </w:r>
      <w:r>
        <w:rPr>
          <w:rFonts w:ascii="Arial" w:hAnsi="Arial" w:cs="Arial" w:hint="eastAsia"/>
          <w:bCs/>
          <w:sz w:val="24"/>
          <w:szCs w:val="24"/>
        </w:rPr>
        <w:t>月</w:t>
      </w:r>
      <w:r>
        <w:rPr>
          <w:rFonts w:ascii="Arial" w:hAnsi="Arial" w:cs="Arial" w:hint="eastAsia"/>
          <w:bCs/>
          <w:sz w:val="24"/>
          <w:szCs w:val="24"/>
        </w:rPr>
        <w:t>17</w:t>
      </w:r>
      <w:r>
        <w:rPr>
          <w:rFonts w:ascii="Arial" w:hAnsi="Arial" w:cs="Arial" w:hint="eastAsia"/>
          <w:bCs/>
          <w:sz w:val="24"/>
          <w:szCs w:val="24"/>
        </w:rPr>
        <w:t>日刊登的《国寿安保基金管理有限公司关于旗下基金开展直销费率优惠活动的公告》。</w:t>
      </w:r>
    </w:p>
    <w:p w:rsidR="00794179" w:rsidRDefault="008A5524">
      <w:pPr>
        <w:adjustRightInd w:val="0"/>
        <w:snapToGrid w:val="0"/>
        <w:spacing w:line="360" w:lineRule="auto"/>
        <w:ind w:firstLineChars="200" w:firstLine="480"/>
        <w:jc w:val="left"/>
        <w:rPr>
          <w:rFonts w:ascii="Arial" w:hAnsi="Arial" w:cs="Arial"/>
          <w:bCs/>
          <w:sz w:val="24"/>
          <w:szCs w:val="24"/>
        </w:rPr>
      </w:pPr>
      <w:r>
        <w:rPr>
          <w:rFonts w:ascii="Arial" w:hAnsi="Arial" w:cs="Arial" w:hint="eastAsia"/>
          <w:bCs/>
          <w:sz w:val="24"/>
          <w:szCs w:val="24"/>
        </w:rPr>
        <w:t>（</w:t>
      </w:r>
      <w:r>
        <w:rPr>
          <w:rFonts w:ascii="Arial" w:hAnsi="Arial" w:cs="Arial"/>
          <w:bCs/>
          <w:sz w:val="24"/>
          <w:szCs w:val="24"/>
        </w:rPr>
        <w:t>3</w:t>
      </w:r>
      <w:r>
        <w:rPr>
          <w:rFonts w:ascii="Arial" w:hAnsi="Arial" w:cs="Arial" w:hint="eastAsia"/>
          <w:bCs/>
          <w:sz w:val="24"/>
          <w:szCs w:val="24"/>
        </w:rPr>
        <w:t>）当本基金发生大额申购情形时，基金管理人可以采用摆动定价机制，以确保基金估值的公平性。具体处理原则与操作规范遵循相关法律法规以及监管部门、自律规则的规定。</w:t>
      </w:r>
    </w:p>
    <w:p w:rsidR="00794179" w:rsidRDefault="008A5524">
      <w:pPr>
        <w:adjustRightInd w:val="0"/>
        <w:snapToGrid w:val="0"/>
        <w:spacing w:line="360" w:lineRule="auto"/>
        <w:ind w:firstLineChars="200" w:firstLine="480"/>
        <w:jc w:val="left"/>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4</w:t>
      </w:r>
      <w:r>
        <w:rPr>
          <w:rFonts w:ascii="Arial" w:hAnsi="Arial" w:cs="Arial" w:hint="eastAsia"/>
          <w:bCs/>
          <w:sz w:val="24"/>
          <w:szCs w:val="24"/>
        </w:rPr>
        <w:t>）</w:t>
      </w:r>
      <w:r>
        <w:rPr>
          <w:rFonts w:ascii="Arial" w:hAnsi="Arial" w:cs="Arial" w:hint="eastAsia"/>
          <w:bCs/>
          <w:sz w:val="24"/>
          <w:szCs w:val="24"/>
        </w:rPr>
        <w:t>基金管理人可以在不违反法律法规规定及基金合同约定的情形下，且对基金份额持有人利益无实质性不利影响的前提下，根据市场</w:t>
      </w:r>
      <w:r>
        <w:rPr>
          <w:rFonts w:ascii="Arial" w:hAnsi="Arial" w:cs="Arial" w:hint="eastAsia"/>
          <w:bCs/>
          <w:sz w:val="24"/>
          <w:szCs w:val="24"/>
        </w:rPr>
        <w:t>情况制定基金促销计划，定期或不定期地开展基金促销活动。在基金促销活动期间，按相关监管部门要求履行必要手续后，基金管理人可以适当调低基金的申购费率和销售服务费率。</w:t>
      </w:r>
    </w:p>
    <w:p w:rsidR="00794179" w:rsidRDefault="008A5524">
      <w:pPr>
        <w:autoSpaceDE w:val="0"/>
        <w:autoSpaceDN w:val="0"/>
        <w:spacing w:line="360" w:lineRule="auto"/>
        <w:ind w:left="15"/>
        <w:jc w:val="left"/>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 </w:t>
      </w:r>
      <w:r>
        <w:rPr>
          <w:rFonts w:ascii="宋体" w:eastAsia="宋体" w:hAnsi="Arial" w:cs="宋体" w:hint="eastAsia"/>
          <w:b/>
          <w:bCs/>
          <w:color w:val="000000"/>
          <w:kern w:val="0"/>
          <w:sz w:val="24"/>
          <w:szCs w:val="24"/>
        </w:rPr>
        <w:t>、日常赎回业务</w:t>
      </w: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4.1 </w:t>
      </w:r>
      <w:r>
        <w:rPr>
          <w:rFonts w:ascii="宋体" w:eastAsia="宋体" w:hAnsi="Arial" w:cs="宋体" w:hint="eastAsia"/>
          <w:b/>
          <w:bCs/>
          <w:color w:val="000000"/>
          <w:kern w:val="0"/>
          <w:sz w:val="24"/>
          <w:szCs w:val="24"/>
        </w:rPr>
        <w:t>赎回份额限制</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）基金份额持有人在销售机构赎回基金份额时，每次赎回申请不得低于</w:t>
      </w:r>
      <w:r>
        <w:rPr>
          <w:rFonts w:ascii="Arial" w:hAnsi="Arial" w:cs="Arial" w:hint="eastAsia"/>
          <w:bCs/>
          <w:sz w:val="24"/>
          <w:szCs w:val="24"/>
        </w:rPr>
        <w:t>1</w:t>
      </w:r>
      <w:r>
        <w:rPr>
          <w:rFonts w:ascii="Arial" w:hAnsi="Arial" w:cs="Arial" w:hint="eastAsia"/>
          <w:bCs/>
          <w:sz w:val="24"/>
          <w:szCs w:val="24"/>
        </w:rPr>
        <w:t>份基金份额。基金份额持有人赎回时或赎回后在某一销售机构（网点）的某一交易账户内保留的基金份额余额不足</w:t>
      </w:r>
      <w:r>
        <w:rPr>
          <w:rFonts w:ascii="Arial" w:hAnsi="Arial" w:cs="Arial" w:hint="eastAsia"/>
          <w:bCs/>
          <w:sz w:val="24"/>
          <w:szCs w:val="24"/>
        </w:rPr>
        <w:t>1</w:t>
      </w:r>
      <w:r>
        <w:rPr>
          <w:rFonts w:ascii="Arial" w:hAnsi="Arial" w:cs="Arial" w:hint="eastAsia"/>
          <w:bCs/>
          <w:sz w:val="24"/>
          <w:szCs w:val="24"/>
        </w:rPr>
        <w:t>份的，在赎回时需一次全部赎回。但各销售机构对交易账户最低份额余额有其他规定的，以各销售机构的业务规定为准。</w:t>
      </w:r>
    </w:p>
    <w:p w:rsidR="00794179" w:rsidRDefault="008A5524">
      <w:pPr>
        <w:adjustRightInd w:val="0"/>
        <w:snapToGrid w:val="0"/>
        <w:spacing w:line="360" w:lineRule="auto"/>
        <w:ind w:firstLineChars="200" w:firstLine="480"/>
        <w:outlineLvl w:val="1"/>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）基金管理人可在法律法规允许的情况下，调整上述规定赎回份额和最低基金份额保留余额等数量限制。基金管理人必须在调整实施前依照《信息披露办法》的有关规定在规定媒介上公告。</w:t>
      </w:r>
    </w:p>
    <w:p w:rsidR="00794179" w:rsidRDefault="008A5524">
      <w:pPr>
        <w:adjustRightInd w:val="0"/>
        <w:snapToGrid w:val="0"/>
        <w:spacing w:line="360" w:lineRule="auto"/>
        <w:ind w:firstLineChars="200" w:firstLine="482"/>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4.2 </w:t>
      </w:r>
      <w:r>
        <w:rPr>
          <w:rFonts w:ascii="宋体" w:eastAsia="宋体" w:hAnsi="Arial" w:cs="宋体" w:hint="eastAsia"/>
          <w:b/>
          <w:bCs/>
          <w:color w:val="000000"/>
          <w:kern w:val="0"/>
          <w:sz w:val="24"/>
          <w:szCs w:val="24"/>
        </w:rPr>
        <w:t>赎回费率</w:t>
      </w:r>
    </w:p>
    <w:tbl>
      <w:tblPr>
        <w:tblW w:w="8637" w:type="dxa"/>
        <w:jc w:val="center"/>
        <w:tblBorders>
          <w:insideH w:val="outset" w:sz="6" w:space="0" w:color="auto"/>
          <w:insideV w:val="outset" w:sz="6" w:space="0" w:color="auto"/>
        </w:tblBorders>
        <w:tblCellMar>
          <w:top w:w="15" w:type="dxa"/>
          <w:left w:w="15" w:type="dxa"/>
          <w:bottom w:w="15" w:type="dxa"/>
          <w:right w:w="15" w:type="dxa"/>
        </w:tblCellMar>
        <w:tblLook w:val="04A0"/>
      </w:tblPr>
      <w:tblGrid>
        <w:gridCol w:w="1477"/>
        <w:gridCol w:w="2636"/>
        <w:gridCol w:w="2624"/>
        <w:gridCol w:w="1900"/>
      </w:tblGrid>
      <w:tr w:rsidR="00794179">
        <w:trPr>
          <w:trHeight w:val="64"/>
          <w:jc w:val="center"/>
        </w:trPr>
        <w:tc>
          <w:tcPr>
            <w:tcW w:w="13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420" w:lineRule="atLeast"/>
              <w:jc w:val="center"/>
              <w:rPr>
                <w:sz w:val="18"/>
                <w:szCs w:val="18"/>
              </w:rPr>
            </w:pPr>
            <w:r>
              <w:rPr>
                <w:rFonts w:ascii="Arial" w:hAnsi="Arial" w:cs="Arial" w:hint="eastAsia"/>
                <w:b/>
                <w:sz w:val="18"/>
                <w:szCs w:val="18"/>
                <w:lang/>
              </w:rPr>
              <w:t>赎回费率</w:t>
            </w:r>
          </w:p>
        </w:tc>
        <w:tc>
          <w:tcPr>
            <w:tcW w:w="2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94179" w:rsidRDefault="008A5524">
            <w:pPr>
              <w:widowControl/>
              <w:spacing w:line="360" w:lineRule="auto"/>
              <w:jc w:val="center"/>
              <w:rPr>
                <w:rFonts w:ascii="Arial" w:hAnsi="Arial" w:cs="Arial"/>
                <w:b/>
                <w:bCs/>
                <w:kern w:val="0"/>
                <w:sz w:val="18"/>
                <w:szCs w:val="18"/>
              </w:rPr>
            </w:pPr>
            <w:r>
              <w:rPr>
                <w:rFonts w:ascii="Arial" w:hAnsi="Arial" w:cs="Arial" w:hint="eastAsia"/>
                <w:b/>
                <w:bCs/>
                <w:kern w:val="0"/>
                <w:sz w:val="18"/>
                <w:szCs w:val="18"/>
                <w:lang/>
              </w:rPr>
              <w:t>持有期限（</w:t>
            </w:r>
            <w:r>
              <w:rPr>
                <w:rFonts w:ascii="Arial" w:hAnsi="Arial" w:cs="Arial" w:hint="eastAsia"/>
                <w:b/>
                <w:bCs/>
                <w:kern w:val="0"/>
                <w:sz w:val="18"/>
                <w:szCs w:val="18"/>
                <w:lang/>
              </w:rPr>
              <w:t>Y</w:t>
            </w:r>
            <w:r>
              <w:rPr>
                <w:rFonts w:ascii="Arial" w:hAnsi="Arial" w:cs="Arial" w:hint="eastAsia"/>
                <w:b/>
                <w:bCs/>
                <w:kern w:val="0"/>
                <w:sz w:val="18"/>
                <w:szCs w:val="18"/>
                <w:lang/>
              </w:rPr>
              <w:t>）</w:t>
            </w:r>
          </w:p>
        </w:tc>
        <w:tc>
          <w:tcPr>
            <w:tcW w:w="2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4179" w:rsidRDefault="008A5524">
            <w:pPr>
              <w:spacing w:line="360" w:lineRule="auto"/>
              <w:jc w:val="center"/>
              <w:rPr>
                <w:rFonts w:ascii="Arial" w:hAnsi="Arial" w:cs="Arial"/>
                <w:b/>
                <w:bCs/>
                <w:kern w:val="0"/>
                <w:sz w:val="18"/>
                <w:szCs w:val="18"/>
              </w:rPr>
            </w:pPr>
            <w:r>
              <w:rPr>
                <w:rFonts w:ascii="Arial" w:hAnsi="Arial" w:cs="Arial" w:hint="eastAsia"/>
                <w:b/>
                <w:bCs/>
                <w:kern w:val="0"/>
                <w:sz w:val="18"/>
                <w:szCs w:val="18"/>
              </w:rPr>
              <w:t>A</w:t>
            </w:r>
            <w:r>
              <w:rPr>
                <w:rFonts w:ascii="Arial" w:hAnsi="Arial" w:cs="Arial" w:hint="eastAsia"/>
                <w:b/>
                <w:bCs/>
                <w:kern w:val="0"/>
                <w:sz w:val="18"/>
                <w:szCs w:val="18"/>
              </w:rPr>
              <w:t>类基金份额</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4179" w:rsidRDefault="008A5524">
            <w:pPr>
              <w:spacing w:line="360" w:lineRule="auto"/>
              <w:jc w:val="center"/>
              <w:rPr>
                <w:rFonts w:ascii="Arial" w:hAnsi="Arial" w:cs="Arial"/>
                <w:b/>
                <w:bCs/>
                <w:kern w:val="0"/>
                <w:sz w:val="18"/>
                <w:szCs w:val="18"/>
              </w:rPr>
            </w:pPr>
            <w:r>
              <w:rPr>
                <w:rFonts w:ascii="Arial" w:hAnsi="Arial" w:cs="Arial" w:hint="eastAsia"/>
                <w:b/>
                <w:bCs/>
                <w:kern w:val="0"/>
                <w:sz w:val="18"/>
                <w:szCs w:val="18"/>
              </w:rPr>
              <w:t>C</w:t>
            </w:r>
            <w:r>
              <w:rPr>
                <w:rFonts w:ascii="Arial" w:hAnsi="Arial" w:cs="Arial" w:hint="eastAsia"/>
                <w:b/>
                <w:bCs/>
                <w:kern w:val="0"/>
                <w:sz w:val="18"/>
                <w:szCs w:val="18"/>
              </w:rPr>
              <w:t>类基金份额</w:t>
            </w:r>
          </w:p>
        </w:tc>
      </w:tr>
      <w:tr w:rsidR="00794179">
        <w:trPr>
          <w:trHeight w:val="64"/>
          <w:jc w:val="center"/>
        </w:trPr>
        <w:tc>
          <w:tcPr>
            <w:tcW w:w="13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4179" w:rsidRDefault="00794179">
            <w:pPr>
              <w:rPr>
                <w:rFonts w:ascii="宋体"/>
                <w:sz w:val="18"/>
                <w:szCs w:val="18"/>
              </w:rPr>
            </w:pP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360" w:lineRule="auto"/>
              <w:jc w:val="center"/>
              <w:rPr>
                <w:rFonts w:ascii="Arial" w:hAnsi="Arial" w:cs="Arial"/>
                <w:color w:val="000000"/>
                <w:kern w:val="0"/>
                <w:sz w:val="18"/>
                <w:szCs w:val="18"/>
              </w:rPr>
            </w:pPr>
            <w:r>
              <w:rPr>
                <w:rFonts w:ascii="Arial" w:hAnsi="Arial" w:cs="Arial"/>
                <w:color w:val="000000"/>
                <w:kern w:val="0"/>
                <w:sz w:val="18"/>
                <w:szCs w:val="18"/>
                <w:lang/>
              </w:rPr>
              <w:t>Y &lt; 7</w:t>
            </w:r>
            <w:r>
              <w:rPr>
                <w:rFonts w:ascii="Arial" w:hAnsi="Arial" w:cs="Arial"/>
                <w:color w:val="000000"/>
                <w:kern w:val="0"/>
                <w:sz w:val="18"/>
                <w:szCs w:val="18"/>
                <w:lang/>
              </w:rPr>
              <w:t>日</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360" w:lineRule="auto"/>
              <w:jc w:val="center"/>
              <w:rPr>
                <w:rFonts w:ascii="Arial" w:hAnsi="Arial" w:cs="Arial"/>
                <w:color w:val="000000"/>
                <w:kern w:val="0"/>
                <w:sz w:val="18"/>
                <w:szCs w:val="18"/>
              </w:rPr>
            </w:pPr>
            <w:r>
              <w:rPr>
                <w:rFonts w:ascii="Arial" w:hAnsi="Arial" w:cs="Arial"/>
                <w:color w:val="000000"/>
                <w:kern w:val="0"/>
                <w:sz w:val="18"/>
                <w:szCs w:val="18"/>
                <w:lang/>
              </w:rPr>
              <w:t>1.5%</w:t>
            </w:r>
          </w:p>
        </w:tc>
        <w:tc>
          <w:tcPr>
            <w:tcW w:w="1747" w:type="dxa"/>
            <w:tcBorders>
              <w:top w:val="nil"/>
              <w:left w:val="nil"/>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360" w:lineRule="auto"/>
              <w:jc w:val="center"/>
              <w:rPr>
                <w:sz w:val="18"/>
                <w:szCs w:val="18"/>
              </w:rPr>
            </w:pPr>
            <w:r>
              <w:rPr>
                <w:rFonts w:ascii="Arial" w:hAnsi="Arial" w:cs="Arial"/>
                <w:color w:val="000000"/>
                <w:kern w:val="0"/>
                <w:sz w:val="18"/>
                <w:szCs w:val="18"/>
                <w:lang/>
              </w:rPr>
              <w:t>1.50%</w:t>
            </w:r>
          </w:p>
        </w:tc>
      </w:tr>
      <w:tr w:rsidR="00794179">
        <w:trPr>
          <w:trHeight w:val="64"/>
          <w:jc w:val="center"/>
        </w:trPr>
        <w:tc>
          <w:tcPr>
            <w:tcW w:w="13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4179" w:rsidRDefault="00794179">
            <w:pPr>
              <w:rPr>
                <w:rFonts w:ascii="宋体"/>
                <w:sz w:val="18"/>
                <w:szCs w:val="18"/>
              </w:rPr>
            </w:pP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360" w:lineRule="auto"/>
              <w:jc w:val="center"/>
              <w:rPr>
                <w:rFonts w:ascii="Arial" w:hAnsi="Arial" w:cs="Arial"/>
                <w:color w:val="000000"/>
                <w:kern w:val="0"/>
                <w:sz w:val="18"/>
                <w:szCs w:val="18"/>
              </w:rPr>
            </w:pPr>
            <w:r>
              <w:rPr>
                <w:rFonts w:ascii="Arial" w:hAnsi="Arial" w:cs="Arial"/>
                <w:color w:val="000000"/>
                <w:kern w:val="0"/>
                <w:sz w:val="18"/>
                <w:szCs w:val="18"/>
                <w:lang/>
              </w:rPr>
              <w:t>Y ≥ </w:t>
            </w:r>
            <w:r>
              <w:rPr>
                <w:rFonts w:ascii="Arial" w:hAnsi="Arial" w:cs="Arial" w:hint="eastAsia"/>
                <w:color w:val="000000"/>
                <w:kern w:val="0"/>
                <w:sz w:val="18"/>
                <w:szCs w:val="18"/>
                <w:lang/>
              </w:rPr>
              <w:t>7</w:t>
            </w:r>
            <w:r>
              <w:rPr>
                <w:rFonts w:ascii="Arial" w:hAnsi="Arial" w:cs="Arial"/>
                <w:color w:val="000000"/>
                <w:kern w:val="0"/>
                <w:sz w:val="18"/>
                <w:szCs w:val="18"/>
                <w:lang/>
              </w:rPr>
              <w:t>日</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tcPr>
          <w:p w:rsidR="00794179" w:rsidRDefault="008A5524">
            <w:pPr>
              <w:widowControl/>
              <w:spacing w:line="360" w:lineRule="auto"/>
              <w:jc w:val="center"/>
              <w:rPr>
                <w:rFonts w:ascii="Arial" w:hAnsi="Arial" w:cs="Arial"/>
                <w:color w:val="000000"/>
                <w:kern w:val="0"/>
                <w:sz w:val="18"/>
                <w:szCs w:val="18"/>
              </w:rPr>
            </w:pPr>
            <w:r>
              <w:rPr>
                <w:rFonts w:ascii="Arial" w:hAnsi="Arial" w:cs="Arial"/>
                <w:color w:val="000000"/>
                <w:kern w:val="0"/>
                <w:sz w:val="18"/>
                <w:szCs w:val="18"/>
                <w:lang/>
              </w:rPr>
              <w:t>0</w:t>
            </w:r>
          </w:p>
        </w:tc>
        <w:tc>
          <w:tcPr>
            <w:tcW w:w="1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94179" w:rsidRDefault="008A5524">
            <w:pPr>
              <w:jc w:val="center"/>
              <w:rPr>
                <w:rFonts w:ascii="宋体"/>
                <w:sz w:val="18"/>
                <w:szCs w:val="18"/>
              </w:rPr>
            </w:pPr>
            <w:r>
              <w:rPr>
                <w:rFonts w:ascii="Arial" w:hAnsi="Arial" w:cs="Arial"/>
                <w:color w:val="000000"/>
                <w:kern w:val="0"/>
                <w:sz w:val="18"/>
                <w:szCs w:val="18"/>
                <w:lang/>
              </w:rPr>
              <w:t>0</w:t>
            </w:r>
          </w:p>
        </w:tc>
      </w:tr>
    </w:tbl>
    <w:p w:rsidR="00794179" w:rsidRDefault="008A5524" w:rsidP="008A5524">
      <w:pPr>
        <w:adjustRightInd w:val="0"/>
        <w:snapToGrid w:val="0"/>
        <w:spacing w:beforeLines="50" w:line="360" w:lineRule="auto"/>
        <w:ind w:firstLineChars="200" w:firstLine="480"/>
        <w:rPr>
          <w:rFonts w:ascii="Arial" w:hAnsi="Arial" w:cs="Arial"/>
          <w:szCs w:val="21"/>
        </w:rPr>
      </w:pPr>
      <w:r>
        <w:rPr>
          <w:rFonts w:ascii="Arial" w:hAnsi="Arial" w:cs="Arial" w:hint="eastAsia"/>
          <w:bCs/>
          <w:sz w:val="24"/>
          <w:szCs w:val="24"/>
        </w:rPr>
        <w:t>赎回费用由赎回基金份额的基金份额持有人承担，在基金份额持有人赎回基金份额时收取。对于持续持有期间少于</w:t>
      </w:r>
      <w:r>
        <w:rPr>
          <w:rFonts w:ascii="Arial" w:hAnsi="Arial" w:cs="Arial" w:hint="eastAsia"/>
          <w:bCs/>
          <w:sz w:val="24"/>
          <w:szCs w:val="24"/>
        </w:rPr>
        <w:t>7</w:t>
      </w:r>
      <w:r>
        <w:rPr>
          <w:rFonts w:ascii="Arial" w:hAnsi="Arial" w:cs="Arial" w:hint="eastAsia"/>
          <w:bCs/>
          <w:sz w:val="24"/>
          <w:szCs w:val="24"/>
        </w:rPr>
        <w:t>日的投资者收取的赎回费全额计入基金财产。</w:t>
      </w: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4.3 </w:t>
      </w:r>
      <w:r>
        <w:rPr>
          <w:rFonts w:ascii="宋体" w:eastAsia="宋体" w:hAnsi="Arial" w:cs="宋体" w:hint="eastAsia"/>
          <w:b/>
          <w:bCs/>
          <w:color w:val="000000"/>
          <w:kern w:val="0"/>
          <w:sz w:val="24"/>
          <w:szCs w:val="24"/>
        </w:rPr>
        <w:t>其他与赎回相关的事项</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）基金管理人可以在基金合同约定的范围内调整费率或收费方式，并最迟应于新的费率或收费方式实施日前依照《信息披露办法》的有关规定在规定媒介上公告。</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）当本基金发生大额赎回情形时，基金管理人可以采用摆动定价机制，以确保基金估值的公平性。具体处理原则与操作规范遵循相关法律法规以及监管部门、自律规则的规定。</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3</w:t>
      </w:r>
      <w:r>
        <w:rPr>
          <w:rFonts w:ascii="Arial" w:hAnsi="Arial" w:cs="Arial" w:hint="eastAsia"/>
          <w:bCs/>
          <w:sz w:val="24"/>
          <w:szCs w:val="24"/>
        </w:rPr>
        <w:t>）基金管理人可以在不违反法律法规规定及基金合同约定的情形下，且对基金份额持有人利益无实质性不利影响的前提下，根据市场情况制定基金促销计划，定期或不定期地开展基金促销活动。在基金促销活动期间，按相关监管</w:t>
      </w:r>
      <w:r>
        <w:rPr>
          <w:rFonts w:ascii="Arial" w:hAnsi="Arial" w:cs="Arial" w:hint="eastAsia"/>
          <w:bCs/>
          <w:sz w:val="24"/>
          <w:szCs w:val="24"/>
        </w:rPr>
        <w:t>部门要求履行必要手续后，基金管理人可以适当调低基金的赎回费率和销售服务费率。</w:t>
      </w:r>
    </w:p>
    <w:p w:rsidR="00794179" w:rsidRDefault="008A5524">
      <w:pPr>
        <w:autoSpaceDE w:val="0"/>
        <w:autoSpaceDN w:val="0"/>
        <w:spacing w:line="360" w:lineRule="auto"/>
        <w:ind w:left="15"/>
        <w:jc w:val="left"/>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 </w:t>
      </w:r>
      <w:r>
        <w:rPr>
          <w:rFonts w:ascii="宋体" w:eastAsia="宋体" w:hAnsi="Arial" w:cs="宋体" w:hint="eastAsia"/>
          <w:b/>
          <w:bCs/>
          <w:color w:val="000000"/>
          <w:kern w:val="0"/>
          <w:sz w:val="24"/>
          <w:szCs w:val="24"/>
        </w:rPr>
        <w:t>、日常转换业务</w:t>
      </w:r>
    </w:p>
    <w:p w:rsidR="00794179" w:rsidRDefault="008A5524">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5.1 </w:t>
      </w:r>
      <w:r>
        <w:rPr>
          <w:rFonts w:ascii="宋体" w:eastAsia="宋体" w:hAnsi="Arial" w:cs="宋体" w:hint="eastAsia"/>
          <w:b/>
          <w:bCs/>
          <w:color w:val="000000"/>
          <w:kern w:val="0"/>
          <w:sz w:val="24"/>
          <w:szCs w:val="24"/>
        </w:rPr>
        <w:t>转换费率</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w:t>
      </w:r>
      <w:r>
        <w:rPr>
          <w:rFonts w:ascii="Times New Roman" w:hAnsi="Times New Roman" w:hint="eastAsia"/>
          <w:bCs/>
          <w:kern w:val="0"/>
          <w:sz w:val="24"/>
          <w:szCs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w:t>
      </w:r>
      <w:r>
        <w:rPr>
          <w:rFonts w:hint="eastAsia"/>
          <w:bCs/>
          <w:sz w:val="24"/>
          <w:szCs w:val="20"/>
        </w:rPr>
        <w:t>投资者通过</w:t>
      </w:r>
      <w:r>
        <w:rPr>
          <w:rFonts w:ascii="Arial" w:hAnsi="Arial" w:cs="Arial" w:hint="eastAsia"/>
          <w:bCs/>
          <w:sz w:val="24"/>
          <w:szCs w:val="24"/>
        </w:rPr>
        <w:t>本公司直销机构（包括直销中心和网上直销交易系统）</w:t>
      </w:r>
      <w:r>
        <w:rPr>
          <w:rFonts w:hint="eastAsia"/>
          <w:bCs/>
          <w:sz w:val="24"/>
          <w:szCs w:val="20"/>
        </w:rPr>
        <w:t>办理本基金转换业务时，基金转换费用的计算将按照本公司于</w:t>
      </w:r>
      <w:r>
        <w:rPr>
          <w:bCs/>
          <w:sz w:val="24"/>
          <w:szCs w:val="20"/>
        </w:rPr>
        <w:t>2014</w:t>
      </w:r>
      <w:r>
        <w:rPr>
          <w:rFonts w:hint="eastAsia"/>
          <w:bCs/>
          <w:sz w:val="24"/>
          <w:szCs w:val="20"/>
        </w:rPr>
        <w:t>年</w:t>
      </w:r>
      <w:r>
        <w:rPr>
          <w:bCs/>
          <w:sz w:val="24"/>
          <w:szCs w:val="20"/>
        </w:rPr>
        <w:t>8</w:t>
      </w:r>
      <w:r>
        <w:rPr>
          <w:rFonts w:hint="eastAsia"/>
          <w:bCs/>
          <w:sz w:val="24"/>
          <w:szCs w:val="20"/>
        </w:rPr>
        <w:t>月</w:t>
      </w:r>
      <w:r>
        <w:rPr>
          <w:bCs/>
          <w:sz w:val="24"/>
          <w:szCs w:val="20"/>
        </w:rPr>
        <w:t>5</w:t>
      </w:r>
      <w:r>
        <w:rPr>
          <w:rFonts w:hint="eastAsia"/>
          <w:bCs/>
          <w:sz w:val="24"/>
          <w:szCs w:val="20"/>
        </w:rPr>
        <w:t>日刊登的《国寿安保基金管理有限公司关于直销机构开通旗下部分基金转换业务的公告》及</w:t>
      </w:r>
      <w:r>
        <w:rPr>
          <w:bCs/>
          <w:sz w:val="24"/>
          <w:szCs w:val="20"/>
        </w:rPr>
        <w:t>2018</w:t>
      </w:r>
      <w:r>
        <w:rPr>
          <w:rFonts w:hint="eastAsia"/>
          <w:bCs/>
          <w:sz w:val="24"/>
          <w:szCs w:val="20"/>
        </w:rPr>
        <w:t>年</w:t>
      </w:r>
      <w:r>
        <w:rPr>
          <w:rFonts w:hint="eastAsia"/>
          <w:bCs/>
          <w:sz w:val="24"/>
          <w:szCs w:val="20"/>
        </w:rPr>
        <w:t>4</w:t>
      </w:r>
      <w:r>
        <w:rPr>
          <w:rFonts w:hint="eastAsia"/>
          <w:bCs/>
          <w:sz w:val="24"/>
          <w:szCs w:val="20"/>
        </w:rPr>
        <w:t>月</w:t>
      </w:r>
      <w:r>
        <w:rPr>
          <w:bCs/>
          <w:sz w:val="24"/>
          <w:szCs w:val="20"/>
        </w:rPr>
        <w:t>17</w:t>
      </w:r>
      <w:r>
        <w:rPr>
          <w:rFonts w:hint="eastAsia"/>
          <w:bCs/>
          <w:sz w:val="24"/>
          <w:szCs w:val="20"/>
        </w:rPr>
        <w:t>日刊登的《国寿安保基金管理有限公司关于旗下基金开展直销费率优惠活动的公告》执行。</w:t>
      </w:r>
    </w:p>
    <w:p w:rsidR="00794179" w:rsidRDefault="008A5524">
      <w:pPr>
        <w:autoSpaceDE w:val="0"/>
        <w:autoSpaceDN w:val="0"/>
        <w:spacing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5.2 </w:t>
      </w:r>
      <w:r>
        <w:rPr>
          <w:rFonts w:ascii="宋体" w:eastAsia="宋体" w:hAnsi="Arial" w:cs="宋体" w:hint="eastAsia"/>
          <w:b/>
          <w:bCs/>
          <w:color w:val="000000"/>
          <w:kern w:val="0"/>
          <w:sz w:val="24"/>
          <w:szCs w:val="24"/>
        </w:rPr>
        <w:t>其他与转换相关的事项</w:t>
      </w:r>
    </w:p>
    <w:p w:rsidR="00794179" w:rsidRDefault="008A5524">
      <w:pPr>
        <w:adjustRightInd w:val="0"/>
        <w:snapToGrid w:val="0"/>
        <w:spacing w:line="360" w:lineRule="auto"/>
        <w:ind w:firstLineChars="200" w:firstLine="480"/>
        <w:outlineLvl w:val="2"/>
        <w:rPr>
          <w:rFonts w:ascii="Arial" w:hAnsi="Arial" w:cs="Arial"/>
          <w:bCs/>
          <w:sz w:val="24"/>
          <w:szCs w:val="24"/>
        </w:rPr>
      </w:pPr>
      <w:r>
        <w:rPr>
          <w:rFonts w:ascii="Arial" w:hAnsi="Arial" w:cs="Arial" w:hint="eastAsia"/>
          <w:bCs/>
          <w:sz w:val="24"/>
          <w:szCs w:val="24"/>
        </w:rPr>
        <w:t>（</w:t>
      </w:r>
      <w:r>
        <w:rPr>
          <w:rFonts w:ascii="Arial" w:hAnsi="Arial" w:cs="Arial"/>
          <w:bCs/>
          <w:sz w:val="24"/>
          <w:szCs w:val="24"/>
        </w:rPr>
        <w:t>1</w:t>
      </w:r>
      <w:r>
        <w:rPr>
          <w:rFonts w:ascii="Arial" w:hAnsi="Arial" w:cs="Arial" w:hint="eastAsia"/>
          <w:bCs/>
          <w:sz w:val="24"/>
          <w:szCs w:val="24"/>
        </w:rPr>
        <w:t>）基金转换的业务规则：</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1</w:t>
      </w:r>
      <w:r>
        <w:rPr>
          <w:rFonts w:ascii="Arial" w:hAnsi="Arial" w:cs="Arial" w:hint="eastAsia"/>
          <w:bCs/>
          <w:sz w:val="24"/>
          <w:szCs w:val="24"/>
        </w:rPr>
        <w:t>）基金转换业务是指投资者向本公司提出申请将其所持有的本公司管理的开放式基金（转出基金）的全部或部分基金份额转换为本公司管理的其他开放式基金（转入基金）的基金份额的行为。</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2</w:t>
      </w:r>
      <w:r>
        <w:rPr>
          <w:rFonts w:ascii="Arial" w:hAnsi="Arial" w:cs="Arial" w:hint="eastAsia"/>
          <w:bCs/>
          <w:sz w:val="24"/>
          <w:szCs w:val="24"/>
        </w:rPr>
        <w:t>）转换的两只基金必须都是同一销售机构销售、同一基金管理人管理、并在同一注册登记机构处注册登记的基金。</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3</w:t>
      </w:r>
      <w:r>
        <w:rPr>
          <w:rFonts w:ascii="Arial" w:hAnsi="Arial" w:cs="Arial" w:hint="eastAsia"/>
          <w:bCs/>
          <w:sz w:val="24"/>
          <w:szCs w:val="24"/>
        </w:rPr>
        <w:t>）投资者可在基金开放日申请办理基金转换业务，具体办理时间与基金申购、赎回业务办理时间相同。本公司公告暂停申购、赎回或转换时除外。</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4</w:t>
      </w:r>
      <w:r>
        <w:rPr>
          <w:rFonts w:ascii="Arial" w:hAnsi="Arial" w:cs="Arial" w:hint="eastAsia"/>
          <w:bCs/>
          <w:sz w:val="24"/>
          <w:szCs w:val="24"/>
        </w:rPr>
        <w:t>）交易限额参见相关基金招募说明书和相关公告中对申购和赎回限额的规定。</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5</w:t>
      </w:r>
      <w:r>
        <w:rPr>
          <w:rFonts w:ascii="Arial" w:hAnsi="Arial" w:cs="Arial" w:hint="eastAsia"/>
          <w:bCs/>
          <w:sz w:val="24"/>
          <w:szCs w:val="24"/>
        </w:rPr>
        <w:t>）投资者提出的基金转换申请，在当日交易时间结束之前可以撤销，交易时间结束后不得撤销。</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6</w:t>
      </w:r>
      <w:r>
        <w:rPr>
          <w:rFonts w:ascii="Arial" w:hAnsi="Arial" w:cs="Arial" w:hint="eastAsia"/>
          <w:bCs/>
          <w:sz w:val="24"/>
          <w:szCs w:val="24"/>
        </w:rPr>
        <w:t>）其他未尽规则详见《国寿安保基金管理有限公司开放式证券投资基金业务规则》。</w:t>
      </w:r>
    </w:p>
    <w:p w:rsidR="00794179" w:rsidRDefault="008A5524">
      <w:pPr>
        <w:adjustRightInd w:val="0"/>
        <w:snapToGrid w:val="0"/>
        <w:spacing w:line="360" w:lineRule="auto"/>
        <w:ind w:firstLineChars="200" w:firstLine="480"/>
        <w:outlineLvl w:val="2"/>
        <w:rPr>
          <w:rFonts w:ascii="Arial" w:hAnsi="Arial" w:cs="Arial"/>
          <w:bCs/>
          <w:sz w:val="24"/>
          <w:szCs w:val="24"/>
        </w:rPr>
      </w:pPr>
      <w:r>
        <w:rPr>
          <w:rFonts w:ascii="Arial" w:hAnsi="Arial" w:cs="Arial" w:hint="eastAsia"/>
          <w:bCs/>
          <w:sz w:val="24"/>
          <w:szCs w:val="24"/>
        </w:rPr>
        <w:t>（</w:t>
      </w:r>
      <w:r>
        <w:rPr>
          <w:rFonts w:ascii="Arial" w:hAnsi="Arial" w:cs="Arial"/>
          <w:bCs/>
          <w:sz w:val="24"/>
          <w:szCs w:val="24"/>
        </w:rPr>
        <w:t>2</w:t>
      </w:r>
      <w:r>
        <w:rPr>
          <w:rFonts w:ascii="Arial" w:hAnsi="Arial" w:cs="Arial" w:hint="eastAsia"/>
          <w:bCs/>
          <w:sz w:val="24"/>
          <w:szCs w:val="24"/>
        </w:rPr>
        <w:t>）重要提示：</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1</w:t>
      </w:r>
      <w:r>
        <w:rPr>
          <w:rFonts w:ascii="Arial" w:hAnsi="Arial" w:cs="Arial" w:hint="eastAsia"/>
          <w:bCs/>
          <w:sz w:val="24"/>
          <w:szCs w:val="24"/>
        </w:rPr>
        <w:t>）本公司有权根据市场情况或法律法规变化调整上述转换的程序及有关限制，届时本公司将在规则调整前依照《信息披露办法》的有关规</w:t>
      </w:r>
      <w:r>
        <w:rPr>
          <w:rFonts w:ascii="Arial" w:hAnsi="Arial" w:cs="Arial" w:hint="eastAsia"/>
          <w:bCs/>
          <w:sz w:val="24"/>
          <w:szCs w:val="24"/>
        </w:rPr>
        <w:t>定在规定媒介上公告。</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bCs/>
          <w:sz w:val="24"/>
          <w:szCs w:val="24"/>
        </w:rPr>
        <w:t>2</w:t>
      </w:r>
      <w:r>
        <w:rPr>
          <w:rFonts w:ascii="Arial" w:hAnsi="Arial" w:cs="Arial" w:hint="eastAsia"/>
          <w:bCs/>
          <w:sz w:val="24"/>
          <w:szCs w:val="24"/>
        </w:rPr>
        <w:t>）投资者欲了解其他详细情况，请登录本公司网站（</w:t>
      </w:r>
      <w:r>
        <w:rPr>
          <w:rFonts w:ascii="Arial" w:hAnsi="Arial" w:cs="Arial"/>
          <w:bCs/>
          <w:sz w:val="24"/>
          <w:szCs w:val="24"/>
        </w:rPr>
        <w:t>www.gsfunds.com.cn</w:t>
      </w:r>
      <w:r>
        <w:rPr>
          <w:rFonts w:ascii="Arial" w:hAnsi="Arial" w:cs="Arial" w:hint="eastAsia"/>
          <w:bCs/>
          <w:sz w:val="24"/>
          <w:szCs w:val="24"/>
        </w:rPr>
        <w:t>）或拨打本公司客户服务电话（</w:t>
      </w:r>
      <w:r>
        <w:rPr>
          <w:rFonts w:ascii="Arial" w:hAnsi="Arial" w:cs="Arial"/>
          <w:bCs/>
          <w:sz w:val="24"/>
          <w:szCs w:val="24"/>
        </w:rPr>
        <w:t>4009-258-258</w:t>
      </w:r>
      <w:r>
        <w:rPr>
          <w:rFonts w:ascii="Arial" w:hAnsi="Arial" w:cs="Arial" w:hint="eastAsia"/>
          <w:bCs/>
          <w:sz w:val="24"/>
          <w:szCs w:val="24"/>
        </w:rPr>
        <w:t>）。</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bCs/>
          <w:sz w:val="24"/>
          <w:szCs w:val="24"/>
        </w:rPr>
        <w:t>3</w:t>
      </w:r>
      <w:r>
        <w:rPr>
          <w:rFonts w:ascii="Arial" w:hAnsi="Arial" w:cs="Arial" w:hint="eastAsia"/>
          <w:bCs/>
          <w:sz w:val="24"/>
          <w:szCs w:val="24"/>
        </w:rPr>
        <w:t>）本基金转换业务的解释权归本公司。</w:t>
      </w:r>
    </w:p>
    <w:p w:rsidR="00794179" w:rsidRDefault="008A5524">
      <w:pPr>
        <w:autoSpaceDE w:val="0"/>
        <w:autoSpaceDN w:val="0"/>
        <w:adjustRightInd w:val="0"/>
        <w:spacing w:before="29" w:line="360" w:lineRule="auto"/>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6</w:t>
      </w:r>
      <w:r>
        <w:rPr>
          <w:rFonts w:ascii="宋体" w:eastAsia="宋体" w:hAnsi="Arial" w:cs="宋体" w:hint="eastAsia"/>
          <w:b/>
          <w:bCs/>
          <w:color w:val="000000"/>
          <w:kern w:val="0"/>
          <w:sz w:val="24"/>
          <w:szCs w:val="24"/>
        </w:rPr>
        <w:t xml:space="preserve"> </w:t>
      </w:r>
      <w:r>
        <w:rPr>
          <w:rFonts w:ascii="宋体" w:eastAsia="宋体" w:hAnsi="Arial" w:cs="宋体" w:hint="eastAsia"/>
          <w:b/>
          <w:bCs/>
          <w:color w:val="000000"/>
          <w:kern w:val="0"/>
          <w:sz w:val="24"/>
          <w:szCs w:val="24"/>
        </w:rPr>
        <w:t>、定期定额投资业务</w:t>
      </w:r>
    </w:p>
    <w:p w:rsidR="00794179" w:rsidRDefault="008A5524">
      <w:pPr>
        <w:adjustRightInd w:val="0"/>
        <w:snapToGrid w:val="0"/>
        <w:spacing w:line="360" w:lineRule="auto"/>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6.1 </w:t>
      </w:r>
      <w:r>
        <w:rPr>
          <w:rFonts w:ascii="宋体" w:eastAsia="宋体" w:hAnsi="Arial" w:cs="宋体" w:hint="eastAsia"/>
          <w:b/>
          <w:bCs/>
          <w:color w:val="000000"/>
          <w:kern w:val="0"/>
          <w:sz w:val="24"/>
          <w:szCs w:val="24"/>
        </w:rPr>
        <w:t>适用投资者范围</w:t>
      </w:r>
      <w:r>
        <w:rPr>
          <w:rFonts w:ascii="宋体" w:eastAsia="宋体" w:hAnsi="Arial" w:cs="宋体"/>
          <w:b/>
          <w:bCs/>
          <w:color w:val="000000"/>
          <w:kern w:val="0"/>
          <w:sz w:val="24"/>
          <w:szCs w:val="24"/>
        </w:rPr>
        <w:t xml:space="preserve"> </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bCs/>
          <w:sz w:val="24"/>
        </w:rPr>
        <w:t>符合法律法规规定的</w:t>
      </w:r>
      <w:r>
        <w:rPr>
          <w:rFonts w:hint="eastAsia"/>
          <w:bCs/>
          <w:sz w:val="24"/>
        </w:rPr>
        <w:t>可投资于证券投资基金的</w:t>
      </w:r>
      <w:r>
        <w:rPr>
          <w:bCs/>
          <w:sz w:val="24"/>
        </w:rPr>
        <w:t>个人投资者、机构投资者及合格境外机构投资者以及法律法规或中国证监会允许购买证券投资基金的其他投资</w:t>
      </w:r>
      <w:r>
        <w:rPr>
          <w:rFonts w:hint="eastAsia"/>
          <w:bCs/>
          <w:sz w:val="24"/>
        </w:rPr>
        <w:t>人</w:t>
      </w:r>
      <w:r>
        <w:rPr>
          <w:bCs/>
          <w:sz w:val="24"/>
        </w:rPr>
        <w:t>。</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定期定额投资业务是基金申购业务的一种方式，指投资者通过有关销售机构提出申请，约定每期扣款日、扣款金额及扣款方式，由销售机构于每期约定的扣款日在投资者指定银行账户内自动完成扣款及基金申购的一种投资方式。</w:t>
      </w:r>
    </w:p>
    <w:p w:rsidR="00794179" w:rsidRDefault="008A5524">
      <w:pPr>
        <w:spacing w:line="360" w:lineRule="auto"/>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6.2</w:t>
      </w:r>
      <w:r>
        <w:rPr>
          <w:rFonts w:ascii="宋体" w:eastAsia="宋体" w:hAnsi="Arial" w:cs="宋体" w:hint="eastAsia"/>
          <w:b/>
          <w:bCs/>
          <w:color w:val="000000"/>
          <w:kern w:val="0"/>
          <w:sz w:val="24"/>
          <w:szCs w:val="24"/>
        </w:rPr>
        <w:t xml:space="preserve"> </w:t>
      </w:r>
      <w:r>
        <w:rPr>
          <w:rFonts w:ascii="宋体" w:eastAsia="宋体" w:hAnsi="Arial" w:cs="宋体" w:hint="eastAsia"/>
          <w:b/>
          <w:bCs/>
          <w:color w:val="000000"/>
          <w:kern w:val="0"/>
          <w:sz w:val="24"/>
          <w:szCs w:val="24"/>
        </w:rPr>
        <w:t>申购费率</w:t>
      </w:r>
    </w:p>
    <w:p w:rsidR="00794179" w:rsidRDefault="008A5524">
      <w:pPr>
        <w:spacing w:line="360" w:lineRule="auto"/>
        <w:ind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本基金定期定额投资的申购费率与普通申购业务的费率相同。</w:t>
      </w:r>
    </w:p>
    <w:p w:rsidR="00794179" w:rsidRDefault="008A5524">
      <w:pPr>
        <w:autoSpaceDE w:val="0"/>
        <w:autoSpaceDN w:val="0"/>
        <w:spacing w:line="360" w:lineRule="auto"/>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6.3 </w:t>
      </w:r>
      <w:r>
        <w:rPr>
          <w:rFonts w:ascii="宋体" w:eastAsia="宋体" w:hAnsi="Arial" w:cs="宋体" w:hint="eastAsia"/>
          <w:b/>
          <w:bCs/>
          <w:color w:val="000000"/>
          <w:kern w:val="0"/>
          <w:sz w:val="24"/>
          <w:szCs w:val="24"/>
        </w:rPr>
        <w:t>重要提示</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投资者</w:t>
      </w:r>
      <w:r>
        <w:rPr>
          <w:rFonts w:ascii="Arial" w:hAnsi="Arial" w:cs="Arial" w:hint="eastAsia"/>
          <w:bCs/>
          <w:sz w:val="24"/>
          <w:szCs w:val="24"/>
          <w:lang w:val="en-GB"/>
        </w:rPr>
        <w:t>通过本公司网上直销交易系统</w:t>
      </w:r>
      <w:r>
        <w:rPr>
          <w:rFonts w:ascii="Arial" w:hAnsi="Arial" w:cs="Arial" w:hint="eastAsia"/>
          <w:bCs/>
          <w:sz w:val="24"/>
          <w:szCs w:val="24"/>
        </w:rPr>
        <w:t>办理定期定额投资业务的，请仔细阅读《国寿安保基金管理有限公司开放式证券投资基金业务规则》、《国寿安保基金管理有限公司开放式基金网上交易业务规则》、《国寿安保基金管理有限公司网上交易定期定额申购业务协议》等文件。本公告未尽事宜均以上述业务规则和协议为准。</w:t>
      </w:r>
    </w:p>
    <w:p w:rsidR="00794179" w:rsidRDefault="008A5524">
      <w:pPr>
        <w:autoSpaceDE w:val="0"/>
        <w:autoSpaceDN w:val="0"/>
        <w:adjustRightInd w:val="0"/>
        <w:spacing w:before="29" w:line="360" w:lineRule="auto"/>
        <w:ind w:left="15" w:firstLineChars="200" w:firstLine="480"/>
        <w:rPr>
          <w:rFonts w:ascii="MS Sans Serif" w:hAnsi="MS Sans Serif" w:cs="MS Sans Serif"/>
          <w:color w:val="000000"/>
          <w:kern w:val="0"/>
          <w:sz w:val="24"/>
          <w:szCs w:val="24"/>
        </w:rPr>
      </w:pPr>
      <w:r>
        <w:rPr>
          <w:rFonts w:ascii="Arial" w:hAnsi="Arial" w:cs="Arial" w:hint="eastAsia"/>
          <w:bCs/>
          <w:sz w:val="24"/>
          <w:szCs w:val="24"/>
        </w:rPr>
        <w:t>投资者通过其他销售机构办理定期定额投资业务的，业务办理流程以相关销售机构的规定为准。</w:t>
      </w:r>
    </w:p>
    <w:p w:rsidR="00794179" w:rsidRDefault="008A5524">
      <w:pPr>
        <w:autoSpaceDE w:val="0"/>
        <w:autoSpaceDN w:val="0"/>
        <w:spacing w:line="360" w:lineRule="auto"/>
        <w:ind w:left="15"/>
        <w:jc w:val="left"/>
        <w:outlineLvl w:val="0"/>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7</w:t>
      </w:r>
      <w:r>
        <w:rPr>
          <w:rFonts w:ascii="宋体" w:eastAsia="宋体" w:hAnsi="Arial" w:cs="宋体" w:hint="eastAsia"/>
          <w:b/>
          <w:bCs/>
          <w:color w:val="000000"/>
          <w:kern w:val="0"/>
          <w:sz w:val="24"/>
          <w:szCs w:val="24"/>
        </w:rPr>
        <w:t>、</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基金销售机构</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1</w:t>
      </w:r>
      <w:r>
        <w:rPr>
          <w:rFonts w:ascii="Arial" w:hAnsi="Arial" w:cs="Arial" w:hint="eastAsia"/>
          <w:bCs/>
          <w:sz w:val="24"/>
          <w:szCs w:val="24"/>
        </w:rPr>
        <w:t>）直销机构</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投资者可以通过本公司直销中心和网上直销交易系统办理本基金的日常申购、赎回和转换业务；投资者可以通过网上直销交易系统办理定期定额投资业务。</w:t>
      </w:r>
    </w:p>
    <w:p w:rsidR="00794179" w:rsidRDefault="008A5524">
      <w:pPr>
        <w:autoSpaceDE w:val="0"/>
        <w:autoSpaceDN w:val="0"/>
        <w:adjustRightInd w:val="0"/>
        <w:spacing w:before="29" w:line="360" w:lineRule="auto"/>
        <w:ind w:left="15" w:firstLineChars="200" w:firstLine="480"/>
        <w:outlineLvl w:val="2"/>
        <w:rPr>
          <w:rFonts w:ascii="Arial" w:hAnsi="Arial" w:cs="Arial"/>
          <w:bCs/>
          <w:sz w:val="24"/>
          <w:szCs w:val="24"/>
        </w:rPr>
      </w:pPr>
      <w:r>
        <w:rPr>
          <w:rFonts w:ascii="Arial" w:hAnsi="Arial" w:cs="Arial" w:hint="eastAsia"/>
          <w:bCs/>
          <w:sz w:val="24"/>
          <w:szCs w:val="24"/>
        </w:rPr>
        <w:t>1</w:t>
      </w:r>
      <w:r>
        <w:rPr>
          <w:rFonts w:ascii="Arial" w:hAnsi="Arial" w:cs="Arial" w:hint="eastAsia"/>
          <w:bCs/>
          <w:sz w:val="24"/>
          <w:szCs w:val="24"/>
        </w:rPr>
        <w:t>）国寿安保基金管理有限公司直销中心</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办公地址：北京市西城区金融大街</w:t>
      </w:r>
      <w:r>
        <w:rPr>
          <w:rFonts w:ascii="Arial" w:hAnsi="Arial" w:cs="Arial"/>
          <w:bCs/>
          <w:sz w:val="24"/>
          <w:szCs w:val="24"/>
        </w:rPr>
        <w:t>28</w:t>
      </w:r>
      <w:r>
        <w:rPr>
          <w:rFonts w:ascii="Arial" w:hAnsi="Arial" w:cs="Arial" w:hint="eastAsia"/>
          <w:bCs/>
          <w:sz w:val="24"/>
          <w:szCs w:val="24"/>
        </w:rPr>
        <w:t>号院盈泰商务中心</w:t>
      </w:r>
      <w:r>
        <w:rPr>
          <w:rFonts w:ascii="Arial" w:hAnsi="Arial" w:cs="Arial"/>
          <w:bCs/>
          <w:sz w:val="24"/>
          <w:szCs w:val="24"/>
        </w:rPr>
        <w:t>2</w:t>
      </w:r>
      <w:r>
        <w:rPr>
          <w:rFonts w:ascii="Arial" w:hAnsi="Arial" w:cs="Arial" w:hint="eastAsia"/>
          <w:bCs/>
          <w:sz w:val="24"/>
          <w:szCs w:val="24"/>
        </w:rPr>
        <w:t>号楼</w:t>
      </w:r>
      <w:r>
        <w:rPr>
          <w:rFonts w:ascii="Arial" w:hAnsi="Arial" w:cs="Arial"/>
          <w:bCs/>
          <w:sz w:val="24"/>
          <w:szCs w:val="24"/>
        </w:rPr>
        <w:t>10</w:t>
      </w:r>
      <w:r>
        <w:rPr>
          <w:rFonts w:ascii="Arial" w:hAnsi="Arial" w:cs="Arial" w:hint="eastAsia"/>
          <w:bCs/>
          <w:sz w:val="24"/>
          <w:szCs w:val="24"/>
        </w:rPr>
        <w:t>层</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直销电话：</w:t>
      </w:r>
      <w:r>
        <w:rPr>
          <w:rFonts w:ascii="Arial" w:hAnsi="Arial" w:cs="Arial"/>
          <w:bCs/>
          <w:sz w:val="24"/>
          <w:szCs w:val="24"/>
        </w:rPr>
        <w:t>010-50850723</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直销传真：</w:t>
      </w:r>
      <w:r>
        <w:rPr>
          <w:rFonts w:ascii="Arial" w:hAnsi="Arial" w:cs="Arial"/>
          <w:bCs/>
          <w:sz w:val="24"/>
          <w:szCs w:val="24"/>
        </w:rPr>
        <w:t>010-50850777</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客服电话：</w:t>
      </w:r>
      <w:r>
        <w:rPr>
          <w:rFonts w:ascii="Arial" w:hAnsi="Arial" w:cs="Arial"/>
          <w:bCs/>
          <w:sz w:val="24"/>
          <w:szCs w:val="24"/>
        </w:rPr>
        <w:t>4009-258-258</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网址：</w:t>
      </w:r>
      <w:r>
        <w:rPr>
          <w:rFonts w:ascii="Arial" w:hAnsi="Arial" w:cs="Arial"/>
          <w:bCs/>
          <w:sz w:val="24"/>
          <w:szCs w:val="24"/>
        </w:rPr>
        <w:t xml:space="preserve">www.gsfunds.com.cn </w:t>
      </w:r>
    </w:p>
    <w:p w:rsidR="00794179" w:rsidRDefault="008A5524">
      <w:pPr>
        <w:autoSpaceDE w:val="0"/>
        <w:autoSpaceDN w:val="0"/>
        <w:adjustRightInd w:val="0"/>
        <w:spacing w:before="29" w:line="360" w:lineRule="auto"/>
        <w:ind w:left="15" w:firstLineChars="200" w:firstLine="480"/>
        <w:outlineLvl w:val="2"/>
        <w:rPr>
          <w:rFonts w:ascii="Arial" w:hAnsi="Arial" w:cs="Arial"/>
          <w:bCs/>
          <w:sz w:val="24"/>
          <w:szCs w:val="24"/>
        </w:rPr>
      </w:pPr>
      <w:r>
        <w:rPr>
          <w:rFonts w:ascii="Arial" w:hAnsi="Arial" w:cs="Arial" w:hint="eastAsia"/>
          <w:bCs/>
          <w:sz w:val="24"/>
          <w:szCs w:val="24"/>
        </w:rPr>
        <w:t>2</w:t>
      </w:r>
      <w:r>
        <w:rPr>
          <w:rFonts w:ascii="Arial" w:hAnsi="Arial" w:cs="Arial" w:hint="eastAsia"/>
          <w:bCs/>
          <w:sz w:val="24"/>
          <w:szCs w:val="24"/>
        </w:rPr>
        <w:t>）国寿安保基金管理有限公司网上直销交易系统</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投资者可以通过本公司网上直销交易系统办理本基金相关业务，具体</w:t>
      </w:r>
      <w:bookmarkStart w:id="0" w:name="_GoBack"/>
      <w:bookmarkEnd w:id="0"/>
      <w:r>
        <w:rPr>
          <w:rFonts w:ascii="Arial" w:hAnsi="Arial" w:cs="Arial" w:hint="eastAsia"/>
          <w:bCs/>
          <w:sz w:val="24"/>
          <w:szCs w:val="24"/>
        </w:rPr>
        <w:t>交易细则请参阅本公司网站公告。</w:t>
      </w:r>
    </w:p>
    <w:p w:rsidR="00794179" w:rsidRDefault="008A5524">
      <w:pPr>
        <w:autoSpaceDE w:val="0"/>
        <w:autoSpaceDN w:val="0"/>
        <w:adjustRightInd w:val="0"/>
        <w:spacing w:before="29" w:line="360" w:lineRule="auto"/>
        <w:ind w:left="15" w:firstLineChars="200" w:firstLine="480"/>
        <w:rPr>
          <w:rFonts w:ascii="Arial" w:hAnsi="Arial" w:cs="Arial"/>
          <w:bCs/>
          <w:sz w:val="24"/>
          <w:szCs w:val="24"/>
        </w:rPr>
      </w:pPr>
      <w:r>
        <w:rPr>
          <w:rFonts w:ascii="Arial" w:hAnsi="Arial" w:cs="Arial" w:hint="eastAsia"/>
          <w:bCs/>
          <w:sz w:val="24"/>
          <w:szCs w:val="24"/>
        </w:rPr>
        <w:t>网上交易网址：</w:t>
      </w:r>
      <w:r>
        <w:rPr>
          <w:rFonts w:ascii="Arial" w:hAnsi="Arial" w:cs="Arial"/>
          <w:bCs/>
          <w:sz w:val="24"/>
          <w:szCs w:val="24"/>
        </w:rPr>
        <w:t>https://e.gsfunds.com.cn/etrading/</w:t>
      </w:r>
    </w:p>
    <w:p w:rsidR="00794179" w:rsidRDefault="008A5524">
      <w:pPr>
        <w:numPr>
          <w:ilvl w:val="255"/>
          <w:numId w:val="0"/>
        </w:numPr>
        <w:autoSpaceDE w:val="0"/>
        <w:autoSpaceDN w:val="0"/>
        <w:spacing w:line="360" w:lineRule="auto"/>
        <w:ind w:leftChars="200" w:left="420"/>
        <w:rPr>
          <w:rFonts w:ascii="宋体" w:eastAsia="宋体" w:hAnsi="Arial" w:cs="宋体"/>
          <w:color w:val="000000"/>
          <w:kern w:val="0"/>
          <w:sz w:val="24"/>
          <w:szCs w:val="24"/>
        </w:rPr>
      </w:pPr>
      <w:r>
        <w:rPr>
          <w:rFonts w:ascii="宋体" w:eastAsia="宋体" w:hAnsi="Arial" w:cs="宋体"/>
          <w:color w:val="000000"/>
          <w:kern w:val="0"/>
          <w:sz w:val="24"/>
          <w:szCs w:val="24"/>
        </w:rPr>
        <w:t>（</w:t>
      </w:r>
      <w:r>
        <w:rPr>
          <w:rFonts w:ascii="宋体" w:eastAsia="宋体" w:hAnsi="Arial" w:cs="宋体" w:hint="eastAsia"/>
          <w:color w:val="000000"/>
          <w:kern w:val="0"/>
          <w:sz w:val="24"/>
          <w:szCs w:val="24"/>
        </w:rPr>
        <w:t>2</w:t>
      </w:r>
      <w:r>
        <w:rPr>
          <w:rFonts w:ascii="宋体" w:eastAsia="宋体" w:hAnsi="Arial" w:cs="宋体"/>
          <w:color w:val="000000"/>
          <w:kern w:val="0"/>
          <w:sz w:val="24"/>
          <w:szCs w:val="24"/>
        </w:rPr>
        <w:t>）其他销售机构</w:t>
      </w:r>
    </w:p>
    <w:p w:rsidR="00794179" w:rsidRDefault="008A5524">
      <w:pPr>
        <w:numPr>
          <w:ilvl w:val="255"/>
          <w:numId w:val="0"/>
        </w:numPr>
        <w:autoSpaceDE w:val="0"/>
        <w:autoSpaceDN w:val="0"/>
        <w:spacing w:line="360" w:lineRule="auto"/>
        <w:ind w:firstLineChars="200" w:firstLine="480"/>
      </w:pPr>
      <w:r>
        <w:rPr>
          <w:rFonts w:ascii="宋体" w:eastAsia="宋体" w:hAnsi="Arial" w:cs="宋体"/>
          <w:color w:val="000000"/>
          <w:kern w:val="0"/>
          <w:sz w:val="24"/>
          <w:szCs w:val="24"/>
        </w:rPr>
        <w:t>本基金的其他销售机构请详见基金管理人官网公示。基金管理人可根据有关法律法规的要求，选择其他符合要求的机构销售基金，并在基金管理人网站公示。</w:t>
      </w:r>
    </w:p>
    <w:p w:rsidR="00794179" w:rsidRDefault="008A5524">
      <w:pPr>
        <w:autoSpaceDE w:val="0"/>
        <w:autoSpaceDN w:val="0"/>
        <w:spacing w:line="360" w:lineRule="auto"/>
        <w:jc w:val="left"/>
        <w:outlineLvl w:val="0"/>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8</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、基金份额净值公告的披露安排</w:t>
      </w:r>
    </w:p>
    <w:p w:rsidR="00794179" w:rsidRDefault="008A5524">
      <w:pPr>
        <w:autoSpaceDE w:val="0"/>
        <w:autoSpaceDN w:val="0"/>
        <w:spacing w:line="360" w:lineRule="auto"/>
        <w:ind w:left="15" w:firstLineChars="200" w:firstLine="480"/>
      </w:pPr>
      <w:r>
        <w:rPr>
          <w:rFonts w:hint="eastAsia"/>
          <w:bCs/>
          <w:sz w:val="24"/>
        </w:rPr>
        <w:t>在开始办理基金份额申购或者赎回后，基金管理人应当在不晚于每个开放日的次日，通过其规定网站、基金销售机构网站或营业网点披露开放日的各类基金份额净值和各类基金份额累计净值。敬请</w:t>
      </w:r>
      <w:r>
        <w:rPr>
          <w:bCs/>
          <w:sz w:val="24"/>
        </w:rPr>
        <w:t>投资者</w:t>
      </w:r>
      <w:r>
        <w:rPr>
          <w:rFonts w:hint="eastAsia"/>
          <w:bCs/>
          <w:sz w:val="24"/>
        </w:rPr>
        <w:t>留意。</w:t>
      </w:r>
    </w:p>
    <w:p w:rsidR="00794179" w:rsidRDefault="008A5524">
      <w:pPr>
        <w:autoSpaceDE w:val="0"/>
        <w:autoSpaceDN w:val="0"/>
        <w:spacing w:line="360" w:lineRule="auto"/>
        <w:ind w:left="15"/>
        <w:jc w:val="left"/>
        <w:outlineLvl w:val="0"/>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9</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、其他需要提示的事项</w:t>
      </w:r>
    </w:p>
    <w:p w:rsidR="00794179" w:rsidRDefault="008A5524">
      <w:pPr>
        <w:autoSpaceDE w:val="0"/>
        <w:autoSpaceDN w:val="0"/>
        <w:spacing w:line="360" w:lineRule="auto"/>
        <w:ind w:left="15" w:firstLineChars="200" w:firstLine="480"/>
        <w:rPr>
          <w:rFonts w:ascii="Arial" w:hAnsi="Arial" w:cs="Arial"/>
          <w:bCs/>
          <w:sz w:val="24"/>
          <w:szCs w:val="24"/>
        </w:rPr>
      </w:pPr>
      <w:r>
        <w:rPr>
          <w:rFonts w:ascii="Arial" w:hAnsi="Arial" w:cs="Arial" w:hint="eastAsia"/>
          <w:bCs/>
          <w:sz w:val="24"/>
          <w:szCs w:val="24"/>
        </w:rPr>
        <w:t>（</w:t>
      </w:r>
      <w:r>
        <w:rPr>
          <w:rFonts w:ascii="Arial" w:hAnsi="Arial" w:cs="Arial"/>
          <w:bCs/>
          <w:sz w:val="24"/>
          <w:szCs w:val="24"/>
        </w:rPr>
        <w:t>1</w:t>
      </w:r>
      <w:r>
        <w:rPr>
          <w:rFonts w:ascii="Arial" w:hAnsi="Arial" w:cs="Arial" w:hint="eastAsia"/>
          <w:bCs/>
          <w:sz w:val="24"/>
          <w:szCs w:val="24"/>
        </w:rPr>
        <w:t>）基金管理人应在交易时间结束前受理有效申购、赎回、转换及定期定额投资业务，申请的当天作为申购、赎回、转换及定期定额投资业务申请日（</w:t>
      </w:r>
      <w:r>
        <w:rPr>
          <w:rFonts w:ascii="Arial" w:hAnsi="Arial" w:cs="Arial"/>
          <w:bCs/>
          <w:sz w:val="24"/>
          <w:szCs w:val="24"/>
        </w:rPr>
        <w:t>T</w:t>
      </w:r>
      <w:r>
        <w:rPr>
          <w:rFonts w:ascii="Arial" w:hAnsi="Arial" w:cs="Arial" w:hint="eastAsia"/>
          <w:bCs/>
          <w:sz w:val="24"/>
          <w:szCs w:val="24"/>
        </w:rPr>
        <w:t>日），在正常情况下，本基金登记机构在</w:t>
      </w:r>
      <w:r>
        <w:rPr>
          <w:rFonts w:ascii="Arial" w:hAnsi="Arial" w:cs="Arial"/>
          <w:bCs/>
          <w:sz w:val="24"/>
          <w:szCs w:val="24"/>
        </w:rPr>
        <w:t>T+1</w:t>
      </w:r>
      <w:r>
        <w:rPr>
          <w:rFonts w:ascii="Arial" w:hAnsi="Arial" w:cs="Arial" w:hint="eastAsia"/>
          <w:bCs/>
          <w:sz w:val="24"/>
          <w:szCs w:val="24"/>
        </w:rPr>
        <w:t>日内对该交易的有效性进行确认。</w:t>
      </w:r>
      <w:r>
        <w:rPr>
          <w:rFonts w:ascii="Arial" w:hAnsi="Arial" w:cs="Arial"/>
          <w:bCs/>
          <w:sz w:val="24"/>
          <w:szCs w:val="24"/>
        </w:rPr>
        <w:t>T</w:t>
      </w:r>
      <w:r>
        <w:rPr>
          <w:rFonts w:ascii="Arial" w:hAnsi="Arial" w:cs="Arial" w:hint="eastAsia"/>
          <w:bCs/>
          <w:sz w:val="24"/>
          <w:szCs w:val="24"/>
        </w:rPr>
        <w:t>日提交的有效申请，投资人可在</w:t>
      </w:r>
      <w:r>
        <w:rPr>
          <w:rFonts w:ascii="Arial" w:hAnsi="Arial" w:cs="Arial"/>
          <w:bCs/>
          <w:sz w:val="24"/>
          <w:szCs w:val="24"/>
        </w:rPr>
        <w:t>T+2</w:t>
      </w:r>
      <w:r>
        <w:rPr>
          <w:rFonts w:ascii="Arial" w:hAnsi="Arial" w:cs="Arial" w:hint="eastAsia"/>
          <w:bCs/>
          <w:sz w:val="24"/>
          <w:szCs w:val="24"/>
        </w:rPr>
        <w:t>日后（包括该日）到直销中心或以销售机构规定的其他方式查询申请的确认情况。若申购不成功，则申购款项本金退还给投资人。</w:t>
      </w:r>
    </w:p>
    <w:p w:rsidR="00794179" w:rsidRDefault="008A5524">
      <w:pPr>
        <w:autoSpaceDE w:val="0"/>
        <w:autoSpaceDN w:val="0"/>
        <w:spacing w:line="360" w:lineRule="auto"/>
        <w:ind w:left="15" w:firstLineChars="200" w:firstLine="480"/>
        <w:rPr>
          <w:rFonts w:ascii="Arial" w:hAnsi="Arial" w:cs="Arial"/>
          <w:bCs/>
          <w:sz w:val="24"/>
          <w:szCs w:val="24"/>
        </w:rPr>
      </w:pPr>
      <w:r>
        <w:rPr>
          <w:rFonts w:ascii="Arial" w:hAnsi="Arial" w:cs="Arial" w:hint="eastAsia"/>
          <w:bCs/>
          <w:sz w:val="24"/>
          <w:szCs w:val="24"/>
        </w:rPr>
        <w:t>销售机构对申购、赎回、转换及定期定额投资业务申请的受理并不代表该申请一定成功，而仅代表销售机构确实接收到申购、赎回、转换及定期定额投资业务申请。申购、赎回、</w:t>
      </w:r>
      <w:r>
        <w:rPr>
          <w:rFonts w:ascii="Arial" w:hAnsi="Arial" w:cs="Arial" w:hint="eastAsia"/>
          <w:bCs/>
          <w:sz w:val="24"/>
          <w:szCs w:val="24"/>
        </w:rPr>
        <w:t>转换及定期定额投资业务的确认以登记机构的确认结果为准。对于申购申请及申购份额的确认情况，投资人应及时查询并妥善行使合法权利。</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2</w:t>
      </w:r>
      <w:r>
        <w:rPr>
          <w:rFonts w:ascii="Arial" w:hAnsi="Arial" w:cs="Arial" w:hint="eastAsia"/>
          <w:bCs/>
          <w:sz w:val="24"/>
          <w:szCs w:val="24"/>
        </w:rPr>
        <w:t>）本公告仅对本基金开放日常申购、赎回、转换及定期定额投资业务的有关事项予以说明。投资人欲了解本基金的详细情况，请详细阅读刊登在基金管理人网站（</w:t>
      </w:r>
      <w:r>
        <w:rPr>
          <w:rFonts w:ascii="Arial" w:hAnsi="Arial" w:cs="Arial" w:hint="eastAsia"/>
          <w:bCs/>
          <w:sz w:val="24"/>
          <w:szCs w:val="24"/>
        </w:rPr>
        <w:t>www.gsfunds.com.cn</w:t>
      </w:r>
      <w:r>
        <w:rPr>
          <w:rFonts w:ascii="Arial" w:hAnsi="Arial" w:cs="Arial" w:hint="eastAsia"/>
          <w:bCs/>
          <w:sz w:val="24"/>
          <w:szCs w:val="24"/>
        </w:rPr>
        <w:t>）和中国证监会基金电子披露网站（</w:t>
      </w:r>
      <w:r>
        <w:rPr>
          <w:rFonts w:ascii="Arial" w:hAnsi="Arial" w:cs="Arial" w:hint="eastAsia"/>
          <w:bCs/>
          <w:sz w:val="24"/>
          <w:szCs w:val="24"/>
        </w:rPr>
        <w:t>http://eid.csrc.gov.cn/fund</w:t>
      </w:r>
      <w:r>
        <w:rPr>
          <w:rFonts w:ascii="Arial" w:hAnsi="Arial" w:cs="Arial" w:hint="eastAsia"/>
          <w:bCs/>
          <w:sz w:val="24"/>
          <w:szCs w:val="24"/>
        </w:rPr>
        <w:t>）</w:t>
      </w:r>
      <w:r>
        <w:rPr>
          <w:rFonts w:ascii="Arial" w:hAnsi="Arial" w:cs="Arial"/>
          <w:bCs/>
          <w:sz w:val="24"/>
          <w:szCs w:val="24"/>
        </w:rPr>
        <w:t>上的《</w:t>
      </w:r>
      <w:r>
        <w:rPr>
          <w:rFonts w:ascii="Arial" w:hAnsi="Arial" w:cs="Arial" w:hint="eastAsia"/>
          <w:bCs/>
          <w:sz w:val="24"/>
          <w:szCs w:val="24"/>
        </w:rPr>
        <w:t>国寿安保</w:t>
      </w:r>
      <w:r>
        <w:rPr>
          <w:rFonts w:ascii="Arial" w:hAnsi="Arial" w:cs="Arial" w:hint="eastAsia"/>
          <w:bCs/>
          <w:sz w:val="24"/>
          <w:szCs w:val="24"/>
        </w:rPr>
        <w:t>中证</w:t>
      </w:r>
      <w:r>
        <w:rPr>
          <w:rFonts w:ascii="Arial" w:hAnsi="Arial" w:cs="Arial" w:hint="eastAsia"/>
          <w:bCs/>
          <w:sz w:val="24"/>
          <w:szCs w:val="24"/>
        </w:rPr>
        <w:t>800</w:t>
      </w:r>
      <w:r>
        <w:rPr>
          <w:rFonts w:ascii="Arial" w:hAnsi="Arial" w:cs="Arial" w:hint="eastAsia"/>
          <w:bCs/>
          <w:sz w:val="24"/>
          <w:szCs w:val="24"/>
        </w:rPr>
        <w:t>指数增强型证券投资基金</w:t>
      </w:r>
      <w:r>
        <w:rPr>
          <w:rFonts w:ascii="Arial" w:hAnsi="Arial" w:cs="Arial"/>
          <w:bCs/>
          <w:sz w:val="24"/>
          <w:szCs w:val="24"/>
        </w:rPr>
        <w:t>招募说明书》</w:t>
      </w:r>
      <w:r>
        <w:rPr>
          <w:rFonts w:ascii="Arial" w:hAnsi="Arial" w:cs="Arial" w:hint="eastAsia"/>
          <w:bCs/>
          <w:sz w:val="24"/>
          <w:szCs w:val="24"/>
        </w:rPr>
        <w:t>。</w:t>
      </w:r>
      <w:r>
        <w:rPr>
          <w:rFonts w:ascii="Arial" w:hAnsi="Arial" w:cs="Arial"/>
          <w:bCs/>
          <w:sz w:val="24"/>
          <w:szCs w:val="24"/>
        </w:rPr>
        <w:t xml:space="preserve"> </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3</w:t>
      </w:r>
      <w:r>
        <w:rPr>
          <w:rFonts w:ascii="Arial" w:hAnsi="Arial" w:cs="Arial" w:hint="eastAsia"/>
          <w:bCs/>
          <w:sz w:val="24"/>
          <w:szCs w:val="24"/>
        </w:rPr>
        <w:t>）投资者如有任何问题，可拨打本公司客户服务电话（</w:t>
      </w:r>
      <w:r>
        <w:rPr>
          <w:rFonts w:ascii="Arial" w:hAnsi="Arial" w:cs="Arial"/>
          <w:bCs/>
          <w:sz w:val="24"/>
          <w:szCs w:val="24"/>
        </w:rPr>
        <w:t>4009-258-258</w:t>
      </w:r>
      <w:r>
        <w:rPr>
          <w:rFonts w:ascii="Arial" w:hAnsi="Arial" w:cs="Arial" w:hint="eastAsia"/>
          <w:bCs/>
          <w:sz w:val="24"/>
          <w:szCs w:val="24"/>
        </w:rPr>
        <w:t>）以及各销售代理机构客户服务电话。</w:t>
      </w:r>
      <w:r>
        <w:rPr>
          <w:rFonts w:ascii="Arial" w:hAnsi="Arial" w:cs="Arial"/>
          <w:bCs/>
          <w:sz w:val="24"/>
          <w:szCs w:val="24"/>
        </w:rPr>
        <w:t xml:space="preserve"> </w:t>
      </w:r>
    </w:p>
    <w:p w:rsidR="00794179" w:rsidRDefault="008A5524">
      <w:pPr>
        <w:adjustRightInd w:val="0"/>
        <w:snapToGrid w:val="0"/>
        <w:spacing w:line="360" w:lineRule="auto"/>
        <w:ind w:firstLineChars="200" w:firstLine="480"/>
        <w:rPr>
          <w:rFonts w:ascii="Arial" w:hAnsi="Arial" w:cs="Arial"/>
          <w:bCs/>
          <w:sz w:val="24"/>
          <w:szCs w:val="24"/>
        </w:rPr>
      </w:pPr>
      <w:r>
        <w:rPr>
          <w:rFonts w:ascii="Arial" w:hAnsi="Arial" w:cs="Arial" w:hint="eastAsia"/>
          <w:bCs/>
          <w:sz w:val="24"/>
          <w:szCs w:val="24"/>
        </w:rPr>
        <w:t>（</w:t>
      </w:r>
      <w:r>
        <w:rPr>
          <w:rFonts w:ascii="Arial" w:hAnsi="Arial" w:cs="Arial" w:hint="eastAsia"/>
          <w:bCs/>
          <w:sz w:val="24"/>
          <w:szCs w:val="24"/>
        </w:rPr>
        <w:t>4</w:t>
      </w:r>
      <w:r>
        <w:rPr>
          <w:rFonts w:ascii="Arial" w:hAnsi="Arial" w:cs="Arial" w:hint="eastAsia"/>
          <w:bCs/>
          <w:sz w:val="24"/>
          <w:szCs w:val="24"/>
        </w:rPr>
        <w:t>）风险提示：本公司承诺以诚实信用、勤勉尽责的原则管理和运用基金资产，但不保证基金一定盈利，也不保证最低收益。敬请投资人认真阅读基金合同、招募说明书等法律文件，并根据自身的风险承受能力选择适合自己的基金产品投资，注意基金投资风险。</w:t>
      </w:r>
    </w:p>
    <w:p w:rsidR="00794179" w:rsidRDefault="008A5524">
      <w:pPr>
        <w:autoSpaceDE w:val="0"/>
        <w:autoSpaceDN w:val="0"/>
        <w:spacing w:line="360" w:lineRule="auto"/>
        <w:ind w:left="15" w:firstLineChars="200" w:firstLine="480"/>
        <w:rPr>
          <w:rFonts w:ascii="Arial" w:hAnsi="Arial" w:cs="Arial"/>
          <w:bCs/>
          <w:sz w:val="24"/>
          <w:szCs w:val="24"/>
        </w:rPr>
      </w:pPr>
      <w:r>
        <w:rPr>
          <w:rFonts w:ascii="Arial" w:hAnsi="Arial" w:cs="Arial" w:hint="eastAsia"/>
          <w:bCs/>
          <w:sz w:val="24"/>
          <w:szCs w:val="24"/>
        </w:rPr>
        <w:t>特此公告。</w:t>
      </w:r>
      <w:r>
        <w:rPr>
          <w:rFonts w:ascii="Arial" w:hAnsi="Arial" w:cs="Arial"/>
          <w:bCs/>
          <w:sz w:val="24"/>
          <w:szCs w:val="24"/>
        </w:rPr>
        <w:t xml:space="preserve"> </w:t>
      </w:r>
    </w:p>
    <w:p w:rsidR="00794179" w:rsidRDefault="00794179">
      <w:pPr>
        <w:autoSpaceDE w:val="0"/>
        <w:autoSpaceDN w:val="0"/>
        <w:spacing w:line="360" w:lineRule="auto"/>
        <w:ind w:left="15" w:firstLineChars="200" w:firstLine="480"/>
        <w:rPr>
          <w:rFonts w:ascii="Arial" w:hAnsi="Arial" w:cs="Arial"/>
          <w:bCs/>
          <w:sz w:val="24"/>
          <w:szCs w:val="24"/>
        </w:rPr>
      </w:pPr>
    </w:p>
    <w:p w:rsidR="00794179" w:rsidRDefault="00794179">
      <w:pPr>
        <w:autoSpaceDE w:val="0"/>
        <w:autoSpaceDN w:val="0"/>
        <w:adjustRightInd w:val="0"/>
        <w:spacing w:before="29" w:line="288" w:lineRule="auto"/>
        <w:ind w:left="15"/>
        <w:jc w:val="left"/>
        <w:rPr>
          <w:rFonts w:ascii="宋体" w:eastAsia="宋体" w:hAnsi="Arial" w:cs="宋体"/>
          <w:color w:val="000000"/>
          <w:kern w:val="0"/>
          <w:sz w:val="24"/>
          <w:szCs w:val="24"/>
        </w:rPr>
      </w:pPr>
    </w:p>
    <w:p w:rsidR="00794179" w:rsidRDefault="008A5524">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color w:val="000000"/>
          <w:kern w:val="0"/>
          <w:sz w:val="24"/>
          <w:szCs w:val="24"/>
        </w:rPr>
        <w:t xml:space="preserve">                       </w:t>
      </w:r>
    </w:p>
    <w:p w:rsidR="00794179" w:rsidRDefault="008A5524">
      <w:pPr>
        <w:autoSpaceDE w:val="0"/>
        <w:autoSpaceDN w:val="0"/>
        <w:adjustRightInd w:val="0"/>
        <w:spacing w:before="29" w:line="288" w:lineRule="auto"/>
        <w:ind w:left="15" w:firstLineChars="1150" w:firstLine="2760"/>
        <w:jc w:val="right"/>
        <w:rPr>
          <w:rFonts w:ascii="Arial" w:eastAsia="宋体" w:hAnsi="Arial" w:cs="Arial"/>
          <w:color w:val="000000"/>
          <w:kern w:val="0"/>
          <w:sz w:val="24"/>
          <w:szCs w:val="24"/>
        </w:rPr>
      </w:pPr>
      <w:r>
        <w:rPr>
          <w:rFonts w:ascii="宋体" w:eastAsia="宋体" w:hAnsi="Arial" w:cs="宋体"/>
          <w:color w:val="000000"/>
          <w:kern w:val="0"/>
          <w:sz w:val="24"/>
          <w:szCs w:val="24"/>
        </w:rPr>
        <w:t xml:space="preserve">               </w:t>
      </w:r>
      <w:r>
        <w:rPr>
          <w:rFonts w:ascii="宋体" w:eastAsia="宋体" w:hAnsi="Arial" w:cs="宋体" w:hint="eastAsia"/>
          <w:color w:val="000000"/>
          <w:kern w:val="0"/>
          <w:sz w:val="24"/>
          <w:szCs w:val="24"/>
        </w:rPr>
        <w:t xml:space="preserve">          </w:t>
      </w:r>
      <w:r>
        <w:rPr>
          <w:rFonts w:ascii="Arial" w:eastAsia="宋体" w:hAnsi="Arial" w:cs="Arial"/>
          <w:color w:val="000000"/>
          <w:kern w:val="0"/>
          <w:sz w:val="24"/>
          <w:szCs w:val="24"/>
        </w:rPr>
        <w:t xml:space="preserve"> </w:t>
      </w:r>
      <w:r>
        <w:rPr>
          <w:rFonts w:ascii="Arial" w:eastAsia="宋体" w:hAnsi="Arial" w:cs="Arial"/>
          <w:color w:val="000000"/>
          <w:kern w:val="0"/>
          <w:sz w:val="24"/>
          <w:szCs w:val="24"/>
        </w:rPr>
        <w:t>国寿安保基金管理有限公司</w:t>
      </w:r>
    </w:p>
    <w:p w:rsidR="00794179" w:rsidRDefault="008A5524">
      <w:pPr>
        <w:autoSpaceDE w:val="0"/>
        <w:autoSpaceDN w:val="0"/>
        <w:adjustRightInd w:val="0"/>
        <w:spacing w:before="29" w:line="288" w:lineRule="auto"/>
        <w:ind w:left="15"/>
        <w:jc w:val="right"/>
        <w:rPr>
          <w:rFonts w:ascii="Arial" w:eastAsia="宋体" w:hAnsi="Arial" w:cs="Arial"/>
          <w:color w:val="000000"/>
          <w:kern w:val="0"/>
          <w:sz w:val="24"/>
          <w:szCs w:val="24"/>
        </w:rPr>
      </w:pPr>
      <w:r>
        <w:rPr>
          <w:rFonts w:ascii="Arial" w:eastAsia="宋体" w:hAnsi="Arial" w:cs="Arial"/>
          <w:color w:val="000000"/>
          <w:kern w:val="0"/>
          <w:sz w:val="24"/>
          <w:szCs w:val="24"/>
        </w:rPr>
        <w:t xml:space="preserve">                                                   202</w:t>
      </w:r>
      <w:r>
        <w:rPr>
          <w:rFonts w:ascii="Arial" w:eastAsia="宋体" w:hAnsi="Arial" w:cs="Arial" w:hint="eastAsia"/>
          <w:color w:val="000000"/>
          <w:kern w:val="0"/>
          <w:sz w:val="24"/>
          <w:szCs w:val="24"/>
        </w:rPr>
        <w:t>6</w:t>
      </w:r>
      <w:r>
        <w:rPr>
          <w:rFonts w:ascii="Arial" w:eastAsia="宋体" w:hAnsi="Arial" w:cs="Arial"/>
          <w:color w:val="000000"/>
          <w:kern w:val="0"/>
          <w:sz w:val="24"/>
          <w:szCs w:val="24"/>
        </w:rPr>
        <w:t>年</w:t>
      </w:r>
      <w:r>
        <w:rPr>
          <w:rFonts w:ascii="Arial" w:eastAsia="宋体" w:hAnsi="Arial" w:cs="Arial" w:hint="eastAsia"/>
          <w:color w:val="000000"/>
          <w:kern w:val="0"/>
          <w:sz w:val="24"/>
          <w:szCs w:val="24"/>
        </w:rPr>
        <w:t>1</w:t>
      </w:r>
      <w:r>
        <w:rPr>
          <w:rFonts w:ascii="Arial" w:eastAsia="宋体" w:hAnsi="Arial" w:cs="Arial"/>
          <w:color w:val="000000"/>
          <w:kern w:val="0"/>
          <w:sz w:val="24"/>
          <w:szCs w:val="24"/>
        </w:rPr>
        <w:t>月</w:t>
      </w:r>
      <w:r>
        <w:rPr>
          <w:rFonts w:ascii="Arial" w:eastAsia="宋体" w:hAnsi="Arial" w:cs="Arial" w:hint="eastAsia"/>
          <w:color w:val="000000"/>
          <w:kern w:val="0"/>
          <w:sz w:val="24"/>
          <w:szCs w:val="24"/>
        </w:rPr>
        <w:t>30</w:t>
      </w:r>
      <w:r>
        <w:rPr>
          <w:rFonts w:ascii="Arial" w:eastAsia="宋体" w:hAnsi="Arial" w:cs="Arial"/>
          <w:color w:val="000000"/>
          <w:kern w:val="0"/>
          <w:sz w:val="24"/>
          <w:szCs w:val="24"/>
        </w:rPr>
        <w:t>日</w:t>
      </w:r>
    </w:p>
    <w:p w:rsidR="00794179" w:rsidRDefault="00794179">
      <w:pPr>
        <w:rPr>
          <w:rFonts w:ascii="Arial" w:hAnsi="Arial" w:cs="Arial"/>
        </w:rPr>
      </w:pPr>
    </w:p>
    <w:sectPr w:rsidR="00794179" w:rsidSect="00794179">
      <w:pgSz w:w="11906" w:h="16838"/>
      <w:pgMar w:top="1418" w:right="1418" w:bottom="851"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C7E56"/>
    <w:rsid w:val="00007123"/>
    <w:rsid w:val="000117DE"/>
    <w:rsid w:val="0001711F"/>
    <w:rsid w:val="0002095D"/>
    <w:rsid w:val="0003204A"/>
    <w:rsid w:val="00033068"/>
    <w:rsid w:val="00046718"/>
    <w:rsid w:val="000467B1"/>
    <w:rsid w:val="000506EA"/>
    <w:rsid w:val="00052B66"/>
    <w:rsid w:val="00053B4E"/>
    <w:rsid w:val="00054BE9"/>
    <w:rsid w:val="00061929"/>
    <w:rsid w:val="000768AA"/>
    <w:rsid w:val="000826A7"/>
    <w:rsid w:val="00085097"/>
    <w:rsid w:val="000876F0"/>
    <w:rsid w:val="00090EA0"/>
    <w:rsid w:val="0009214E"/>
    <w:rsid w:val="00092A99"/>
    <w:rsid w:val="000A20D7"/>
    <w:rsid w:val="000A2B24"/>
    <w:rsid w:val="000A4A85"/>
    <w:rsid w:val="000A4B1D"/>
    <w:rsid w:val="000A7C11"/>
    <w:rsid w:val="000B02E3"/>
    <w:rsid w:val="000B3F49"/>
    <w:rsid w:val="000C2E3A"/>
    <w:rsid w:val="000C6F9E"/>
    <w:rsid w:val="000C74B0"/>
    <w:rsid w:val="000C7C84"/>
    <w:rsid w:val="000D3800"/>
    <w:rsid w:val="000D39E2"/>
    <w:rsid w:val="000D540A"/>
    <w:rsid w:val="000D6853"/>
    <w:rsid w:val="000D6F72"/>
    <w:rsid w:val="000E21F8"/>
    <w:rsid w:val="000E259E"/>
    <w:rsid w:val="000E2A4C"/>
    <w:rsid w:val="000F292E"/>
    <w:rsid w:val="000F6D3A"/>
    <w:rsid w:val="001019B8"/>
    <w:rsid w:val="001141CD"/>
    <w:rsid w:val="00121E08"/>
    <w:rsid w:val="00122E8A"/>
    <w:rsid w:val="00123703"/>
    <w:rsid w:val="00131609"/>
    <w:rsid w:val="001319C8"/>
    <w:rsid w:val="00134184"/>
    <w:rsid w:val="00134972"/>
    <w:rsid w:val="00136E60"/>
    <w:rsid w:val="00147811"/>
    <w:rsid w:val="0015092B"/>
    <w:rsid w:val="001511F2"/>
    <w:rsid w:val="00152452"/>
    <w:rsid w:val="001551A1"/>
    <w:rsid w:val="00156EF7"/>
    <w:rsid w:val="00162B02"/>
    <w:rsid w:val="00165A83"/>
    <w:rsid w:val="00184F04"/>
    <w:rsid w:val="0019515B"/>
    <w:rsid w:val="001B1D3F"/>
    <w:rsid w:val="001B35F1"/>
    <w:rsid w:val="001B4C85"/>
    <w:rsid w:val="001B6C67"/>
    <w:rsid w:val="001C2874"/>
    <w:rsid w:val="001C2B69"/>
    <w:rsid w:val="001C2C0F"/>
    <w:rsid w:val="001C4152"/>
    <w:rsid w:val="001C460A"/>
    <w:rsid w:val="001C4F30"/>
    <w:rsid w:val="001C7E56"/>
    <w:rsid w:val="001D6BA4"/>
    <w:rsid w:val="001E1363"/>
    <w:rsid w:val="001E4476"/>
    <w:rsid w:val="00202551"/>
    <w:rsid w:val="00203F5E"/>
    <w:rsid w:val="0021202C"/>
    <w:rsid w:val="00212305"/>
    <w:rsid w:val="00215B2E"/>
    <w:rsid w:val="002202F8"/>
    <w:rsid w:val="002211A6"/>
    <w:rsid w:val="002221AF"/>
    <w:rsid w:val="00222E9E"/>
    <w:rsid w:val="00230E0B"/>
    <w:rsid w:val="00237F9E"/>
    <w:rsid w:val="00242E80"/>
    <w:rsid w:val="00243CFD"/>
    <w:rsid w:val="00245424"/>
    <w:rsid w:val="00246BD0"/>
    <w:rsid w:val="0025408B"/>
    <w:rsid w:val="00260362"/>
    <w:rsid w:val="002721F9"/>
    <w:rsid w:val="00276C06"/>
    <w:rsid w:val="002904D4"/>
    <w:rsid w:val="00295864"/>
    <w:rsid w:val="002A019B"/>
    <w:rsid w:val="002A2283"/>
    <w:rsid w:val="002A318F"/>
    <w:rsid w:val="002A731D"/>
    <w:rsid w:val="002B3C38"/>
    <w:rsid w:val="002B63A7"/>
    <w:rsid w:val="002C457A"/>
    <w:rsid w:val="002C4658"/>
    <w:rsid w:val="002C654E"/>
    <w:rsid w:val="002C757A"/>
    <w:rsid w:val="002D23F8"/>
    <w:rsid w:val="002E0C80"/>
    <w:rsid w:val="002E4518"/>
    <w:rsid w:val="002F1DB3"/>
    <w:rsid w:val="002F721B"/>
    <w:rsid w:val="00300B4F"/>
    <w:rsid w:val="00301F75"/>
    <w:rsid w:val="0030204F"/>
    <w:rsid w:val="0030263F"/>
    <w:rsid w:val="003078C2"/>
    <w:rsid w:val="00310BAC"/>
    <w:rsid w:val="003173A5"/>
    <w:rsid w:val="00330EF8"/>
    <w:rsid w:val="00333430"/>
    <w:rsid w:val="00335ECB"/>
    <w:rsid w:val="00341B70"/>
    <w:rsid w:val="003509A5"/>
    <w:rsid w:val="00353D42"/>
    <w:rsid w:val="0036202E"/>
    <w:rsid w:val="003620A6"/>
    <w:rsid w:val="00363160"/>
    <w:rsid w:val="00364031"/>
    <w:rsid w:val="00367DCF"/>
    <w:rsid w:val="00372994"/>
    <w:rsid w:val="00382A32"/>
    <w:rsid w:val="003848D3"/>
    <w:rsid w:val="00387C5A"/>
    <w:rsid w:val="003902A2"/>
    <w:rsid w:val="00392C83"/>
    <w:rsid w:val="00395243"/>
    <w:rsid w:val="003A236C"/>
    <w:rsid w:val="003A3AA1"/>
    <w:rsid w:val="003B59D8"/>
    <w:rsid w:val="003C1C38"/>
    <w:rsid w:val="003C2FDC"/>
    <w:rsid w:val="003D4933"/>
    <w:rsid w:val="003D7531"/>
    <w:rsid w:val="003E138F"/>
    <w:rsid w:val="003E397C"/>
    <w:rsid w:val="003F3EA5"/>
    <w:rsid w:val="003F60B8"/>
    <w:rsid w:val="003F7EB1"/>
    <w:rsid w:val="00400073"/>
    <w:rsid w:val="0040574A"/>
    <w:rsid w:val="00406758"/>
    <w:rsid w:val="004075A8"/>
    <w:rsid w:val="00407B8F"/>
    <w:rsid w:val="004123D1"/>
    <w:rsid w:val="004167EF"/>
    <w:rsid w:val="00425233"/>
    <w:rsid w:val="00425EB1"/>
    <w:rsid w:val="0043264D"/>
    <w:rsid w:val="00434E33"/>
    <w:rsid w:val="0043746E"/>
    <w:rsid w:val="004455E0"/>
    <w:rsid w:val="00452B7B"/>
    <w:rsid w:val="00455921"/>
    <w:rsid w:val="00455F8D"/>
    <w:rsid w:val="0046128A"/>
    <w:rsid w:val="004708AC"/>
    <w:rsid w:val="00486C57"/>
    <w:rsid w:val="00487867"/>
    <w:rsid w:val="00493748"/>
    <w:rsid w:val="004A5BA6"/>
    <w:rsid w:val="004C23FC"/>
    <w:rsid w:val="004C2E0E"/>
    <w:rsid w:val="004D090C"/>
    <w:rsid w:val="004D382A"/>
    <w:rsid w:val="004D46AF"/>
    <w:rsid w:val="004D508A"/>
    <w:rsid w:val="004D7180"/>
    <w:rsid w:val="004E0FBC"/>
    <w:rsid w:val="004F397F"/>
    <w:rsid w:val="004F47E8"/>
    <w:rsid w:val="00502B60"/>
    <w:rsid w:val="005219E6"/>
    <w:rsid w:val="005257D0"/>
    <w:rsid w:val="00532A5D"/>
    <w:rsid w:val="0053530B"/>
    <w:rsid w:val="00535CB0"/>
    <w:rsid w:val="00542778"/>
    <w:rsid w:val="00543656"/>
    <w:rsid w:val="00544279"/>
    <w:rsid w:val="0054522D"/>
    <w:rsid w:val="0054697F"/>
    <w:rsid w:val="005478EE"/>
    <w:rsid w:val="00552829"/>
    <w:rsid w:val="00564955"/>
    <w:rsid w:val="00566EA3"/>
    <w:rsid w:val="00570841"/>
    <w:rsid w:val="0057713A"/>
    <w:rsid w:val="00577BC3"/>
    <w:rsid w:val="0058483D"/>
    <w:rsid w:val="00585087"/>
    <w:rsid w:val="00585825"/>
    <w:rsid w:val="00590877"/>
    <w:rsid w:val="00596646"/>
    <w:rsid w:val="005B0C1E"/>
    <w:rsid w:val="005B4BEA"/>
    <w:rsid w:val="005B5276"/>
    <w:rsid w:val="005F1F58"/>
    <w:rsid w:val="005F553D"/>
    <w:rsid w:val="005F58EF"/>
    <w:rsid w:val="005F5DD1"/>
    <w:rsid w:val="0060267C"/>
    <w:rsid w:val="006046E8"/>
    <w:rsid w:val="00605935"/>
    <w:rsid w:val="00606991"/>
    <w:rsid w:val="00611A26"/>
    <w:rsid w:val="00615343"/>
    <w:rsid w:val="006204D0"/>
    <w:rsid w:val="00621E9B"/>
    <w:rsid w:val="00631D0F"/>
    <w:rsid w:val="006360F9"/>
    <w:rsid w:val="00636DC7"/>
    <w:rsid w:val="00641F8E"/>
    <w:rsid w:val="00661F00"/>
    <w:rsid w:val="0066263E"/>
    <w:rsid w:val="0066505E"/>
    <w:rsid w:val="006650F2"/>
    <w:rsid w:val="0066512B"/>
    <w:rsid w:val="00671F2C"/>
    <w:rsid w:val="00677038"/>
    <w:rsid w:val="0067726E"/>
    <w:rsid w:val="006850DC"/>
    <w:rsid w:val="006856A7"/>
    <w:rsid w:val="006916D0"/>
    <w:rsid w:val="006A13DB"/>
    <w:rsid w:val="006A3FD1"/>
    <w:rsid w:val="006B0D54"/>
    <w:rsid w:val="006B2A28"/>
    <w:rsid w:val="006B2CCE"/>
    <w:rsid w:val="006B59F0"/>
    <w:rsid w:val="006B6126"/>
    <w:rsid w:val="006C2DD3"/>
    <w:rsid w:val="006C5941"/>
    <w:rsid w:val="006C6815"/>
    <w:rsid w:val="006D2C9C"/>
    <w:rsid w:val="006D6309"/>
    <w:rsid w:val="006D657F"/>
    <w:rsid w:val="006D78DC"/>
    <w:rsid w:val="006E3366"/>
    <w:rsid w:val="006F0662"/>
    <w:rsid w:val="00701236"/>
    <w:rsid w:val="00705CDF"/>
    <w:rsid w:val="00710EDA"/>
    <w:rsid w:val="00711C98"/>
    <w:rsid w:val="007138E7"/>
    <w:rsid w:val="00714E6E"/>
    <w:rsid w:val="007168D2"/>
    <w:rsid w:val="007304AF"/>
    <w:rsid w:val="00730666"/>
    <w:rsid w:val="00735C1B"/>
    <w:rsid w:val="00741577"/>
    <w:rsid w:val="00751C47"/>
    <w:rsid w:val="0075501F"/>
    <w:rsid w:val="0075671C"/>
    <w:rsid w:val="0076416A"/>
    <w:rsid w:val="00765FC4"/>
    <w:rsid w:val="00771613"/>
    <w:rsid w:val="00773F66"/>
    <w:rsid w:val="00774C17"/>
    <w:rsid w:val="00774FA6"/>
    <w:rsid w:val="00782096"/>
    <w:rsid w:val="007847F8"/>
    <w:rsid w:val="00790632"/>
    <w:rsid w:val="00791FCE"/>
    <w:rsid w:val="0079374B"/>
    <w:rsid w:val="007937B1"/>
    <w:rsid w:val="00794179"/>
    <w:rsid w:val="00796D97"/>
    <w:rsid w:val="007A2920"/>
    <w:rsid w:val="007A45B6"/>
    <w:rsid w:val="007D008A"/>
    <w:rsid w:val="007D1001"/>
    <w:rsid w:val="007D4387"/>
    <w:rsid w:val="007F0480"/>
    <w:rsid w:val="007F1B99"/>
    <w:rsid w:val="007F2D30"/>
    <w:rsid w:val="007F6AAA"/>
    <w:rsid w:val="007F6DCD"/>
    <w:rsid w:val="007F76DD"/>
    <w:rsid w:val="00801EA4"/>
    <w:rsid w:val="00806561"/>
    <w:rsid w:val="00810876"/>
    <w:rsid w:val="008156EE"/>
    <w:rsid w:val="00823331"/>
    <w:rsid w:val="0082680A"/>
    <w:rsid w:val="00833203"/>
    <w:rsid w:val="008352D0"/>
    <w:rsid w:val="00836773"/>
    <w:rsid w:val="00843BBA"/>
    <w:rsid w:val="00845E9D"/>
    <w:rsid w:val="00855BFC"/>
    <w:rsid w:val="00855EA1"/>
    <w:rsid w:val="00865F63"/>
    <w:rsid w:val="008665FF"/>
    <w:rsid w:val="0087043A"/>
    <w:rsid w:val="00871B55"/>
    <w:rsid w:val="00874883"/>
    <w:rsid w:val="00874D59"/>
    <w:rsid w:val="00875B41"/>
    <w:rsid w:val="0088196E"/>
    <w:rsid w:val="00883CDA"/>
    <w:rsid w:val="00893150"/>
    <w:rsid w:val="008973DB"/>
    <w:rsid w:val="008A5524"/>
    <w:rsid w:val="008B4ABF"/>
    <w:rsid w:val="008C4FF8"/>
    <w:rsid w:val="008D35F1"/>
    <w:rsid w:val="008D5AFF"/>
    <w:rsid w:val="008F63D9"/>
    <w:rsid w:val="00900827"/>
    <w:rsid w:val="0090339E"/>
    <w:rsid w:val="00910090"/>
    <w:rsid w:val="00911D0C"/>
    <w:rsid w:val="00912C33"/>
    <w:rsid w:val="00914050"/>
    <w:rsid w:val="00914EF6"/>
    <w:rsid w:val="00920A7F"/>
    <w:rsid w:val="009215C1"/>
    <w:rsid w:val="00931093"/>
    <w:rsid w:val="00940F16"/>
    <w:rsid w:val="00946219"/>
    <w:rsid w:val="00954B0D"/>
    <w:rsid w:val="009614D6"/>
    <w:rsid w:val="00961CBD"/>
    <w:rsid w:val="009658BD"/>
    <w:rsid w:val="00965DE4"/>
    <w:rsid w:val="009728B9"/>
    <w:rsid w:val="00976FB3"/>
    <w:rsid w:val="00977966"/>
    <w:rsid w:val="00985AE6"/>
    <w:rsid w:val="0099178D"/>
    <w:rsid w:val="00991BF8"/>
    <w:rsid w:val="00995F49"/>
    <w:rsid w:val="009A37A0"/>
    <w:rsid w:val="009B051D"/>
    <w:rsid w:val="009B391C"/>
    <w:rsid w:val="009B3F1E"/>
    <w:rsid w:val="009B45D8"/>
    <w:rsid w:val="009B4E0E"/>
    <w:rsid w:val="009B57AA"/>
    <w:rsid w:val="009B7B0F"/>
    <w:rsid w:val="009C1EE8"/>
    <w:rsid w:val="009D78A2"/>
    <w:rsid w:val="009E0569"/>
    <w:rsid w:val="009E2A92"/>
    <w:rsid w:val="009E31D3"/>
    <w:rsid w:val="009E385F"/>
    <w:rsid w:val="009F460A"/>
    <w:rsid w:val="009F50E0"/>
    <w:rsid w:val="009F5C5A"/>
    <w:rsid w:val="00A0054D"/>
    <w:rsid w:val="00A02283"/>
    <w:rsid w:val="00A03063"/>
    <w:rsid w:val="00A04BCA"/>
    <w:rsid w:val="00A06B7F"/>
    <w:rsid w:val="00A23E8F"/>
    <w:rsid w:val="00A252D6"/>
    <w:rsid w:val="00A265CB"/>
    <w:rsid w:val="00A2734F"/>
    <w:rsid w:val="00A333AB"/>
    <w:rsid w:val="00A355C4"/>
    <w:rsid w:val="00A35FC9"/>
    <w:rsid w:val="00A3609E"/>
    <w:rsid w:val="00A45380"/>
    <w:rsid w:val="00A51583"/>
    <w:rsid w:val="00A538A6"/>
    <w:rsid w:val="00A57664"/>
    <w:rsid w:val="00A612EA"/>
    <w:rsid w:val="00A719FC"/>
    <w:rsid w:val="00A82CFF"/>
    <w:rsid w:val="00A86A57"/>
    <w:rsid w:val="00A93B16"/>
    <w:rsid w:val="00A97845"/>
    <w:rsid w:val="00AA75CE"/>
    <w:rsid w:val="00AA7A0E"/>
    <w:rsid w:val="00AB04C6"/>
    <w:rsid w:val="00AB217F"/>
    <w:rsid w:val="00AB261A"/>
    <w:rsid w:val="00AB449D"/>
    <w:rsid w:val="00AC3313"/>
    <w:rsid w:val="00AD618E"/>
    <w:rsid w:val="00AE3245"/>
    <w:rsid w:val="00AE3625"/>
    <w:rsid w:val="00AF03B9"/>
    <w:rsid w:val="00AF6C5C"/>
    <w:rsid w:val="00B014FC"/>
    <w:rsid w:val="00B0174D"/>
    <w:rsid w:val="00B04C8A"/>
    <w:rsid w:val="00B05327"/>
    <w:rsid w:val="00B12717"/>
    <w:rsid w:val="00B13003"/>
    <w:rsid w:val="00B165BB"/>
    <w:rsid w:val="00B16D2D"/>
    <w:rsid w:val="00B2523E"/>
    <w:rsid w:val="00B25638"/>
    <w:rsid w:val="00B30290"/>
    <w:rsid w:val="00B32CF0"/>
    <w:rsid w:val="00B528A5"/>
    <w:rsid w:val="00B5296C"/>
    <w:rsid w:val="00B603F2"/>
    <w:rsid w:val="00B652EC"/>
    <w:rsid w:val="00B76031"/>
    <w:rsid w:val="00B7688F"/>
    <w:rsid w:val="00B76C3A"/>
    <w:rsid w:val="00B77EC6"/>
    <w:rsid w:val="00B801BB"/>
    <w:rsid w:val="00B81045"/>
    <w:rsid w:val="00B813F3"/>
    <w:rsid w:val="00B81939"/>
    <w:rsid w:val="00B822A5"/>
    <w:rsid w:val="00B931CA"/>
    <w:rsid w:val="00B96091"/>
    <w:rsid w:val="00BA787A"/>
    <w:rsid w:val="00BB1612"/>
    <w:rsid w:val="00BC204C"/>
    <w:rsid w:val="00BC4844"/>
    <w:rsid w:val="00BC4974"/>
    <w:rsid w:val="00BC5A7F"/>
    <w:rsid w:val="00BC776D"/>
    <w:rsid w:val="00BD20DA"/>
    <w:rsid w:val="00BE0C51"/>
    <w:rsid w:val="00BE3BEA"/>
    <w:rsid w:val="00BE4C05"/>
    <w:rsid w:val="00BF7726"/>
    <w:rsid w:val="00C051FD"/>
    <w:rsid w:val="00C072C8"/>
    <w:rsid w:val="00C13D94"/>
    <w:rsid w:val="00C16970"/>
    <w:rsid w:val="00C20056"/>
    <w:rsid w:val="00C2217F"/>
    <w:rsid w:val="00C236C8"/>
    <w:rsid w:val="00C23AD0"/>
    <w:rsid w:val="00C26447"/>
    <w:rsid w:val="00C277AC"/>
    <w:rsid w:val="00C27F44"/>
    <w:rsid w:val="00C34C47"/>
    <w:rsid w:val="00C3590D"/>
    <w:rsid w:val="00C36D06"/>
    <w:rsid w:val="00C3729A"/>
    <w:rsid w:val="00C373CB"/>
    <w:rsid w:val="00C4045F"/>
    <w:rsid w:val="00C4132A"/>
    <w:rsid w:val="00C4776D"/>
    <w:rsid w:val="00C509D0"/>
    <w:rsid w:val="00C512FA"/>
    <w:rsid w:val="00C535A6"/>
    <w:rsid w:val="00C54DB0"/>
    <w:rsid w:val="00C55272"/>
    <w:rsid w:val="00C57F04"/>
    <w:rsid w:val="00C620F2"/>
    <w:rsid w:val="00C62BF1"/>
    <w:rsid w:val="00C66C92"/>
    <w:rsid w:val="00C71120"/>
    <w:rsid w:val="00C72AEE"/>
    <w:rsid w:val="00C73216"/>
    <w:rsid w:val="00C75800"/>
    <w:rsid w:val="00C75D32"/>
    <w:rsid w:val="00C7605C"/>
    <w:rsid w:val="00C77D0B"/>
    <w:rsid w:val="00C832FE"/>
    <w:rsid w:val="00C92207"/>
    <w:rsid w:val="00C96983"/>
    <w:rsid w:val="00CA2EF9"/>
    <w:rsid w:val="00CA3C30"/>
    <w:rsid w:val="00CA4B68"/>
    <w:rsid w:val="00CB207E"/>
    <w:rsid w:val="00CC097D"/>
    <w:rsid w:val="00CD1BBF"/>
    <w:rsid w:val="00CD5528"/>
    <w:rsid w:val="00CE100F"/>
    <w:rsid w:val="00CE7211"/>
    <w:rsid w:val="00CF2992"/>
    <w:rsid w:val="00CF608D"/>
    <w:rsid w:val="00D02EB4"/>
    <w:rsid w:val="00D22AD4"/>
    <w:rsid w:val="00D343BD"/>
    <w:rsid w:val="00D37143"/>
    <w:rsid w:val="00D401CE"/>
    <w:rsid w:val="00D41B9D"/>
    <w:rsid w:val="00D42420"/>
    <w:rsid w:val="00D44DCB"/>
    <w:rsid w:val="00D457F5"/>
    <w:rsid w:val="00D5285E"/>
    <w:rsid w:val="00D52A72"/>
    <w:rsid w:val="00D5469E"/>
    <w:rsid w:val="00D6033C"/>
    <w:rsid w:val="00D60CD8"/>
    <w:rsid w:val="00D72745"/>
    <w:rsid w:val="00D745B1"/>
    <w:rsid w:val="00D77193"/>
    <w:rsid w:val="00D81104"/>
    <w:rsid w:val="00D97604"/>
    <w:rsid w:val="00DA62C3"/>
    <w:rsid w:val="00DA7948"/>
    <w:rsid w:val="00DB536C"/>
    <w:rsid w:val="00DC7386"/>
    <w:rsid w:val="00DD2B07"/>
    <w:rsid w:val="00DD645C"/>
    <w:rsid w:val="00DD7B0E"/>
    <w:rsid w:val="00DE18D6"/>
    <w:rsid w:val="00DF10AE"/>
    <w:rsid w:val="00DF42AF"/>
    <w:rsid w:val="00E02736"/>
    <w:rsid w:val="00E031C9"/>
    <w:rsid w:val="00E0778B"/>
    <w:rsid w:val="00E07BEB"/>
    <w:rsid w:val="00E12557"/>
    <w:rsid w:val="00E232BB"/>
    <w:rsid w:val="00E34AD2"/>
    <w:rsid w:val="00E34D77"/>
    <w:rsid w:val="00E354CB"/>
    <w:rsid w:val="00E36638"/>
    <w:rsid w:val="00E405B0"/>
    <w:rsid w:val="00E61817"/>
    <w:rsid w:val="00E63F14"/>
    <w:rsid w:val="00E677E7"/>
    <w:rsid w:val="00E776D4"/>
    <w:rsid w:val="00E872F8"/>
    <w:rsid w:val="00EB0700"/>
    <w:rsid w:val="00EC6F8E"/>
    <w:rsid w:val="00EE030D"/>
    <w:rsid w:val="00EE0726"/>
    <w:rsid w:val="00EE221C"/>
    <w:rsid w:val="00EE6962"/>
    <w:rsid w:val="00EF5932"/>
    <w:rsid w:val="00F01111"/>
    <w:rsid w:val="00F03E8C"/>
    <w:rsid w:val="00F05DAA"/>
    <w:rsid w:val="00F10931"/>
    <w:rsid w:val="00F12DDD"/>
    <w:rsid w:val="00F146CA"/>
    <w:rsid w:val="00F177B3"/>
    <w:rsid w:val="00F27B95"/>
    <w:rsid w:val="00F31377"/>
    <w:rsid w:val="00F31E90"/>
    <w:rsid w:val="00F345B0"/>
    <w:rsid w:val="00F3541A"/>
    <w:rsid w:val="00F418AB"/>
    <w:rsid w:val="00F44ABA"/>
    <w:rsid w:val="00F457F0"/>
    <w:rsid w:val="00F5029A"/>
    <w:rsid w:val="00F5164D"/>
    <w:rsid w:val="00F5334E"/>
    <w:rsid w:val="00F674A0"/>
    <w:rsid w:val="00F707F8"/>
    <w:rsid w:val="00F7130A"/>
    <w:rsid w:val="00F816C2"/>
    <w:rsid w:val="00F8370D"/>
    <w:rsid w:val="00F940B5"/>
    <w:rsid w:val="00FA75FB"/>
    <w:rsid w:val="00FA7908"/>
    <w:rsid w:val="00FB41F2"/>
    <w:rsid w:val="00FB4A72"/>
    <w:rsid w:val="00FB6596"/>
    <w:rsid w:val="00FB6CDA"/>
    <w:rsid w:val="00FD2766"/>
    <w:rsid w:val="00FE0731"/>
    <w:rsid w:val="00FE12AA"/>
    <w:rsid w:val="00FF0C29"/>
    <w:rsid w:val="027873EE"/>
    <w:rsid w:val="06AD34D1"/>
    <w:rsid w:val="12D47661"/>
    <w:rsid w:val="23B445CF"/>
    <w:rsid w:val="27B65914"/>
    <w:rsid w:val="47A45E01"/>
    <w:rsid w:val="4B4733A3"/>
    <w:rsid w:val="533836FE"/>
    <w:rsid w:val="5866186F"/>
    <w:rsid w:val="6C1726C7"/>
    <w:rsid w:val="713D59D3"/>
    <w:rsid w:val="76606AAB"/>
    <w:rsid w:val="787542B9"/>
    <w:rsid w:val="79945D40"/>
    <w:rsid w:val="7AB62307"/>
    <w:rsid w:val="7AC14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4179"/>
    <w:pPr>
      <w:widowControl w:val="0"/>
      <w:jc w:val="both"/>
    </w:pPr>
    <w:rPr>
      <w:rFonts w:asciiTheme="minorHAnsi" w:eastAsiaTheme="minorEastAsia" w:hAnsiTheme="minorHAns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rsid w:val="00794179"/>
    <w:rPr>
      <w:rFonts w:ascii="宋体" w:hAnsi="宋体"/>
      <w:kern w:val="0"/>
      <w:sz w:val="24"/>
      <w:szCs w:val="21"/>
    </w:rPr>
  </w:style>
  <w:style w:type="paragraph" w:styleId="a4">
    <w:name w:val="Body Text Indent"/>
    <w:basedOn w:val="a"/>
    <w:rsid w:val="00794179"/>
    <w:pPr>
      <w:ind w:firstLine="540"/>
    </w:pPr>
    <w:rPr>
      <w:sz w:val="24"/>
      <w:szCs w:val="20"/>
    </w:rPr>
  </w:style>
  <w:style w:type="paragraph" w:styleId="a5">
    <w:name w:val="Normal Indent"/>
    <w:basedOn w:val="a"/>
    <w:qFormat/>
    <w:rsid w:val="00794179"/>
    <w:pPr>
      <w:ind w:firstLine="420"/>
    </w:pPr>
    <w:rPr>
      <w:rFonts w:ascii="Times New Roman" w:eastAsia="宋体" w:hAnsi="Times New Roman"/>
      <w:szCs w:val="20"/>
    </w:rPr>
  </w:style>
  <w:style w:type="paragraph" w:styleId="a6">
    <w:name w:val="annotation text"/>
    <w:basedOn w:val="a"/>
    <w:link w:val="Char"/>
    <w:uiPriority w:val="99"/>
    <w:semiHidden/>
    <w:unhideWhenUsed/>
    <w:qFormat/>
    <w:rsid w:val="00794179"/>
    <w:pPr>
      <w:jc w:val="left"/>
    </w:pPr>
  </w:style>
  <w:style w:type="paragraph" w:styleId="a7">
    <w:name w:val="Balloon Text"/>
    <w:basedOn w:val="a"/>
    <w:link w:val="Char0"/>
    <w:uiPriority w:val="99"/>
    <w:semiHidden/>
    <w:unhideWhenUsed/>
    <w:qFormat/>
    <w:rsid w:val="00794179"/>
    <w:rPr>
      <w:sz w:val="18"/>
      <w:szCs w:val="18"/>
    </w:rPr>
  </w:style>
  <w:style w:type="paragraph" w:styleId="a8">
    <w:name w:val="footer"/>
    <w:basedOn w:val="a"/>
    <w:link w:val="Char1"/>
    <w:uiPriority w:val="99"/>
    <w:unhideWhenUsed/>
    <w:qFormat/>
    <w:rsid w:val="00794179"/>
    <w:pPr>
      <w:tabs>
        <w:tab w:val="center" w:pos="4153"/>
        <w:tab w:val="right" w:pos="8306"/>
      </w:tabs>
      <w:snapToGrid w:val="0"/>
      <w:jc w:val="left"/>
    </w:pPr>
    <w:rPr>
      <w:rFonts w:cstheme="minorBidi"/>
      <w:sz w:val="18"/>
      <w:szCs w:val="18"/>
    </w:rPr>
  </w:style>
  <w:style w:type="paragraph" w:styleId="a9">
    <w:name w:val="header"/>
    <w:basedOn w:val="a"/>
    <w:link w:val="Char2"/>
    <w:uiPriority w:val="99"/>
    <w:unhideWhenUsed/>
    <w:qFormat/>
    <w:rsid w:val="00794179"/>
    <w:pPr>
      <w:pBdr>
        <w:bottom w:val="single" w:sz="6" w:space="1" w:color="auto"/>
      </w:pBdr>
      <w:tabs>
        <w:tab w:val="center" w:pos="4153"/>
        <w:tab w:val="right" w:pos="8306"/>
      </w:tabs>
      <w:snapToGrid w:val="0"/>
      <w:jc w:val="center"/>
    </w:pPr>
    <w:rPr>
      <w:rFonts w:cstheme="minorBidi"/>
      <w:sz w:val="18"/>
      <w:szCs w:val="18"/>
    </w:rPr>
  </w:style>
  <w:style w:type="paragraph" w:styleId="aa">
    <w:name w:val="annotation subject"/>
    <w:basedOn w:val="a6"/>
    <w:next w:val="a6"/>
    <w:link w:val="Char3"/>
    <w:uiPriority w:val="99"/>
    <w:semiHidden/>
    <w:unhideWhenUsed/>
    <w:rsid w:val="00794179"/>
    <w:rPr>
      <w:b/>
      <w:bCs/>
    </w:rPr>
  </w:style>
  <w:style w:type="character" w:styleId="ab">
    <w:name w:val="Strong"/>
    <w:basedOn w:val="a1"/>
    <w:uiPriority w:val="22"/>
    <w:qFormat/>
    <w:rsid w:val="00794179"/>
    <w:rPr>
      <w:b/>
      <w:bCs/>
    </w:rPr>
  </w:style>
  <w:style w:type="character" w:styleId="ac">
    <w:name w:val="FollowedHyperlink"/>
    <w:basedOn w:val="a1"/>
    <w:uiPriority w:val="99"/>
    <w:semiHidden/>
    <w:unhideWhenUsed/>
    <w:qFormat/>
    <w:rsid w:val="00794179"/>
    <w:rPr>
      <w:color w:val="800080" w:themeColor="followedHyperlink"/>
      <w:u w:val="single"/>
    </w:rPr>
  </w:style>
  <w:style w:type="character" w:styleId="ad">
    <w:name w:val="Hyperlink"/>
    <w:basedOn w:val="a1"/>
    <w:uiPriority w:val="99"/>
    <w:unhideWhenUsed/>
    <w:qFormat/>
    <w:rsid w:val="00794179"/>
    <w:rPr>
      <w:color w:val="0000FF" w:themeColor="hyperlink"/>
      <w:u w:val="single"/>
    </w:rPr>
  </w:style>
  <w:style w:type="character" w:styleId="ae">
    <w:name w:val="annotation reference"/>
    <w:basedOn w:val="a1"/>
    <w:uiPriority w:val="99"/>
    <w:semiHidden/>
    <w:unhideWhenUsed/>
    <w:qFormat/>
    <w:rsid w:val="00794179"/>
    <w:rPr>
      <w:sz w:val="21"/>
      <w:szCs w:val="21"/>
    </w:rPr>
  </w:style>
  <w:style w:type="character" w:customStyle="1" w:styleId="Char2">
    <w:name w:val="页眉 Char"/>
    <w:basedOn w:val="a1"/>
    <w:link w:val="a9"/>
    <w:uiPriority w:val="99"/>
    <w:qFormat/>
    <w:rsid w:val="00794179"/>
    <w:rPr>
      <w:sz w:val="18"/>
      <w:szCs w:val="18"/>
    </w:rPr>
  </w:style>
  <w:style w:type="character" w:customStyle="1" w:styleId="Char1">
    <w:name w:val="页脚 Char"/>
    <w:basedOn w:val="a1"/>
    <w:link w:val="a8"/>
    <w:uiPriority w:val="99"/>
    <w:qFormat/>
    <w:rsid w:val="00794179"/>
    <w:rPr>
      <w:sz w:val="18"/>
      <w:szCs w:val="18"/>
    </w:rPr>
  </w:style>
  <w:style w:type="character" w:customStyle="1" w:styleId="Char">
    <w:name w:val="批注文字 Char"/>
    <w:basedOn w:val="a1"/>
    <w:link w:val="a6"/>
    <w:uiPriority w:val="99"/>
    <w:semiHidden/>
    <w:qFormat/>
    <w:rsid w:val="00794179"/>
    <w:rPr>
      <w:rFonts w:cs="Times New Roman"/>
    </w:rPr>
  </w:style>
  <w:style w:type="character" w:customStyle="1" w:styleId="Char3">
    <w:name w:val="批注主题 Char"/>
    <w:basedOn w:val="Char"/>
    <w:link w:val="aa"/>
    <w:uiPriority w:val="99"/>
    <w:semiHidden/>
    <w:qFormat/>
    <w:rsid w:val="00794179"/>
    <w:rPr>
      <w:rFonts w:cs="Times New Roman"/>
      <w:b/>
      <w:bCs/>
    </w:rPr>
  </w:style>
  <w:style w:type="character" w:customStyle="1" w:styleId="Char0">
    <w:name w:val="批注框文本 Char"/>
    <w:basedOn w:val="a1"/>
    <w:link w:val="a7"/>
    <w:uiPriority w:val="99"/>
    <w:semiHidden/>
    <w:qFormat/>
    <w:rsid w:val="00794179"/>
    <w:rPr>
      <w:rFonts w:cs="Times New Roman"/>
      <w:sz w:val="18"/>
      <w:szCs w:val="18"/>
    </w:rPr>
  </w:style>
  <w:style w:type="paragraph" w:customStyle="1" w:styleId="Default">
    <w:name w:val="Default"/>
    <w:qFormat/>
    <w:rsid w:val="00794179"/>
    <w:pPr>
      <w:widowControl w:val="0"/>
      <w:autoSpaceDE w:val="0"/>
      <w:autoSpaceDN w:val="0"/>
      <w:adjustRightInd w:val="0"/>
    </w:pPr>
    <w:rPr>
      <w:rFonts w:ascii="Arial" w:eastAsiaTheme="minorEastAsia" w:hAnsi="Arial" w:cs="Arial"/>
      <w:color w:val="000000"/>
      <w:sz w:val="24"/>
      <w:szCs w:val="24"/>
    </w:rPr>
  </w:style>
  <w:style w:type="paragraph" w:customStyle="1" w:styleId="af">
    <w:name w:val="正文所"/>
    <w:basedOn w:val="a"/>
    <w:qFormat/>
    <w:rsid w:val="00794179"/>
    <w:pPr>
      <w:spacing w:line="360" w:lineRule="auto"/>
      <w:ind w:firstLineChars="200" w:firstLine="420"/>
    </w:pPr>
    <w:rPr>
      <w:rFonts w:ascii="宋体" w:eastAsia="宋体" w:hAnsi="Times New Roman"/>
      <w:szCs w:val="20"/>
    </w:rPr>
  </w:style>
  <w:style w:type="paragraph" w:customStyle="1" w:styleId="1">
    <w:name w:val="修订1"/>
    <w:hidden/>
    <w:uiPriority w:val="99"/>
    <w:semiHidden/>
    <w:qFormat/>
    <w:rsid w:val="00794179"/>
    <w:rPr>
      <w:rFonts w:asciiTheme="minorHAnsi" w:eastAsiaTheme="minorEastAsia" w:hAnsiTheme="minorHAnsi"/>
      <w:kern w:val="2"/>
      <w:sz w:val="21"/>
      <w:szCs w:val="22"/>
    </w:rPr>
  </w:style>
  <w:style w:type="paragraph" w:customStyle="1" w:styleId="af0">
    <w:name w:val="正文内容"/>
    <w:basedOn w:val="a"/>
    <w:link w:val="Char4"/>
    <w:qFormat/>
    <w:rsid w:val="00794179"/>
    <w:pPr>
      <w:spacing w:line="360" w:lineRule="auto"/>
      <w:ind w:firstLineChars="200" w:firstLine="480"/>
    </w:pPr>
    <w:rPr>
      <w:rFonts w:ascii="Times New Roman" w:eastAsia="宋体" w:hAnsi="Times New Roman"/>
      <w:bCs/>
      <w:sz w:val="24"/>
      <w:szCs w:val="24"/>
      <w:lang w:val="zh-CN"/>
    </w:rPr>
  </w:style>
  <w:style w:type="character" w:customStyle="1" w:styleId="Char4">
    <w:name w:val="正文内容 Char"/>
    <w:link w:val="af0"/>
    <w:qFormat/>
    <w:rsid w:val="00794179"/>
    <w:rPr>
      <w:rFonts w:ascii="Times New Roman" w:eastAsia="宋体" w:hAnsi="Times New Roman" w:cs="Times New Roman"/>
      <w:bCs/>
      <w:sz w:val="24"/>
      <w:szCs w:val="24"/>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4B0D-EEDF-4781-9632-98D3B238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4494</Characters>
  <Application>Microsoft Office Word</Application>
  <DocSecurity>4</DocSecurity>
  <Lines>37</Lines>
  <Paragraphs>10</Paragraphs>
  <ScaleCrop>false</ScaleCrop>
  <Company>Microsoft</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董放</dc:creator>
  <cp:lastModifiedBy>ZHONGM</cp:lastModifiedBy>
  <cp:revision>2</cp:revision>
  <cp:lastPrinted>2017-05-03T06:34:00Z</cp:lastPrinted>
  <dcterms:created xsi:type="dcterms:W3CDTF">2026-01-29T16:02:00Z</dcterms:created>
  <dcterms:modified xsi:type="dcterms:W3CDTF">2026-01-29T16:02:00Z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4F105B0C9BDA4798ABB01B6B2089D086</vt:lpwstr>
  </property>
</Properties>
</file>