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7B6" w:rsidRDefault="0025663D">
      <w:pPr>
        <w:pStyle w:val="font14"/>
        <w:jc w:val="center"/>
        <w:rPr>
          <w:rFonts w:ascii="Times New Roman" w:hAnsi="Times New Roman" w:cs="Times New Roman"/>
          <w:sz w:val="36"/>
          <w:szCs w:val="36"/>
        </w:rPr>
      </w:pPr>
      <w:r>
        <w:rPr>
          <w:rStyle w:val="a8"/>
          <w:rFonts w:ascii="Times New Roman" w:hAnsi="Times New Roman" w:cs="Times New Roman"/>
          <w:sz w:val="36"/>
          <w:szCs w:val="36"/>
        </w:rPr>
        <w:t>易方达基金管理有限公司关于旗下部分基金获配北汽蓝谷（</w:t>
      </w:r>
      <w:r>
        <w:rPr>
          <w:rStyle w:val="a8"/>
          <w:rFonts w:ascii="Times New Roman" w:hAnsi="Times New Roman" w:cs="Times New Roman"/>
          <w:sz w:val="36"/>
          <w:szCs w:val="36"/>
        </w:rPr>
        <w:t>600733</w:t>
      </w:r>
      <w:r>
        <w:rPr>
          <w:rStyle w:val="a8"/>
          <w:rFonts w:ascii="Times New Roman" w:hAnsi="Times New Roman" w:cs="Times New Roman"/>
          <w:sz w:val="36"/>
          <w:szCs w:val="36"/>
        </w:rPr>
        <w:t>）非公开发行</w:t>
      </w:r>
      <w:r>
        <w:rPr>
          <w:rStyle w:val="a8"/>
          <w:rFonts w:ascii="Times New Roman" w:hAnsi="Times New Roman" w:cs="Times New Roman"/>
          <w:sz w:val="36"/>
          <w:szCs w:val="36"/>
        </w:rPr>
        <w:t>A</w:t>
      </w:r>
      <w:r>
        <w:rPr>
          <w:rStyle w:val="a8"/>
          <w:rFonts w:ascii="Times New Roman" w:hAnsi="Times New Roman" w:cs="Times New Roman"/>
          <w:sz w:val="36"/>
          <w:szCs w:val="36"/>
        </w:rPr>
        <w:t>股的公告</w:t>
      </w:r>
    </w:p>
    <w:p w:rsidR="00F977B6" w:rsidRDefault="0025663D">
      <w:pPr>
        <w:widowControl/>
        <w:spacing w:line="360" w:lineRule="auto"/>
        <w:ind w:firstLineChars="200" w:firstLine="480"/>
        <w:rPr>
          <w:kern w:val="0"/>
          <w:sz w:val="24"/>
        </w:rPr>
      </w:pPr>
      <w:r>
        <w:rPr>
          <w:kern w:val="0"/>
          <w:sz w:val="24"/>
        </w:rPr>
        <w:t>易方达基金管理有限公司</w:t>
      </w:r>
      <w:r>
        <w:rPr>
          <w:rFonts w:hint="eastAsia"/>
          <w:kern w:val="0"/>
          <w:sz w:val="24"/>
        </w:rPr>
        <w:t>（</w:t>
      </w:r>
      <w:r>
        <w:rPr>
          <w:kern w:val="0"/>
          <w:sz w:val="24"/>
        </w:rPr>
        <w:t>以下简称</w:t>
      </w:r>
      <w:r>
        <w:rPr>
          <w:rFonts w:hint="eastAsia"/>
          <w:kern w:val="0"/>
          <w:sz w:val="24"/>
        </w:rPr>
        <w:t>“</w:t>
      </w:r>
      <w:r>
        <w:rPr>
          <w:kern w:val="0"/>
          <w:sz w:val="24"/>
        </w:rPr>
        <w:t>本公司</w:t>
      </w:r>
      <w:r>
        <w:rPr>
          <w:rFonts w:hint="eastAsia"/>
          <w:kern w:val="0"/>
          <w:sz w:val="24"/>
        </w:rPr>
        <w:t>”）</w:t>
      </w:r>
      <w:r>
        <w:rPr>
          <w:kern w:val="0"/>
          <w:sz w:val="24"/>
        </w:rPr>
        <w:t>所管理的部分基金参加了北汽蓝谷新能源科技股份有限公司非公开发行股票的认购。</w:t>
      </w:r>
    </w:p>
    <w:p w:rsidR="00F977B6" w:rsidRDefault="0025663D">
      <w:pPr>
        <w:widowControl/>
        <w:spacing w:after="240" w:line="360" w:lineRule="auto"/>
        <w:ind w:firstLineChars="200" w:firstLine="480"/>
        <w:rPr>
          <w:kern w:val="0"/>
          <w:sz w:val="24"/>
        </w:rPr>
      </w:pPr>
      <w:r>
        <w:rPr>
          <w:kern w:val="0"/>
          <w:sz w:val="24"/>
        </w:rPr>
        <w:t>根据《公开募集证券投资基金信息披露管理办法》《关于基金投资非公开发行股票等流通受限证券有关问题的通知》等有关规定</w:t>
      </w:r>
      <w:r>
        <w:rPr>
          <w:rFonts w:hint="eastAsia"/>
          <w:kern w:val="0"/>
          <w:sz w:val="24"/>
        </w:rPr>
        <w:t>，</w:t>
      </w:r>
      <w:r>
        <w:rPr>
          <w:kern w:val="0"/>
          <w:sz w:val="24"/>
        </w:rPr>
        <w:t>本公司现将</w:t>
      </w:r>
      <w:r>
        <w:rPr>
          <w:rFonts w:hint="eastAsia"/>
          <w:kern w:val="0"/>
          <w:sz w:val="24"/>
        </w:rPr>
        <w:t>旗下</w:t>
      </w:r>
      <w:r>
        <w:rPr>
          <w:kern w:val="0"/>
          <w:sz w:val="24"/>
        </w:rPr>
        <w:t>基金获配北汽蓝谷新能源科技股份有限公司非公开发行股票情况披露如下：</w:t>
      </w:r>
    </w:p>
    <w:tbl>
      <w:tblPr>
        <w:tblStyle w:val="a7"/>
        <w:tblW w:w="0" w:type="auto"/>
        <w:jc w:val="center"/>
        <w:tblLook w:val="04A0"/>
      </w:tblPr>
      <w:tblGrid>
        <w:gridCol w:w="2203"/>
        <w:gridCol w:w="1161"/>
        <w:gridCol w:w="1529"/>
        <w:gridCol w:w="759"/>
        <w:gridCol w:w="1529"/>
        <w:gridCol w:w="759"/>
        <w:gridCol w:w="582"/>
      </w:tblGrid>
      <w:tr w:rsidR="00F977B6">
        <w:trPr>
          <w:jc w:val="center"/>
        </w:trPr>
        <w:tc>
          <w:tcPr>
            <w:tcW w:w="2244" w:type="dxa"/>
            <w:vAlign w:val="center"/>
          </w:tcPr>
          <w:p w:rsidR="00F977B6" w:rsidRDefault="0025663D">
            <w:pPr>
              <w:widowControl/>
              <w:jc w:val="center"/>
              <w:rPr>
                <w:color w:val="000000"/>
                <w:kern w:val="0"/>
                <w:szCs w:val="21"/>
              </w:rPr>
            </w:pPr>
            <w:r>
              <w:rPr>
                <w:color w:val="000000"/>
                <w:kern w:val="0"/>
                <w:szCs w:val="21"/>
              </w:rPr>
              <w:t>基金名称</w:t>
            </w:r>
          </w:p>
        </w:tc>
        <w:tc>
          <w:tcPr>
            <w:tcW w:w="1161" w:type="dxa"/>
            <w:vAlign w:val="center"/>
          </w:tcPr>
          <w:p w:rsidR="00F977B6" w:rsidRDefault="0025663D">
            <w:pPr>
              <w:widowControl/>
              <w:jc w:val="center"/>
              <w:rPr>
                <w:color w:val="000000"/>
                <w:kern w:val="0"/>
                <w:szCs w:val="21"/>
              </w:rPr>
            </w:pPr>
            <w:r>
              <w:rPr>
                <w:color w:val="000000"/>
                <w:kern w:val="0"/>
                <w:szCs w:val="21"/>
              </w:rPr>
              <w:t>获配数量（股）</w:t>
            </w:r>
          </w:p>
        </w:tc>
        <w:tc>
          <w:tcPr>
            <w:tcW w:w="1529" w:type="dxa"/>
            <w:vAlign w:val="center"/>
          </w:tcPr>
          <w:p w:rsidR="00F977B6" w:rsidRDefault="0025663D">
            <w:pPr>
              <w:widowControl/>
              <w:jc w:val="center"/>
              <w:rPr>
                <w:color w:val="000000"/>
                <w:kern w:val="0"/>
                <w:szCs w:val="21"/>
              </w:rPr>
            </w:pPr>
            <w:r>
              <w:rPr>
                <w:color w:val="000000"/>
                <w:kern w:val="0"/>
                <w:szCs w:val="21"/>
              </w:rPr>
              <w:t>总成本（元）</w:t>
            </w:r>
          </w:p>
        </w:tc>
        <w:tc>
          <w:tcPr>
            <w:tcW w:w="760" w:type="dxa"/>
            <w:vAlign w:val="center"/>
          </w:tcPr>
          <w:p w:rsidR="00F977B6" w:rsidRDefault="0025663D">
            <w:pPr>
              <w:widowControl/>
              <w:jc w:val="center"/>
              <w:rPr>
                <w:color w:val="000000"/>
                <w:kern w:val="0"/>
                <w:szCs w:val="21"/>
              </w:rPr>
            </w:pPr>
            <w:r>
              <w:rPr>
                <w:color w:val="000000"/>
                <w:kern w:val="0"/>
                <w:szCs w:val="21"/>
              </w:rPr>
              <w:t>总成本占基金资产净值比例</w:t>
            </w:r>
          </w:p>
        </w:tc>
        <w:tc>
          <w:tcPr>
            <w:tcW w:w="1529" w:type="dxa"/>
            <w:vAlign w:val="center"/>
          </w:tcPr>
          <w:p w:rsidR="00F977B6" w:rsidRDefault="0025663D">
            <w:pPr>
              <w:widowControl/>
              <w:jc w:val="center"/>
              <w:rPr>
                <w:color w:val="000000"/>
                <w:kern w:val="0"/>
                <w:szCs w:val="21"/>
              </w:rPr>
            </w:pPr>
            <w:r>
              <w:rPr>
                <w:color w:val="000000"/>
                <w:kern w:val="0"/>
                <w:szCs w:val="21"/>
              </w:rPr>
              <w:t>账面价值（元）</w:t>
            </w:r>
          </w:p>
        </w:tc>
        <w:tc>
          <w:tcPr>
            <w:tcW w:w="760" w:type="dxa"/>
            <w:vAlign w:val="center"/>
          </w:tcPr>
          <w:p w:rsidR="00F977B6" w:rsidRDefault="0025663D">
            <w:pPr>
              <w:widowControl/>
              <w:jc w:val="center"/>
              <w:rPr>
                <w:color w:val="000000"/>
                <w:kern w:val="0"/>
                <w:szCs w:val="21"/>
              </w:rPr>
            </w:pPr>
            <w:r>
              <w:rPr>
                <w:color w:val="000000"/>
                <w:kern w:val="0"/>
                <w:szCs w:val="21"/>
              </w:rPr>
              <w:t>账面价值占基金资产净值比例</w:t>
            </w:r>
          </w:p>
        </w:tc>
        <w:tc>
          <w:tcPr>
            <w:tcW w:w="539" w:type="dxa"/>
            <w:vAlign w:val="center"/>
          </w:tcPr>
          <w:p w:rsidR="00F977B6" w:rsidRDefault="0025663D">
            <w:pPr>
              <w:widowControl/>
              <w:jc w:val="center"/>
              <w:rPr>
                <w:color w:val="000000"/>
                <w:kern w:val="0"/>
                <w:szCs w:val="21"/>
              </w:rPr>
            </w:pPr>
            <w:r>
              <w:rPr>
                <w:color w:val="000000"/>
                <w:kern w:val="0"/>
                <w:szCs w:val="21"/>
              </w:rPr>
              <w:t>锁定期</w:t>
            </w:r>
          </w:p>
        </w:tc>
      </w:tr>
      <w:tr w:rsidR="00F977B6">
        <w:trPr>
          <w:jc w:val="center"/>
        </w:trPr>
        <w:tc>
          <w:tcPr>
            <w:tcW w:w="0" w:type="auto"/>
            <w:vAlign w:val="center"/>
          </w:tcPr>
          <w:p w:rsidR="00F977B6" w:rsidRDefault="0025663D">
            <w:pPr>
              <w:jc w:val="center"/>
            </w:pPr>
            <w:r>
              <w:rPr>
                <w:szCs w:val="21"/>
              </w:rPr>
              <w:t>易方达裕丰回报债券型证券投资基金</w:t>
            </w:r>
          </w:p>
        </w:tc>
        <w:tc>
          <w:tcPr>
            <w:tcW w:w="0" w:type="auto"/>
            <w:vAlign w:val="center"/>
          </w:tcPr>
          <w:p w:rsidR="00F977B6" w:rsidRDefault="0025663D">
            <w:pPr>
              <w:jc w:val="center"/>
              <w:rPr>
                <w:szCs w:val="21"/>
              </w:rPr>
            </w:pPr>
            <w:r>
              <w:rPr>
                <w:rFonts w:hint="eastAsia"/>
                <w:szCs w:val="21"/>
              </w:rPr>
              <w:t>21,917,989</w:t>
            </w:r>
          </w:p>
        </w:tc>
        <w:tc>
          <w:tcPr>
            <w:tcW w:w="1529" w:type="dxa"/>
            <w:vAlign w:val="center"/>
          </w:tcPr>
          <w:p w:rsidR="00F977B6" w:rsidRDefault="0025663D">
            <w:pPr>
              <w:jc w:val="center"/>
              <w:rPr>
                <w:szCs w:val="21"/>
              </w:rPr>
            </w:pPr>
            <w:r>
              <w:rPr>
                <w:rFonts w:hint="eastAsia"/>
                <w:szCs w:val="21"/>
              </w:rPr>
              <w:t xml:space="preserve">165,699,996.84 </w:t>
            </w:r>
          </w:p>
        </w:tc>
        <w:tc>
          <w:tcPr>
            <w:tcW w:w="760" w:type="dxa"/>
            <w:vAlign w:val="center"/>
          </w:tcPr>
          <w:p w:rsidR="00F977B6" w:rsidRDefault="0025663D">
            <w:pPr>
              <w:jc w:val="center"/>
              <w:rPr>
                <w:szCs w:val="21"/>
              </w:rPr>
            </w:pPr>
            <w:r>
              <w:rPr>
                <w:rFonts w:hint="eastAsia"/>
                <w:szCs w:val="21"/>
              </w:rPr>
              <w:t>0.94%</w:t>
            </w:r>
          </w:p>
        </w:tc>
        <w:tc>
          <w:tcPr>
            <w:tcW w:w="1529" w:type="dxa"/>
            <w:vAlign w:val="center"/>
          </w:tcPr>
          <w:p w:rsidR="00F977B6" w:rsidRDefault="0025663D">
            <w:pPr>
              <w:jc w:val="center"/>
              <w:rPr>
                <w:szCs w:val="21"/>
              </w:rPr>
            </w:pPr>
            <w:r>
              <w:rPr>
                <w:rFonts w:hint="eastAsia"/>
                <w:szCs w:val="21"/>
              </w:rPr>
              <w:t xml:space="preserve">173,590,472.88 </w:t>
            </w:r>
          </w:p>
        </w:tc>
        <w:tc>
          <w:tcPr>
            <w:tcW w:w="760" w:type="dxa"/>
            <w:vAlign w:val="center"/>
          </w:tcPr>
          <w:p w:rsidR="00F977B6" w:rsidRDefault="0025663D">
            <w:pPr>
              <w:jc w:val="center"/>
              <w:rPr>
                <w:szCs w:val="21"/>
              </w:rPr>
            </w:pPr>
            <w:r>
              <w:rPr>
                <w:rFonts w:hint="eastAsia"/>
                <w:szCs w:val="21"/>
              </w:rPr>
              <w:t>0.98%</w:t>
            </w:r>
          </w:p>
        </w:tc>
        <w:tc>
          <w:tcPr>
            <w:tcW w:w="0" w:type="auto"/>
            <w:vAlign w:val="center"/>
          </w:tcPr>
          <w:p w:rsidR="00F977B6" w:rsidRDefault="0025663D">
            <w:pPr>
              <w:jc w:val="center"/>
            </w:pPr>
            <w:r>
              <w:rPr>
                <w:szCs w:val="21"/>
              </w:rPr>
              <w:t>6</w:t>
            </w:r>
            <w:r>
              <w:rPr>
                <w:szCs w:val="21"/>
              </w:rPr>
              <w:t>个月</w:t>
            </w:r>
          </w:p>
        </w:tc>
      </w:tr>
      <w:tr w:rsidR="00F977B6">
        <w:trPr>
          <w:jc w:val="center"/>
        </w:trPr>
        <w:tc>
          <w:tcPr>
            <w:tcW w:w="0" w:type="auto"/>
            <w:vAlign w:val="center"/>
          </w:tcPr>
          <w:p w:rsidR="00F977B6" w:rsidRDefault="0025663D">
            <w:pPr>
              <w:jc w:val="center"/>
            </w:pPr>
            <w:r>
              <w:rPr>
                <w:szCs w:val="21"/>
              </w:rPr>
              <w:t>易方达裕如灵活配置混合型证券投资基金</w:t>
            </w:r>
          </w:p>
        </w:tc>
        <w:tc>
          <w:tcPr>
            <w:tcW w:w="0" w:type="auto"/>
            <w:vAlign w:val="center"/>
          </w:tcPr>
          <w:p w:rsidR="00F977B6" w:rsidRDefault="0025663D">
            <w:pPr>
              <w:jc w:val="center"/>
              <w:rPr>
                <w:szCs w:val="21"/>
              </w:rPr>
            </w:pPr>
            <w:r>
              <w:rPr>
                <w:rFonts w:hint="eastAsia"/>
                <w:szCs w:val="21"/>
              </w:rPr>
              <w:t>29,100</w:t>
            </w:r>
          </w:p>
        </w:tc>
        <w:tc>
          <w:tcPr>
            <w:tcW w:w="1529" w:type="dxa"/>
            <w:vAlign w:val="center"/>
          </w:tcPr>
          <w:p w:rsidR="00F977B6" w:rsidRDefault="0025663D">
            <w:pPr>
              <w:jc w:val="center"/>
              <w:rPr>
                <w:szCs w:val="21"/>
              </w:rPr>
            </w:pPr>
            <w:r>
              <w:rPr>
                <w:rFonts w:hint="eastAsia"/>
                <w:szCs w:val="21"/>
              </w:rPr>
              <w:t xml:space="preserve">219,996.00 </w:t>
            </w:r>
          </w:p>
        </w:tc>
        <w:tc>
          <w:tcPr>
            <w:tcW w:w="760" w:type="dxa"/>
            <w:vAlign w:val="center"/>
          </w:tcPr>
          <w:p w:rsidR="00F977B6" w:rsidRDefault="0025663D">
            <w:pPr>
              <w:jc w:val="center"/>
              <w:rPr>
                <w:szCs w:val="21"/>
              </w:rPr>
            </w:pPr>
            <w:r>
              <w:rPr>
                <w:rFonts w:hint="eastAsia"/>
                <w:szCs w:val="21"/>
              </w:rPr>
              <w:t>0.36%</w:t>
            </w:r>
          </w:p>
        </w:tc>
        <w:tc>
          <w:tcPr>
            <w:tcW w:w="1529" w:type="dxa"/>
            <w:vAlign w:val="center"/>
          </w:tcPr>
          <w:p w:rsidR="00F977B6" w:rsidRDefault="0025663D">
            <w:pPr>
              <w:jc w:val="center"/>
              <w:rPr>
                <w:szCs w:val="21"/>
              </w:rPr>
            </w:pPr>
            <w:r>
              <w:rPr>
                <w:rFonts w:hint="eastAsia"/>
                <w:szCs w:val="21"/>
              </w:rPr>
              <w:t xml:space="preserve">230,472.00 </w:t>
            </w:r>
          </w:p>
        </w:tc>
        <w:tc>
          <w:tcPr>
            <w:tcW w:w="760" w:type="dxa"/>
            <w:vAlign w:val="center"/>
          </w:tcPr>
          <w:p w:rsidR="00F977B6" w:rsidRDefault="0025663D">
            <w:pPr>
              <w:jc w:val="center"/>
              <w:rPr>
                <w:szCs w:val="21"/>
              </w:rPr>
            </w:pPr>
            <w:r>
              <w:rPr>
                <w:rFonts w:hint="eastAsia"/>
                <w:szCs w:val="21"/>
              </w:rPr>
              <w:t>0.38%</w:t>
            </w:r>
          </w:p>
        </w:tc>
        <w:tc>
          <w:tcPr>
            <w:tcW w:w="0" w:type="auto"/>
            <w:vAlign w:val="center"/>
          </w:tcPr>
          <w:p w:rsidR="00F977B6" w:rsidRDefault="0025663D">
            <w:pPr>
              <w:jc w:val="center"/>
            </w:pPr>
            <w:r>
              <w:rPr>
                <w:szCs w:val="21"/>
              </w:rPr>
              <w:t>6</w:t>
            </w:r>
            <w:r>
              <w:rPr>
                <w:szCs w:val="21"/>
              </w:rPr>
              <w:t>个月</w:t>
            </w:r>
          </w:p>
        </w:tc>
      </w:tr>
      <w:tr w:rsidR="00F977B6">
        <w:trPr>
          <w:jc w:val="center"/>
        </w:trPr>
        <w:tc>
          <w:tcPr>
            <w:tcW w:w="0" w:type="auto"/>
            <w:vAlign w:val="center"/>
          </w:tcPr>
          <w:p w:rsidR="00F977B6" w:rsidRDefault="0025663D">
            <w:pPr>
              <w:jc w:val="center"/>
            </w:pPr>
            <w:r>
              <w:rPr>
                <w:szCs w:val="21"/>
              </w:rPr>
              <w:t>易方达新收益灵活配置混合型证券投资基金</w:t>
            </w:r>
          </w:p>
        </w:tc>
        <w:tc>
          <w:tcPr>
            <w:tcW w:w="0" w:type="auto"/>
            <w:vAlign w:val="center"/>
          </w:tcPr>
          <w:p w:rsidR="00F977B6" w:rsidRDefault="0025663D">
            <w:pPr>
              <w:jc w:val="center"/>
              <w:rPr>
                <w:szCs w:val="21"/>
              </w:rPr>
            </w:pPr>
            <w:r>
              <w:rPr>
                <w:rFonts w:hint="eastAsia"/>
                <w:szCs w:val="21"/>
              </w:rPr>
              <w:t>3,822,751</w:t>
            </w:r>
          </w:p>
        </w:tc>
        <w:tc>
          <w:tcPr>
            <w:tcW w:w="1529" w:type="dxa"/>
            <w:vAlign w:val="center"/>
          </w:tcPr>
          <w:p w:rsidR="00F977B6" w:rsidRDefault="0025663D">
            <w:pPr>
              <w:jc w:val="center"/>
              <w:rPr>
                <w:szCs w:val="21"/>
              </w:rPr>
            </w:pPr>
            <w:r>
              <w:rPr>
                <w:rFonts w:hint="eastAsia"/>
                <w:szCs w:val="21"/>
              </w:rPr>
              <w:t xml:space="preserve">28,899,997.56 </w:t>
            </w:r>
          </w:p>
        </w:tc>
        <w:tc>
          <w:tcPr>
            <w:tcW w:w="760" w:type="dxa"/>
            <w:vAlign w:val="center"/>
          </w:tcPr>
          <w:p w:rsidR="00F977B6" w:rsidRDefault="0025663D">
            <w:pPr>
              <w:jc w:val="center"/>
              <w:rPr>
                <w:szCs w:val="21"/>
              </w:rPr>
            </w:pPr>
            <w:r>
              <w:rPr>
                <w:rFonts w:hint="eastAsia"/>
                <w:szCs w:val="21"/>
              </w:rPr>
              <w:t>0.99%</w:t>
            </w:r>
          </w:p>
        </w:tc>
        <w:tc>
          <w:tcPr>
            <w:tcW w:w="1529" w:type="dxa"/>
            <w:vAlign w:val="center"/>
          </w:tcPr>
          <w:p w:rsidR="00F977B6" w:rsidRDefault="0025663D">
            <w:pPr>
              <w:jc w:val="center"/>
              <w:rPr>
                <w:szCs w:val="21"/>
              </w:rPr>
            </w:pPr>
            <w:r>
              <w:rPr>
                <w:rFonts w:hint="eastAsia"/>
                <w:szCs w:val="21"/>
              </w:rPr>
              <w:t xml:space="preserve">30,276,187.92 </w:t>
            </w:r>
          </w:p>
        </w:tc>
        <w:tc>
          <w:tcPr>
            <w:tcW w:w="760" w:type="dxa"/>
            <w:vAlign w:val="center"/>
          </w:tcPr>
          <w:p w:rsidR="00F977B6" w:rsidRDefault="0025663D">
            <w:pPr>
              <w:jc w:val="center"/>
              <w:rPr>
                <w:szCs w:val="21"/>
              </w:rPr>
            </w:pPr>
            <w:r>
              <w:rPr>
                <w:rFonts w:hint="eastAsia"/>
                <w:szCs w:val="21"/>
              </w:rPr>
              <w:t>1.04%</w:t>
            </w:r>
          </w:p>
        </w:tc>
        <w:tc>
          <w:tcPr>
            <w:tcW w:w="0" w:type="auto"/>
            <w:vAlign w:val="center"/>
          </w:tcPr>
          <w:p w:rsidR="00F977B6" w:rsidRDefault="0025663D">
            <w:pPr>
              <w:jc w:val="center"/>
            </w:pPr>
            <w:r>
              <w:rPr>
                <w:szCs w:val="21"/>
              </w:rPr>
              <w:t>6</w:t>
            </w:r>
            <w:r>
              <w:rPr>
                <w:szCs w:val="21"/>
              </w:rPr>
              <w:t>个月</w:t>
            </w:r>
          </w:p>
        </w:tc>
      </w:tr>
      <w:tr w:rsidR="00F977B6">
        <w:trPr>
          <w:jc w:val="center"/>
        </w:trPr>
        <w:tc>
          <w:tcPr>
            <w:tcW w:w="0" w:type="auto"/>
            <w:vAlign w:val="center"/>
          </w:tcPr>
          <w:p w:rsidR="00F977B6" w:rsidRDefault="0025663D">
            <w:pPr>
              <w:jc w:val="center"/>
            </w:pPr>
            <w:r>
              <w:rPr>
                <w:szCs w:val="21"/>
              </w:rPr>
              <w:t>易方达安盈回报混合型证券投资基金</w:t>
            </w:r>
          </w:p>
        </w:tc>
        <w:tc>
          <w:tcPr>
            <w:tcW w:w="0" w:type="auto"/>
            <w:vAlign w:val="center"/>
          </w:tcPr>
          <w:p w:rsidR="00F977B6" w:rsidRDefault="0025663D">
            <w:pPr>
              <w:jc w:val="center"/>
              <w:rPr>
                <w:szCs w:val="21"/>
              </w:rPr>
            </w:pPr>
            <w:r>
              <w:rPr>
                <w:rFonts w:hint="eastAsia"/>
                <w:szCs w:val="21"/>
              </w:rPr>
              <w:t>1,838,624</w:t>
            </w:r>
          </w:p>
        </w:tc>
        <w:tc>
          <w:tcPr>
            <w:tcW w:w="1529" w:type="dxa"/>
            <w:vAlign w:val="center"/>
          </w:tcPr>
          <w:p w:rsidR="00F977B6" w:rsidRDefault="0025663D">
            <w:pPr>
              <w:jc w:val="center"/>
              <w:rPr>
                <w:szCs w:val="21"/>
              </w:rPr>
            </w:pPr>
            <w:r>
              <w:rPr>
                <w:rFonts w:hint="eastAsia"/>
                <w:szCs w:val="21"/>
              </w:rPr>
              <w:t xml:space="preserve">13,899,997.44 </w:t>
            </w:r>
          </w:p>
        </w:tc>
        <w:tc>
          <w:tcPr>
            <w:tcW w:w="760" w:type="dxa"/>
            <w:vAlign w:val="center"/>
          </w:tcPr>
          <w:p w:rsidR="00F977B6" w:rsidRDefault="0025663D">
            <w:pPr>
              <w:jc w:val="center"/>
              <w:rPr>
                <w:szCs w:val="21"/>
              </w:rPr>
            </w:pPr>
            <w:r>
              <w:rPr>
                <w:rFonts w:hint="eastAsia"/>
                <w:szCs w:val="21"/>
              </w:rPr>
              <w:t>1.11%</w:t>
            </w:r>
          </w:p>
        </w:tc>
        <w:tc>
          <w:tcPr>
            <w:tcW w:w="1529" w:type="dxa"/>
            <w:vAlign w:val="center"/>
          </w:tcPr>
          <w:p w:rsidR="00F977B6" w:rsidRDefault="0025663D">
            <w:pPr>
              <w:jc w:val="center"/>
              <w:rPr>
                <w:szCs w:val="21"/>
              </w:rPr>
            </w:pPr>
            <w:r>
              <w:rPr>
                <w:rFonts w:hint="eastAsia"/>
                <w:szCs w:val="21"/>
              </w:rPr>
              <w:t xml:space="preserve">14,561,902.08 </w:t>
            </w:r>
          </w:p>
        </w:tc>
        <w:tc>
          <w:tcPr>
            <w:tcW w:w="760" w:type="dxa"/>
            <w:vAlign w:val="center"/>
          </w:tcPr>
          <w:p w:rsidR="00F977B6" w:rsidRDefault="0025663D">
            <w:pPr>
              <w:jc w:val="center"/>
              <w:rPr>
                <w:szCs w:val="21"/>
              </w:rPr>
            </w:pPr>
            <w:r>
              <w:rPr>
                <w:rFonts w:hint="eastAsia"/>
                <w:szCs w:val="21"/>
              </w:rPr>
              <w:t>1.17%</w:t>
            </w:r>
          </w:p>
        </w:tc>
        <w:tc>
          <w:tcPr>
            <w:tcW w:w="0" w:type="auto"/>
            <w:vAlign w:val="center"/>
          </w:tcPr>
          <w:p w:rsidR="00F977B6" w:rsidRDefault="0025663D">
            <w:pPr>
              <w:jc w:val="center"/>
            </w:pPr>
            <w:r>
              <w:rPr>
                <w:szCs w:val="21"/>
              </w:rPr>
              <w:t>6</w:t>
            </w:r>
            <w:r>
              <w:rPr>
                <w:szCs w:val="21"/>
              </w:rPr>
              <w:t>个月</w:t>
            </w:r>
          </w:p>
        </w:tc>
      </w:tr>
      <w:tr w:rsidR="00F977B6">
        <w:trPr>
          <w:jc w:val="center"/>
        </w:trPr>
        <w:tc>
          <w:tcPr>
            <w:tcW w:w="0" w:type="auto"/>
            <w:vAlign w:val="center"/>
          </w:tcPr>
          <w:p w:rsidR="00F977B6" w:rsidRDefault="0025663D">
            <w:pPr>
              <w:jc w:val="center"/>
            </w:pPr>
            <w:r>
              <w:rPr>
                <w:szCs w:val="21"/>
              </w:rPr>
              <w:t>易方达丰和债券型证券投资基金</w:t>
            </w:r>
          </w:p>
        </w:tc>
        <w:tc>
          <w:tcPr>
            <w:tcW w:w="0" w:type="auto"/>
            <w:vAlign w:val="center"/>
          </w:tcPr>
          <w:p w:rsidR="00F977B6" w:rsidRDefault="0025663D">
            <w:pPr>
              <w:jc w:val="center"/>
              <w:rPr>
                <w:szCs w:val="21"/>
              </w:rPr>
            </w:pPr>
            <w:r>
              <w:rPr>
                <w:rFonts w:hint="eastAsia"/>
                <w:szCs w:val="21"/>
              </w:rPr>
              <w:t>3,994,708</w:t>
            </w:r>
          </w:p>
        </w:tc>
        <w:tc>
          <w:tcPr>
            <w:tcW w:w="1529" w:type="dxa"/>
            <w:vAlign w:val="center"/>
          </w:tcPr>
          <w:p w:rsidR="00F977B6" w:rsidRDefault="0025663D">
            <w:pPr>
              <w:jc w:val="center"/>
              <w:rPr>
                <w:szCs w:val="21"/>
              </w:rPr>
            </w:pPr>
            <w:r>
              <w:rPr>
                <w:rFonts w:hint="eastAsia"/>
                <w:szCs w:val="21"/>
              </w:rPr>
              <w:t xml:space="preserve">30,199,992.48 </w:t>
            </w:r>
          </w:p>
        </w:tc>
        <w:tc>
          <w:tcPr>
            <w:tcW w:w="760" w:type="dxa"/>
            <w:vAlign w:val="center"/>
          </w:tcPr>
          <w:p w:rsidR="00F977B6" w:rsidRDefault="0025663D">
            <w:pPr>
              <w:jc w:val="center"/>
              <w:rPr>
                <w:szCs w:val="21"/>
              </w:rPr>
            </w:pPr>
            <w:r>
              <w:rPr>
                <w:rFonts w:hint="eastAsia"/>
                <w:szCs w:val="21"/>
              </w:rPr>
              <w:t>1.02%</w:t>
            </w:r>
          </w:p>
        </w:tc>
        <w:tc>
          <w:tcPr>
            <w:tcW w:w="1529" w:type="dxa"/>
            <w:vAlign w:val="center"/>
          </w:tcPr>
          <w:p w:rsidR="00F977B6" w:rsidRDefault="0025663D">
            <w:pPr>
              <w:jc w:val="center"/>
              <w:rPr>
                <w:szCs w:val="21"/>
              </w:rPr>
            </w:pPr>
            <w:r>
              <w:rPr>
                <w:rFonts w:hint="eastAsia"/>
                <w:szCs w:val="21"/>
              </w:rPr>
              <w:t xml:space="preserve">31,638,087.36 </w:t>
            </w:r>
          </w:p>
        </w:tc>
        <w:tc>
          <w:tcPr>
            <w:tcW w:w="760" w:type="dxa"/>
            <w:vAlign w:val="center"/>
          </w:tcPr>
          <w:p w:rsidR="00F977B6" w:rsidRDefault="0025663D">
            <w:pPr>
              <w:jc w:val="center"/>
              <w:rPr>
                <w:szCs w:val="21"/>
              </w:rPr>
            </w:pPr>
            <w:r>
              <w:rPr>
                <w:rFonts w:hint="eastAsia"/>
                <w:szCs w:val="21"/>
              </w:rPr>
              <w:t>1.07%</w:t>
            </w:r>
          </w:p>
        </w:tc>
        <w:tc>
          <w:tcPr>
            <w:tcW w:w="0" w:type="auto"/>
            <w:vAlign w:val="center"/>
          </w:tcPr>
          <w:p w:rsidR="00F977B6" w:rsidRDefault="0025663D">
            <w:pPr>
              <w:jc w:val="center"/>
            </w:pPr>
            <w:r>
              <w:rPr>
                <w:szCs w:val="21"/>
              </w:rPr>
              <w:t>6</w:t>
            </w:r>
            <w:r>
              <w:rPr>
                <w:szCs w:val="21"/>
              </w:rPr>
              <w:t>个月</w:t>
            </w:r>
          </w:p>
        </w:tc>
      </w:tr>
      <w:tr w:rsidR="00F977B6">
        <w:trPr>
          <w:jc w:val="center"/>
        </w:trPr>
        <w:tc>
          <w:tcPr>
            <w:tcW w:w="0" w:type="auto"/>
            <w:vAlign w:val="center"/>
          </w:tcPr>
          <w:p w:rsidR="00F977B6" w:rsidRDefault="0025663D">
            <w:pPr>
              <w:jc w:val="center"/>
            </w:pPr>
            <w:r>
              <w:rPr>
                <w:szCs w:val="21"/>
              </w:rPr>
              <w:t>易方达裕富债券型证券投资基金</w:t>
            </w:r>
          </w:p>
        </w:tc>
        <w:tc>
          <w:tcPr>
            <w:tcW w:w="0" w:type="auto"/>
            <w:vAlign w:val="center"/>
          </w:tcPr>
          <w:p w:rsidR="00F977B6" w:rsidRDefault="0025663D">
            <w:pPr>
              <w:jc w:val="center"/>
              <w:rPr>
                <w:szCs w:val="21"/>
              </w:rPr>
            </w:pPr>
            <w:r>
              <w:rPr>
                <w:rFonts w:hint="eastAsia"/>
                <w:szCs w:val="21"/>
              </w:rPr>
              <w:t>1,322,751</w:t>
            </w:r>
          </w:p>
        </w:tc>
        <w:tc>
          <w:tcPr>
            <w:tcW w:w="1529" w:type="dxa"/>
            <w:vAlign w:val="center"/>
          </w:tcPr>
          <w:p w:rsidR="00F977B6" w:rsidRDefault="0025663D">
            <w:pPr>
              <w:jc w:val="center"/>
              <w:rPr>
                <w:szCs w:val="21"/>
              </w:rPr>
            </w:pPr>
            <w:r>
              <w:rPr>
                <w:rFonts w:hint="eastAsia"/>
                <w:szCs w:val="21"/>
              </w:rPr>
              <w:t xml:space="preserve">9,999,997.56 </w:t>
            </w:r>
          </w:p>
        </w:tc>
        <w:tc>
          <w:tcPr>
            <w:tcW w:w="760" w:type="dxa"/>
            <w:vAlign w:val="center"/>
          </w:tcPr>
          <w:p w:rsidR="00F977B6" w:rsidRDefault="0025663D">
            <w:pPr>
              <w:jc w:val="center"/>
              <w:rPr>
                <w:szCs w:val="21"/>
              </w:rPr>
            </w:pPr>
            <w:r>
              <w:rPr>
                <w:rFonts w:hint="eastAsia"/>
                <w:szCs w:val="21"/>
              </w:rPr>
              <w:t>0.10%</w:t>
            </w:r>
          </w:p>
        </w:tc>
        <w:tc>
          <w:tcPr>
            <w:tcW w:w="1529" w:type="dxa"/>
            <w:vAlign w:val="center"/>
          </w:tcPr>
          <w:p w:rsidR="00F977B6" w:rsidRDefault="0025663D">
            <w:pPr>
              <w:jc w:val="center"/>
              <w:rPr>
                <w:szCs w:val="21"/>
              </w:rPr>
            </w:pPr>
            <w:r>
              <w:rPr>
                <w:rFonts w:hint="eastAsia"/>
                <w:szCs w:val="21"/>
              </w:rPr>
              <w:t xml:space="preserve">10,476,187.92 </w:t>
            </w:r>
          </w:p>
        </w:tc>
        <w:tc>
          <w:tcPr>
            <w:tcW w:w="760" w:type="dxa"/>
            <w:vAlign w:val="center"/>
          </w:tcPr>
          <w:p w:rsidR="00F977B6" w:rsidRDefault="0025663D">
            <w:pPr>
              <w:jc w:val="center"/>
              <w:rPr>
                <w:szCs w:val="21"/>
              </w:rPr>
            </w:pPr>
            <w:r>
              <w:rPr>
                <w:rFonts w:hint="eastAsia"/>
                <w:szCs w:val="21"/>
              </w:rPr>
              <w:t>0.11%</w:t>
            </w:r>
          </w:p>
        </w:tc>
        <w:tc>
          <w:tcPr>
            <w:tcW w:w="0" w:type="auto"/>
            <w:vAlign w:val="center"/>
          </w:tcPr>
          <w:p w:rsidR="00F977B6" w:rsidRDefault="0025663D">
            <w:pPr>
              <w:jc w:val="center"/>
            </w:pPr>
            <w:r>
              <w:rPr>
                <w:szCs w:val="21"/>
              </w:rPr>
              <w:t>6</w:t>
            </w:r>
            <w:r>
              <w:rPr>
                <w:szCs w:val="21"/>
              </w:rPr>
              <w:t>个月</w:t>
            </w:r>
          </w:p>
        </w:tc>
      </w:tr>
      <w:tr w:rsidR="00F977B6">
        <w:trPr>
          <w:jc w:val="center"/>
        </w:trPr>
        <w:tc>
          <w:tcPr>
            <w:tcW w:w="0" w:type="auto"/>
            <w:vAlign w:val="center"/>
          </w:tcPr>
          <w:p w:rsidR="00F977B6" w:rsidRDefault="0025663D">
            <w:pPr>
              <w:jc w:val="center"/>
            </w:pPr>
            <w:r>
              <w:rPr>
                <w:szCs w:val="21"/>
              </w:rPr>
              <w:t>易方达瑞川灵活配置混合型发起式证券投资基金</w:t>
            </w:r>
          </w:p>
        </w:tc>
        <w:tc>
          <w:tcPr>
            <w:tcW w:w="0" w:type="auto"/>
            <w:vAlign w:val="center"/>
          </w:tcPr>
          <w:p w:rsidR="00F977B6" w:rsidRDefault="0025663D">
            <w:pPr>
              <w:jc w:val="center"/>
              <w:rPr>
                <w:szCs w:val="21"/>
              </w:rPr>
            </w:pPr>
            <w:r>
              <w:rPr>
                <w:rFonts w:hint="eastAsia"/>
                <w:szCs w:val="21"/>
              </w:rPr>
              <w:t>52,910</w:t>
            </w:r>
          </w:p>
        </w:tc>
        <w:tc>
          <w:tcPr>
            <w:tcW w:w="1529" w:type="dxa"/>
            <w:vAlign w:val="center"/>
          </w:tcPr>
          <w:p w:rsidR="00F977B6" w:rsidRDefault="0025663D">
            <w:pPr>
              <w:jc w:val="center"/>
              <w:rPr>
                <w:szCs w:val="21"/>
              </w:rPr>
            </w:pPr>
            <w:r>
              <w:rPr>
                <w:rFonts w:hint="eastAsia"/>
                <w:szCs w:val="21"/>
              </w:rPr>
              <w:t xml:space="preserve">399,999.60 </w:t>
            </w:r>
          </w:p>
        </w:tc>
        <w:tc>
          <w:tcPr>
            <w:tcW w:w="760" w:type="dxa"/>
            <w:vAlign w:val="center"/>
          </w:tcPr>
          <w:p w:rsidR="00F977B6" w:rsidRDefault="0025663D">
            <w:pPr>
              <w:jc w:val="center"/>
              <w:rPr>
                <w:szCs w:val="21"/>
              </w:rPr>
            </w:pPr>
            <w:r>
              <w:rPr>
                <w:rFonts w:hint="eastAsia"/>
                <w:szCs w:val="21"/>
              </w:rPr>
              <w:t>0.51%</w:t>
            </w:r>
          </w:p>
        </w:tc>
        <w:tc>
          <w:tcPr>
            <w:tcW w:w="1529" w:type="dxa"/>
            <w:vAlign w:val="center"/>
          </w:tcPr>
          <w:p w:rsidR="00F977B6" w:rsidRDefault="0025663D">
            <w:pPr>
              <w:jc w:val="center"/>
              <w:rPr>
                <w:szCs w:val="21"/>
              </w:rPr>
            </w:pPr>
            <w:r>
              <w:rPr>
                <w:rFonts w:hint="eastAsia"/>
                <w:szCs w:val="21"/>
              </w:rPr>
              <w:t xml:space="preserve">419,047.20 </w:t>
            </w:r>
          </w:p>
        </w:tc>
        <w:tc>
          <w:tcPr>
            <w:tcW w:w="760" w:type="dxa"/>
            <w:vAlign w:val="center"/>
          </w:tcPr>
          <w:p w:rsidR="00F977B6" w:rsidRDefault="0025663D">
            <w:pPr>
              <w:jc w:val="center"/>
              <w:rPr>
                <w:szCs w:val="21"/>
              </w:rPr>
            </w:pPr>
            <w:r>
              <w:rPr>
                <w:rFonts w:hint="eastAsia"/>
                <w:szCs w:val="21"/>
              </w:rPr>
              <w:t>0.53%</w:t>
            </w:r>
          </w:p>
        </w:tc>
        <w:tc>
          <w:tcPr>
            <w:tcW w:w="0" w:type="auto"/>
            <w:vAlign w:val="center"/>
          </w:tcPr>
          <w:p w:rsidR="00F977B6" w:rsidRDefault="0025663D">
            <w:pPr>
              <w:jc w:val="center"/>
            </w:pPr>
            <w:r>
              <w:rPr>
                <w:szCs w:val="21"/>
              </w:rPr>
              <w:t>6</w:t>
            </w:r>
            <w:r>
              <w:rPr>
                <w:szCs w:val="21"/>
              </w:rPr>
              <w:t>个月</w:t>
            </w:r>
          </w:p>
        </w:tc>
      </w:tr>
      <w:tr w:rsidR="00F977B6">
        <w:trPr>
          <w:jc w:val="center"/>
        </w:trPr>
        <w:tc>
          <w:tcPr>
            <w:tcW w:w="0" w:type="auto"/>
            <w:vAlign w:val="center"/>
          </w:tcPr>
          <w:p w:rsidR="00F977B6" w:rsidRDefault="0025663D">
            <w:pPr>
              <w:jc w:val="center"/>
            </w:pPr>
            <w:r>
              <w:rPr>
                <w:szCs w:val="21"/>
              </w:rPr>
              <w:t>易方达悦通一年持有期混合型证券投资基金</w:t>
            </w:r>
          </w:p>
        </w:tc>
        <w:tc>
          <w:tcPr>
            <w:tcW w:w="0" w:type="auto"/>
            <w:vAlign w:val="center"/>
          </w:tcPr>
          <w:p w:rsidR="00F977B6" w:rsidRDefault="0025663D">
            <w:pPr>
              <w:jc w:val="center"/>
              <w:rPr>
                <w:szCs w:val="21"/>
              </w:rPr>
            </w:pPr>
            <w:r>
              <w:rPr>
                <w:rFonts w:hint="eastAsia"/>
                <w:szCs w:val="21"/>
              </w:rPr>
              <w:t>43,650</w:t>
            </w:r>
          </w:p>
        </w:tc>
        <w:tc>
          <w:tcPr>
            <w:tcW w:w="1529" w:type="dxa"/>
            <w:vAlign w:val="center"/>
          </w:tcPr>
          <w:p w:rsidR="00F977B6" w:rsidRDefault="0025663D">
            <w:pPr>
              <w:jc w:val="center"/>
              <w:rPr>
                <w:szCs w:val="21"/>
              </w:rPr>
            </w:pPr>
            <w:r>
              <w:rPr>
                <w:rFonts w:hint="eastAsia"/>
                <w:szCs w:val="21"/>
              </w:rPr>
              <w:t xml:space="preserve">329,994.00 </w:t>
            </w:r>
          </w:p>
        </w:tc>
        <w:tc>
          <w:tcPr>
            <w:tcW w:w="760" w:type="dxa"/>
            <w:vAlign w:val="center"/>
          </w:tcPr>
          <w:p w:rsidR="00F977B6" w:rsidRDefault="0025663D">
            <w:pPr>
              <w:jc w:val="center"/>
              <w:rPr>
                <w:szCs w:val="21"/>
              </w:rPr>
            </w:pPr>
            <w:r>
              <w:rPr>
                <w:rFonts w:hint="eastAsia"/>
                <w:szCs w:val="21"/>
              </w:rPr>
              <w:t>0.30%</w:t>
            </w:r>
          </w:p>
        </w:tc>
        <w:tc>
          <w:tcPr>
            <w:tcW w:w="1529" w:type="dxa"/>
            <w:vAlign w:val="center"/>
          </w:tcPr>
          <w:p w:rsidR="00F977B6" w:rsidRDefault="0025663D">
            <w:pPr>
              <w:jc w:val="center"/>
              <w:rPr>
                <w:szCs w:val="21"/>
              </w:rPr>
            </w:pPr>
            <w:r>
              <w:rPr>
                <w:rFonts w:hint="eastAsia"/>
                <w:szCs w:val="21"/>
              </w:rPr>
              <w:t xml:space="preserve">345,708.00 </w:t>
            </w:r>
          </w:p>
        </w:tc>
        <w:tc>
          <w:tcPr>
            <w:tcW w:w="760" w:type="dxa"/>
            <w:vAlign w:val="center"/>
          </w:tcPr>
          <w:p w:rsidR="00F977B6" w:rsidRDefault="0025663D">
            <w:pPr>
              <w:jc w:val="center"/>
              <w:rPr>
                <w:szCs w:val="21"/>
              </w:rPr>
            </w:pPr>
            <w:r>
              <w:rPr>
                <w:rFonts w:hint="eastAsia"/>
                <w:szCs w:val="21"/>
              </w:rPr>
              <w:t>0.32%</w:t>
            </w:r>
          </w:p>
        </w:tc>
        <w:tc>
          <w:tcPr>
            <w:tcW w:w="0" w:type="auto"/>
            <w:vAlign w:val="center"/>
          </w:tcPr>
          <w:p w:rsidR="00F977B6" w:rsidRDefault="0025663D">
            <w:pPr>
              <w:jc w:val="center"/>
            </w:pPr>
            <w:r>
              <w:rPr>
                <w:szCs w:val="21"/>
              </w:rPr>
              <w:t>6</w:t>
            </w:r>
            <w:r>
              <w:rPr>
                <w:szCs w:val="21"/>
              </w:rPr>
              <w:t>个月</w:t>
            </w:r>
          </w:p>
        </w:tc>
      </w:tr>
      <w:tr w:rsidR="00F977B6">
        <w:trPr>
          <w:jc w:val="center"/>
        </w:trPr>
        <w:tc>
          <w:tcPr>
            <w:tcW w:w="0" w:type="auto"/>
            <w:vAlign w:val="center"/>
          </w:tcPr>
          <w:p w:rsidR="00F977B6" w:rsidRDefault="0025663D">
            <w:pPr>
              <w:jc w:val="center"/>
            </w:pPr>
            <w:r>
              <w:rPr>
                <w:szCs w:val="21"/>
              </w:rPr>
              <w:t>易方达悦兴一年持有期混合型证券投资基金</w:t>
            </w:r>
          </w:p>
        </w:tc>
        <w:tc>
          <w:tcPr>
            <w:tcW w:w="0" w:type="auto"/>
            <w:vAlign w:val="center"/>
          </w:tcPr>
          <w:p w:rsidR="00F977B6" w:rsidRDefault="0025663D">
            <w:pPr>
              <w:jc w:val="center"/>
              <w:rPr>
                <w:szCs w:val="21"/>
              </w:rPr>
            </w:pPr>
            <w:r>
              <w:rPr>
                <w:rFonts w:hint="eastAsia"/>
                <w:szCs w:val="21"/>
              </w:rPr>
              <w:t>2,513,227</w:t>
            </w:r>
          </w:p>
        </w:tc>
        <w:tc>
          <w:tcPr>
            <w:tcW w:w="1529" w:type="dxa"/>
            <w:vAlign w:val="center"/>
          </w:tcPr>
          <w:p w:rsidR="00F977B6" w:rsidRDefault="0025663D">
            <w:pPr>
              <w:jc w:val="center"/>
              <w:rPr>
                <w:szCs w:val="21"/>
              </w:rPr>
            </w:pPr>
            <w:r>
              <w:rPr>
                <w:rFonts w:hint="eastAsia"/>
                <w:szCs w:val="21"/>
              </w:rPr>
              <w:t xml:space="preserve">18,999,996.12 </w:t>
            </w:r>
          </w:p>
        </w:tc>
        <w:tc>
          <w:tcPr>
            <w:tcW w:w="760" w:type="dxa"/>
            <w:vAlign w:val="center"/>
          </w:tcPr>
          <w:p w:rsidR="00F977B6" w:rsidRDefault="0025663D">
            <w:pPr>
              <w:jc w:val="center"/>
              <w:rPr>
                <w:szCs w:val="21"/>
              </w:rPr>
            </w:pPr>
            <w:r>
              <w:rPr>
                <w:rFonts w:hint="eastAsia"/>
                <w:szCs w:val="21"/>
              </w:rPr>
              <w:t>1.04%</w:t>
            </w:r>
          </w:p>
        </w:tc>
        <w:tc>
          <w:tcPr>
            <w:tcW w:w="1529" w:type="dxa"/>
            <w:vAlign w:val="center"/>
          </w:tcPr>
          <w:p w:rsidR="00F977B6" w:rsidRDefault="0025663D">
            <w:pPr>
              <w:jc w:val="center"/>
              <w:rPr>
                <w:szCs w:val="21"/>
              </w:rPr>
            </w:pPr>
            <w:r>
              <w:rPr>
                <w:rFonts w:hint="eastAsia"/>
                <w:szCs w:val="21"/>
              </w:rPr>
              <w:t xml:space="preserve">19,904,757.84 </w:t>
            </w:r>
          </w:p>
        </w:tc>
        <w:tc>
          <w:tcPr>
            <w:tcW w:w="760" w:type="dxa"/>
            <w:vAlign w:val="center"/>
          </w:tcPr>
          <w:p w:rsidR="00F977B6" w:rsidRDefault="0025663D">
            <w:pPr>
              <w:jc w:val="center"/>
              <w:rPr>
                <w:szCs w:val="21"/>
              </w:rPr>
            </w:pPr>
            <w:r>
              <w:rPr>
                <w:rFonts w:hint="eastAsia"/>
                <w:szCs w:val="21"/>
              </w:rPr>
              <w:t>1.09%</w:t>
            </w:r>
          </w:p>
        </w:tc>
        <w:tc>
          <w:tcPr>
            <w:tcW w:w="0" w:type="auto"/>
            <w:vAlign w:val="center"/>
          </w:tcPr>
          <w:p w:rsidR="00F977B6" w:rsidRDefault="0025663D">
            <w:pPr>
              <w:jc w:val="center"/>
            </w:pPr>
            <w:r>
              <w:rPr>
                <w:szCs w:val="21"/>
              </w:rPr>
              <w:t>6</w:t>
            </w:r>
            <w:r>
              <w:rPr>
                <w:szCs w:val="21"/>
              </w:rPr>
              <w:t>个月</w:t>
            </w:r>
          </w:p>
        </w:tc>
      </w:tr>
      <w:tr w:rsidR="00F977B6">
        <w:trPr>
          <w:jc w:val="center"/>
        </w:trPr>
        <w:tc>
          <w:tcPr>
            <w:tcW w:w="0" w:type="auto"/>
            <w:vAlign w:val="center"/>
          </w:tcPr>
          <w:p w:rsidR="00F977B6" w:rsidRDefault="0025663D">
            <w:pPr>
              <w:jc w:val="center"/>
            </w:pPr>
            <w:r>
              <w:rPr>
                <w:szCs w:val="21"/>
              </w:rPr>
              <w:t>易方达增强回报债券型证券投资基金</w:t>
            </w:r>
          </w:p>
        </w:tc>
        <w:tc>
          <w:tcPr>
            <w:tcW w:w="0" w:type="auto"/>
            <w:vAlign w:val="center"/>
          </w:tcPr>
          <w:p w:rsidR="00F977B6" w:rsidRDefault="0025663D">
            <w:pPr>
              <w:jc w:val="center"/>
              <w:rPr>
                <w:szCs w:val="21"/>
              </w:rPr>
            </w:pPr>
            <w:r>
              <w:rPr>
                <w:rFonts w:hint="eastAsia"/>
                <w:szCs w:val="21"/>
              </w:rPr>
              <w:t>2,645,502</w:t>
            </w:r>
          </w:p>
        </w:tc>
        <w:tc>
          <w:tcPr>
            <w:tcW w:w="1529" w:type="dxa"/>
            <w:vAlign w:val="center"/>
          </w:tcPr>
          <w:p w:rsidR="00F977B6" w:rsidRDefault="0025663D">
            <w:pPr>
              <w:jc w:val="center"/>
              <w:rPr>
                <w:szCs w:val="21"/>
              </w:rPr>
            </w:pPr>
            <w:r>
              <w:rPr>
                <w:rFonts w:hint="eastAsia"/>
                <w:szCs w:val="21"/>
              </w:rPr>
              <w:t xml:space="preserve">19,999,995.12 </w:t>
            </w:r>
          </w:p>
        </w:tc>
        <w:tc>
          <w:tcPr>
            <w:tcW w:w="760" w:type="dxa"/>
            <w:vAlign w:val="center"/>
          </w:tcPr>
          <w:p w:rsidR="00F977B6" w:rsidRDefault="0025663D">
            <w:pPr>
              <w:jc w:val="center"/>
              <w:rPr>
                <w:szCs w:val="21"/>
              </w:rPr>
            </w:pPr>
            <w:r>
              <w:rPr>
                <w:rFonts w:hint="eastAsia"/>
                <w:szCs w:val="21"/>
              </w:rPr>
              <w:t>0.04%</w:t>
            </w:r>
          </w:p>
        </w:tc>
        <w:tc>
          <w:tcPr>
            <w:tcW w:w="1529" w:type="dxa"/>
            <w:vAlign w:val="center"/>
          </w:tcPr>
          <w:p w:rsidR="00F977B6" w:rsidRDefault="0025663D">
            <w:pPr>
              <w:jc w:val="center"/>
              <w:rPr>
                <w:szCs w:val="21"/>
              </w:rPr>
            </w:pPr>
            <w:r>
              <w:rPr>
                <w:rFonts w:hint="eastAsia"/>
                <w:szCs w:val="21"/>
              </w:rPr>
              <w:t xml:space="preserve">20,952,375.84 </w:t>
            </w:r>
          </w:p>
        </w:tc>
        <w:tc>
          <w:tcPr>
            <w:tcW w:w="760" w:type="dxa"/>
            <w:vAlign w:val="center"/>
          </w:tcPr>
          <w:p w:rsidR="00F977B6" w:rsidRDefault="0025663D">
            <w:pPr>
              <w:jc w:val="center"/>
              <w:rPr>
                <w:szCs w:val="21"/>
              </w:rPr>
            </w:pPr>
            <w:r>
              <w:rPr>
                <w:rFonts w:hint="eastAsia"/>
                <w:szCs w:val="21"/>
              </w:rPr>
              <w:t>0.04%</w:t>
            </w:r>
          </w:p>
        </w:tc>
        <w:tc>
          <w:tcPr>
            <w:tcW w:w="0" w:type="auto"/>
            <w:vAlign w:val="center"/>
          </w:tcPr>
          <w:p w:rsidR="00F977B6" w:rsidRDefault="0025663D">
            <w:pPr>
              <w:jc w:val="center"/>
            </w:pPr>
            <w:r>
              <w:rPr>
                <w:szCs w:val="21"/>
              </w:rPr>
              <w:t>6</w:t>
            </w:r>
            <w:r>
              <w:rPr>
                <w:szCs w:val="21"/>
              </w:rPr>
              <w:t>个月</w:t>
            </w:r>
          </w:p>
        </w:tc>
      </w:tr>
      <w:tr w:rsidR="00F977B6">
        <w:trPr>
          <w:jc w:val="center"/>
        </w:trPr>
        <w:tc>
          <w:tcPr>
            <w:tcW w:w="0" w:type="auto"/>
            <w:vAlign w:val="center"/>
          </w:tcPr>
          <w:p w:rsidR="00F977B6" w:rsidRDefault="0025663D">
            <w:pPr>
              <w:jc w:val="center"/>
            </w:pPr>
            <w:r>
              <w:rPr>
                <w:szCs w:val="21"/>
              </w:rPr>
              <w:lastRenderedPageBreak/>
              <w:t>易方达安心回报债券型证券投资基金</w:t>
            </w:r>
          </w:p>
        </w:tc>
        <w:tc>
          <w:tcPr>
            <w:tcW w:w="0" w:type="auto"/>
            <w:vAlign w:val="center"/>
          </w:tcPr>
          <w:p w:rsidR="00F977B6" w:rsidRDefault="0025663D">
            <w:pPr>
              <w:jc w:val="center"/>
              <w:rPr>
                <w:szCs w:val="21"/>
              </w:rPr>
            </w:pPr>
            <w:r>
              <w:rPr>
                <w:rFonts w:hint="eastAsia"/>
                <w:szCs w:val="21"/>
              </w:rPr>
              <w:t>14,920,687</w:t>
            </w:r>
          </w:p>
        </w:tc>
        <w:tc>
          <w:tcPr>
            <w:tcW w:w="1529" w:type="dxa"/>
            <w:vAlign w:val="center"/>
          </w:tcPr>
          <w:p w:rsidR="00F977B6" w:rsidRDefault="0025663D">
            <w:pPr>
              <w:jc w:val="center"/>
              <w:rPr>
                <w:szCs w:val="21"/>
              </w:rPr>
            </w:pPr>
            <w:r>
              <w:rPr>
                <w:rFonts w:hint="eastAsia"/>
                <w:szCs w:val="21"/>
              </w:rPr>
              <w:t xml:space="preserve">112,800,393.72 </w:t>
            </w:r>
          </w:p>
        </w:tc>
        <w:tc>
          <w:tcPr>
            <w:tcW w:w="760" w:type="dxa"/>
            <w:vAlign w:val="center"/>
          </w:tcPr>
          <w:p w:rsidR="00F977B6" w:rsidRDefault="0025663D">
            <w:pPr>
              <w:jc w:val="center"/>
              <w:rPr>
                <w:szCs w:val="21"/>
              </w:rPr>
            </w:pPr>
            <w:r>
              <w:rPr>
                <w:rFonts w:hint="eastAsia"/>
                <w:szCs w:val="21"/>
              </w:rPr>
              <w:t>0.93%</w:t>
            </w:r>
          </w:p>
        </w:tc>
        <w:tc>
          <w:tcPr>
            <w:tcW w:w="1529" w:type="dxa"/>
            <w:vAlign w:val="center"/>
          </w:tcPr>
          <w:p w:rsidR="00F977B6" w:rsidRDefault="0025663D">
            <w:pPr>
              <w:jc w:val="center"/>
              <w:rPr>
                <w:szCs w:val="21"/>
              </w:rPr>
            </w:pPr>
            <w:r>
              <w:rPr>
                <w:rFonts w:hint="eastAsia"/>
                <w:szCs w:val="21"/>
              </w:rPr>
              <w:t xml:space="preserve">118,171,841.04  </w:t>
            </w:r>
          </w:p>
        </w:tc>
        <w:tc>
          <w:tcPr>
            <w:tcW w:w="760" w:type="dxa"/>
            <w:vAlign w:val="center"/>
          </w:tcPr>
          <w:p w:rsidR="00F977B6" w:rsidRDefault="0025663D">
            <w:pPr>
              <w:jc w:val="center"/>
              <w:rPr>
                <w:szCs w:val="21"/>
              </w:rPr>
            </w:pPr>
            <w:r>
              <w:rPr>
                <w:rFonts w:hint="eastAsia"/>
                <w:szCs w:val="21"/>
              </w:rPr>
              <w:t>0.97%</w:t>
            </w:r>
          </w:p>
        </w:tc>
        <w:tc>
          <w:tcPr>
            <w:tcW w:w="0" w:type="auto"/>
            <w:vAlign w:val="center"/>
          </w:tcPr>
          <w:p w:rsidR="00F977B6" w:rsidRDefault="0025663D">
            <w:pPr>
              <w:jc w:val="center"/>
            </w:pPr>
            <w:r>
              <w:rPr>
                <w:szCs w:val="21"/>
              </w:rPr>
              <w:t>6</w:t>
            </w:r>
            <w:r>
              <w:rPr>
                <w:szCs w:val="21"/>
              </w:rPr>
              <w:t>个月</w:t>
            </w:r>
          </w:p>
        </w:tc>
      </w:tr>
    </w:tbl>
    <w:p w:rsidR="00F977B6" w:rsidRDefault="00F977B6">
      <w:pPr>
        <w:spacing w:line="360" w:lineRule="auto"/>
        <w:rPr>
          <w:kern w:val="0"/>
          <w:sz w:val="24"/>
        </w:rPr>
      </w:pPr>
    </w:p>
    <w:p w:rsidR="00F977B6" w:rsidRDefault="0025663D">
      <w:pPr>
        <w:spacing w:line="360" w:lineRule="auto"/>
        <w:rPr>
          <w:kern w:val="0"/>
          <w:sz w:val="24"/>
        </w:rPr>
      </w:pPr>
      <w:r>
        <w:rPr>
          <w:kern w:val="0"/>
          <w:sz w:val="24"/>
        </w:rPr>
        <w:t>注：基金资产净值、账面价值为</w:t>
      </w:r>
      <w:r>
        <w:rPr>
          <w:kern w:val="0"/>
          <w:sz w:val="24"/>
        </w:rPr>
        <w:t>2026</w:t>
      </w:r>
      <w:r>
        <w:rPr>
          <w:kern w:val="0"/>
          <w:sz w:val="24"/>
        </w:rPr>
        <w:t>年</w:t>
      </w:r>
      <w:r>
        <w:rPr>
          <w:kern w:val="0"/>
          <w:sz w:val="24"/>
        </w:rPr>
        <w:t>1</w:t>
      </w:r>
      <w:r>
        <w:rPr>
          <w:kern w:val="0"/>
          <w:sz w:val="24"/>
        </w:rPr>
        <w:t>月</w:t>
      </w:r>
      <w:r>
        <w:rPr>
          <w:kern w:val="0"/>
          <w:sz w:val="24"/>
        </w:rPr>
        <w:t>27</w:t>
      </w:r>
      <w:r>
        <w:rPr>
          <w:kern w:val="0"/>
          <w:sz w:val="24"/>
        </w:rPr>
        <w:t>日数据。</w:t>
      </w:r>
    </w:p>
    <w:p w:rsidR="00F977B6" w:rsidRDefault="0025663D">
      <w:pPr>
        <w:spacing w:line="360" w:lineRule="auto"/>
        <w:ind w:firstLineChars="200" w:firstLine="480"/>
        <w:rPr>
          <w:kern w:val="0"/>
          <w:sz w:val="24"/>
        </w:rPr>
      </w:pPr>
      <w:r>
        <w:rPr>
          <w:kern w:val="0"/>
          <w:sz w:val="24"/>
        </w:rPr>
        <w:t>特此公告。</w:t>
      </w:r>
    </w:p>
    <w:p w:rsidR="00F977B6" w:rsidRDefault="0025663D">
      <w:pPr>
        <w:spacing w:line="360" w:lineRule="auto"/>
        <w:jc w:val="right"/>
        <w:rPr>
          <w:kern w:val="0"/>
          <w:sz w:val="24"/>
        </w:rPr>
      </w:pPr>
      <w:r>
        <w:rPr>
          <w:kern w:val="0"/>
          <w:sz w:val="24"/>
        </w:rPr>
        <w:t>易方达基金管理有限公司</w:t>
      </w:r>
    </w:p>
    <w:p w:rsidR="00F977B6" w:rsidRDefault="0025663D">
      <w:pPr>
        <w:spacing w:line="360" w:lineRule="auto"/>
        <w:jc w:val="right"/>
        <w:rPr>
          <w:kern w:val="0"/>
          <w:sz w:val="24"/>
        </w:rPr>
      </w:pPr>
      <w:r>
        <w:rPr>
          <w:kern w:val="0"/>
          <w:sz w:val="24"/>
        </w:rPr>
        <w:t>2026</w:t>
      </w:r>
      <w:r>
        <w:rPr>
          <w:kern w:val="0"/>
          <w:sz w:val="24"/>
        </w:rPr>
        <w:t>年</w:t>
      </w:r>
      <w:r>
        <w:rPr>
          <w:kern w:val="0"/>
          <w:sz w:val="24"/>
        </w:rPr>
        <w:t>1</w:t>
      </w:r>
      <w:r>
        <w:rPr>
          <w:kern w:val="0"/>
          <w:sz w:val="24"/>
        </w:rPr>
        <w:t>月</w:t>
      </w:r>
      <w:r>
        <w:rPr>
          <w:kern w:val="0"/>
          <w:sz w:val="24"/>
        </w:rPr>
        <w:t>2</w:t>
      </w:r>
      <w:r>
        <w:rPr>
          <w:rFonts w:hint="eastAsia"/>
          <w:kern w:val="0"/>
          <w:sz w:val="24"/>
        </w:rPr>
        <w:t>9</w:t>
      </w:r>
      <w:r>
        <w:rPr>
          <w:kern w:val="0"/>
          <w:sz w:val="24"/>
        </w:rPr>
        <w:t>日</w:t>
      </w:r>
    </w:p>
    <w:p w:rsidR="00F977B6" w:rsidRDefault="00F977B6">
      <w:pPr>
        <w:spacing w:line="360" w:lineRule="auto"/>
        <w:jc w:val="right"/>
        <w:rPr>
          <w:rFonts w:ascii="宋体" w:hAnsi="宋体" w:cs="宋体"/>
          <w:kern w:val="0"/>
          <w:sz w:val="24"/>
        </w:rPr>
      </w:pPr>
    </w:p>
    <w:p w:rsidR="00F977B6" w:rsidRDefault="00F977B6">
      <w:pPr>
        <w:spacing w:line="360" w:lineRule="auto"/>
        <w:jc w:val="right"/>
        <w:rPr>
          <w:rFonts w:ascii="宋体" w:hAnsi="宋体" w:cs="宋体"/>
          <w:kern w:val="0"/>
          <w:sz w:val="24"/>
        </w:rPr>
      </w:pPr>
    </w:p>
    <w:p w:rsidR="00F977B6" w:rsidRDefault="00F977B6">
      <w:pPr>
        <w:spacing w:line="360" w:lineRule="auto"/>
        <w:jc w:val="right"/>
      </w:pPr>
      <w:bookmarkStart w:id="0" w:name="_GoBack"/>
    </w:p>
    <w:sectPr w:rsidR="00F977B6" w:rsidSect="00F977B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panose1 w:val="00000000000000000000"/>
    <w:charset w:val="86"/>
    <w:family w:val="roman"/>
    <w:notTrueType/>
    <w:pitch w:val="default"/>
    <w:sig w:usb0="00000000" w:usb1="00000000" w:usb2="00000000" w:usb3="00000000" w:csb0="00000000" w:csb1="00000000"/>
  </w:font>
  <w:font w:name="等线">
    <w:panose1 w:val="00000000000000000000"/>
    <w:charset w:val="86"/>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bordersDoNotSurroundHeader/>
  <w:bordersDoNotSurroundFooter/>
  <w:stylePaneFormatFilter w:val="3F01"/>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rsids>
    <w:rsidRoot w:val="00EA10E2"/>
    <w:rsid w:val="8B9C5101"/>
    <w:rsid w:val="E7CB1775"/>
    <w:rsid w:val="ECCFBCF6"/>
    <w:rsid w:val="F3BFD6BE"/>
    <w:rsid w:val="FE688F43"/>
    <w:rsid w:val="000068AC"/>
    <w:rsid w:val="00056A9D"/>
    <w:rsid w:val="00067C88"/>
    <w:rsid w:val="0007578E"/>
    <w:rsid w:val="00084730"/>
    <w:rsid w:val="00091454"/>
    <w:rsid w:val="00091C26"/>
    <w:rsid w:val="000D409F"/>
    <w:rsid w:val="000F4885"/>
    <w:rsid w:val="001104F8"/>
    <w:rsid w:val="00182DBA"/>
    <w:rsid w:val="00185879"/>
    <w:rsid w:val="00196752"/>
    <w:rsid w:val="001B1DBB"/>
    <w:rsid w:val="001C374B"/>
    <w:rsid w:val="001C412F"/>
    <w:rsid w:val="001E1CD2"/>
    <w:rsid w:val="00225369"/>
    <w:rsid w:val="0025663D"/>
    <w:rsid w:val="00277148"/>
    <w:rsid w:val="00294F51"/>
    <w:rsid w:val="00296B13"/>
    <w:rsid w:val="00301B9A"/>
    <w:rsid w:val="00303C8C"/>
    <w:rsid w:val="0033061C"/>
    <w:rsid w:val="00340B3A"/>
    <w:rsid w:val="003535FC"/>
    <w:rsid w:val="00377AFD"/>
    <w:rsid w:val="00387016"/>
    <w:rsid w:val="003B10DF"/>
    <w:rsid w:val="003B1232"/>
    <w:rsid w:val="003C1E98"/>
    <w:rsid w:val="003E178A"/>
    <w:rsid w:val="003F4B29"/>
    <w:rsid w:val="00426619"/>
    <w:rsid w:val="00437EFE"/>
    <w:rsid w:val="004536F8"/>
    <w:rsid w:val="00457BBE"/>
    <w:rsid w:val="0046432B"/>
    <w:rsid w:val="00465A81"/>
    <w:rsid w:val="00472218"/>
    <w:rsid w:val="0047707C"/>
    <w:rsid w:val="004864EF"/>
    <w:rsid w:val="00491539"/>
    <w:rsid w:val="004A37D9"/>
    <w:rsid w:val="004A6FD4"/>
    <w:rsid w:val="004A748B"/>
    <w:rsid w:val="004E00DA"/>
    <w:rsid w:val="005104D0"/>
    <w:rsid w:val="00514C2A"/>
    <w:rsid w:val="005173AF"/>
    <w:rsid w:val="0054079D"/>
    <w:rsid w:val="005410D0"/>
    <w:rsid w:val="00545916"/>
    <w:rsid w:val="0054726D"/>
    <w:rsid w:val="00557020"/>
    <w:rsid w:val="0056424C"/>
    <w:rsid w:val="00565313"/>
    <w:rsid w:val="00575028"/>
    <w:rsid w:val="00594EC0"/>
    <w:rsid w:val="00597646"/>
    <w:rsid w:val="005B7759"/>
    <w:rsid w:val="005D6EFF"/>
    <w:rsid w:val="005F5B86"/>
    <w:rsid w:val="006162D1"/>
    <w:rsid w:val="00617E6A"/>
    <w:rsid w:val="0066427C"/>
    <w:rsid w:val="0067264D"/>
    <w:rsid w:val="006742D8"/>
    <w:rsid w:val="006904DC"/>
    <w:rsid w:val="006905CB"/>
    <w:rsid w:val="00694AB9"/>
    <w:rsid w:val="006A6F40"/>
    <w:rsid w:val="006B20BE"/>
    <w:rsid w:val="006B73C3"/>
    <w:rsid w:val="006E31C5"/>
    <w:rsid w:val="006E3C8F"/>
    <w:rsid w:val="00701BA4"/>
    <w:rsid w:val="00713551"/>
    <w:rsid w:val="00740340"/>
    <w:rsid w:val="00767737"/>
    <w:rsid w:val="007A0408"/>
    <w:rsid w:val="007C2F1F"/>
    <w:rsid w:val="008068CA"/>
    <w:rsid w:val="00824F39"/>
    <w:rsid w:val="008700B0"/>
    <w:rsid w:val="00875A99"/>
    <w:rsid w:val="00881EB9"/>
    <w:rsid w:val="0088426E"/>
    <w:rsid w:val="008905B4"/>
    <w:rsid w:val="008C245D"/>
    <w:rsid w:val="008E3175"/>
    <w:rsid w:val="00943EEF"/>
    <w:rsid w:val="00945A25"/>
    <w:rsid w:val="00953744"/>
    <w:rsid w:val="009744BE"/>
    <w:rsid w:val="00990035"/>
    <w:rsid w:val="009A0A35"/>
    <w:rsid w:val="009A4875"/>
    <w:rsid w:val="009B4906"/>
    <w:rsid w:val="009C0D0E"/>
    <w:rsid w:val="009F70AA"/>
    <w:rsid w:val="009F7B3D"/>
    <w:rsid w:val="00A023DA"/>
    <w:rsid w:val="00A76FCB"/>
    <w:rsid w:val="00A9101C"/>
    <w:rsid w:val="00AD2F78"/>
    <w:rsid w:val="00AE5C3D"/>
    <w:rsid w:val="00B06905"/>
    <w:rsid w:val="00B27AC1"/>
    <w:rsid w:val="00B37206"/>
    <w:rsid w:val="00B57F57"/>
    <w:rsid w:val="00B64A1E"/>
    <w:rsid w:val="00B67FB7"/>
    <w:rsid w:val="00BA15AC"/>
    <w:rsid w:val="00BA3220"/>
    <w:rsid w:val="00BA3E0A"/>
    <w:rsid w:val="00BB54B0"/>
    <w:rsid w:val="00BC5A9F"/>
    <w:rsid w:val="00BC5B73"/>
    <w:rsid w:val="00BD22BB"/>
    <w:rsid w:val="00BD58A6"/>
    <w:rsid w:val="00BD7CE6"/>
    <w:rsid w:val="00BE0613"/>
    <w:rsid w:val="00BE6C39"/>
    <w:rsid w:val="00BE7D30"/>
    <w:rsid w:val="00BF7639"/>
    <w:rsid w:val="00C010A4"/>
    <w:rsid w:val="00C16B5A"/>
    <w:rsid w:val="00C16E41"/>
    <w:rsid w:val="00C16E87"/>
    <w:rsid w:val="00C342E5"/>
    <w:rsid w:val="00C51485"/>
    <w:rsid w:val="00C53F2C"/>
    <w:rsid w:val="00C73256"/>
    <w:rsid w:val="00C74CAB"/>
    <w:rsid w:val="00C76D21"/>
    <w:rsid w:val="00CA7C64"/>
    <w:rsid w:val="00D66832"/>
    <w:rsid w:val="00D753C1"/>
    <w:rsid w:val="00D82CEE"/>
    <w:rsid w:val="00D86EEB"/>
    <w:rsid w:val="00D87EB7"/>
    <w:rsid w:val="00D9314C"/>
    <w:rsid w:val="00DA0710"/>
    <w:rsid w:val="00DB4A42"/>
    <w:rsid w:val="00DD04AC"/>
    <w:rsid w:val="00DE18A7"/>
    <w:rsid w:val="00E04841"/>
    <w:rsid w:val="00E0716B"/>
    <w:rsid w:val="00E11A5D"/>
    <w:rsid w:val="00E2716D"/>
    <w:rsid w:val="00E37F29"/>
    <w:rsid w:val="00E41585"/>
    <w:rsid w:val="00E46D9A"/>
    <w:rsid w:val="00E62CE3"/>
    <w:rsid w:val="00E72B6A"/>
    <w:rsid w:val="00E80951"/>
    <w:rsid w:val="00E94FC4"/>
    <w:rsid w:val="00EA10E2"/>
    <w:rsid w:val="00EB2D11"/>
    <w:rsid w:val="00EB5883"/>
    <w:rsid w:val="00EC223E"/>
    <w:rsid w:val="00EE4CF2"/>
    <w:rsid w:val="00EF34D7"/>
    <w:rsid w:val="00F11F77"/>
    <w:rsid w:val="00F20762"/>
    <w:rsid w:val="00F22B55"/>
    <w:rsid w:val="00F54A05"/>
    <w:rsid w:val="00F72C67"/>
    <w:rsid w:val="00F977B6"/>
    <w:rsid w:val="00FA2042"/>
    <w:rsid w:val="00FC2449"/>
    <w:rsid w:val="00FC7DF3"/>
    <w:rsid w:val="00FF2B45"/>
    <w:rsid w:val="00FF37E9"/>
    <w:rsid w:val="00FF402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HTML Typewriter"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7B6"/>
    <w:pPr>
      <w:widowControl w:val="0"/>
      <w:jc w:val="both"/>
    </w:pPr>
    <w:rPr>
      <w:kern w:val="2"/>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rsid w:val="00F977B6"/>
    <w:pPr>
      <w:ind w:leftChars="2500" w:left="100"/>
    </w:pPr>
  </w:style>
  <w:style w:type="paragraph" w:styleId="a4">
    <w:name w:val="Balloon Text"/>
    <w:basedOn w:val="a"/>
    <w:semiHidden/>
    <w:qFormat/>
    <w:rsid w:val="00F977B6"/>
    <w:rPr>
      <w:sz w:val="18"/>
      <w:szCs w:val="18"/>
    </w:rPr>
  </w:style>
  <w:style w:type="paragraph" w:styleId="a5">
    <w:name w:val="footer"/>
    <w:basedOn w:val="a"/>
    <w:link w:val="Char0"/>
    <w:qFormat/>
    <w:rsid w:val="00F977B6"/>
    <w:pPr>
      <w:tabs>
        <w:tab w:val="center" w:pos="4153"/>
        <w:tab w:val="right" w:pos="8306"/>
      </w:tabs>
      <w:snapToGrid w:val="0"/>
      <w:jc w:val="left"/>
    </w:pPr>
    <w:rPr>
      <w:sz w:val="18"/>
      <w:szCs w:val="18"/>
    </w:rPr>
  </w:style>
  <w:style w:type="paragraph" w:styleId="a6">
    <w:name w:val="header"/>
    <w:basedOn w:val="a"/>
    <w:link w:val="Char1"/>
    <w:qFormat/>
    <w:rsid w:val="00F977B6"/>
    <w:pPr>
      <w:pBdr>
        <w:bottom w:val="single" w:sz="6" w:space="1" w:color="auto"/>
      </w:pBdr>
      <w:tabs>
        <w:tab w:val="center" w:pos="4153"/>
        <w:tab w:val="right" w:pos="8306"/>
      </w:tabs>
      <w:snapToGrid w:val="0"/>
      <w:jc w:val="center"/>
    </w:pPr>
    <w:rPr>
      <w:sz w:val="18"/>
      <w:szCs w:val="18"/>
    </w:rPr>
  </w:style>
  <w:style w:type="table" w:styleId="a7">
    <w:name w:val="Table Grid"/>
    <w:basedOn w:val="a1"/>
    <w:qFormat/>
    <w:rsid w:val="00F97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qFormat/>
    <w:rsid w:val="00F977B6"/>
    <w:rPr>
      <w:b/>
      <w:bCs/>
    </w:rPr>
  </w:style>
  <w:style w:type="character" w:styleId="HTML">
    <w:name w:val="HTML Typewriter"/>
    <w:qFormat/>
    <w:rsid w:val="00F977B6"/>
    <w:rPr>
      <w:rFonts w:ascii="宋体" w:eastAsia="宋体" w:hAnsi="宋体" w:cs="宋体"/>
      <w:sz w:val="24"/>
      <w:szCs w:val="24"/>
    </w:rPr>
  </w:style>
  <w:style w:type="paragraph" w:customStyle="1" w:styleId="font14">
    <w:name w:val="font14"/>
    <w:basedOn w:val="a"/>
    <w:qFormat/>
    <w:rsid w:val="00F977B6"/>
    <w:pPr>
      <w:widowControl/>
      <w:spacing w:before="100" w:beforeAutospacing="1" w:after="100" w:afterAutospacing="1" w:line="360" w:lineRule="auto"/>
      <w:jc w:val="left"/>
    </w:pPr>
    <w:rPr>
      <w:rFonts w:ascii="宋体" w:hAnsi="宋体" w:cs="宋体"/>
      <w:kern w:val="0"/>
      <w:szCs w:val="21"/>
    </w:rPr>
  </w:style>
  <w:style w:type="character" w:customStyle="1" w:styleId="Char1">
    <w:name w:val="页眉 Char"/>
    <w:link w:val="a6"/>
    <w:qFormat/>
    <w:rsid w:val="00F977B6"/>
    <w:rPr>
      <w:kern w:val="2"/>
      <w:sz w:val="18"/>
      <w:szCs w:val="18"/>
    </w:rPr>
  </w:style>
  <w:style w:type="character" w:customStyle="1" w:styleId="Char0">
    <w:name w:val="页脚 Char"/>
    <w:link w:val="a5"/>
    <w:qFormat/>
    <w:rsid w:val="00F977B6"/>
    <w:rPr>
      <w:kern w:val="2"/>
      <w:sz w:val="18"/>
      <w:szCs w:val="18"/>
    </w:rPr>
  </w:style>
  <w:style w:type="character" w:customStyle="1" w:styleId="Char">
    <w:name w:val="日期 Char"/>
    <w:link w:val="a3"/>
    <w:qFormat/>
    <w:rsid w:val="00F977B6"/>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6E7EE708-7E82-496E-9B66-2808E9347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168</Words>
  <Characters>960</Characters>
  <Application>Microsoft Office Word</Application>
  <DocSecurity>4</DocSecurity>
  <Lines>8</Lines>
  <Paragraphs>2</Paragraphs>
  <ScaleCrop>false</ScaleCrop>
  <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2026-01-28T16:02:00Z</dcterms:created>
  <dcterms:modified xsi:type="dcterms:W3CDTF">2026-01-28T16:02:00Z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C288CDA9866305C1CBC079692CE90278</vt:lpwstr>
  </property>
  <property fmtid="{D5CDD505-2E9C-101B-9397-08002B2CF9AE}" pid="3" name="KSOProductBuildVer">
    <vt:lpwstr>2052-11.8.2.12219</vt:lpwstr>
  </property>
</Properties>
</file>