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10" w:rsidRDefault="00EE7C3D">
      <w:pPr>
        <w:spacing w:line="480" w:lineRule="auto"/>
        <w:jc w:val="center"/>
        <w:rPr>
          <w:rFonts w:eastAsiaTheme="minorEastAsia"/>
          <w:b/>
          <w:bCs/>
          <w:color w:val="000000"/>
          <w:sz w:val="28"/>
          <w:szCs w:val="28"/>
        </w:rPr>
      </w:pPr>
      <w:bookmarkStart w:id="0" w:name="_Toc249760023"/>
      <w:r>
        <w:rPr>
          <w:rFonts w:eastAsiaTheme="minorEastAsia"/>
          <w:b/>
          <w:bCs/>
          <w:color w:val="000000"/>
          <w:sz w:val="28"/>
          <w:szCs w:val="28"/>
        </w:rPr>
        <w:t>平安基金管理有限公司</w:t>
      </w:r>
    </w:p>
    <w:bookmarkEnd w:id="0"/>
    <w:p w:rsidR="001D0110" w:rsidRDefault="00EE7C3D">
      <w:pPr>
        <w:spacing w:line="480" w:lineRule="auto"/>
        <w:jc w:val="center"/>
        <w:rPr>
          <w:rFonts w:eastAsiaTheme="minorEastAsia"/>
          <w:b/>
          <w:bCs/>
          <w:color w:val="000000"/>
          <w:sz w:val="28"/>
          <w:szCs w:val="28"/>
        </w:rPr>
      </w:pPr>
      <w:r>
        <w:rPr>
          <w:rFonts w:eastAsiaTheme="minorEastAsia" w:hint="eastAsia"/>
          <w:b/>
          <w:bCs/>
          <w:color w:val="000000"/>
          <w:sz w:val="28"/>
          <w:szCs w:val="28"/>
        </w:rPr>
        <w:t>平安恒生港股通科技主题交易型开放式指数证券投资基金</w:t>
      </w:r>
    </w:p>
    <w:p w:rsidR="001D0110" w:rsidRDefault="00EE7C3D">
      <w:pPr>
        <w:spacing w:line="480" w:lineRule="auto"/>
        <w:jc w:val="center"/>
        <w:rPr>
          <w:rFonts w:eastAsiaTheme="minorEastAsia"/>
          <w:b/>
          <w:bCs/>
          <w:color w:val="000000"/>
          <w:sz w:val="28"/>
          <w:szCs w:val="28"/>
        </w:rPr>
      </w:pPr>
      <w:r>
        <w:rPr>
          <w:rFonts w:eastAsiaTheme="minorEastAsia" w:hint="eastAsia"/>
          <w:b/>
          <w:bCs/>
          <w:color w:val="000000"/>
          <w:sz w:val="28"/>
          <w:szCs w:val="28"/>
        </w:rPr>
        <w:t>开放申购赎回业务的公告</w:t>
      </w:r>
    </w:p>
    <w:p w:rsidR="001D0110" w:rsidRDefault="00EE7C3D">
      <w:pPr>
        <w:spacing w:line="360" w:lineRule="auto"/>
        <w:jc w:val="center"/>
        <w:rPr>
          <w:rFonts w:eastAsiaTheme="minorEastAsia"/>
          <w:szCs w:val="21"/>
        </w:rPr>
      </w:pPr>
      <w:bookmarkStart w:id="1" w:name="t_2_0_0002_a2_fm1"/>
      <w:bookmarkEnd w:id="1"/>
      <w:r>
        <w:rPr>
          <w:rFonts w:eastAsiaTheme="minorEastAsia"/>
          <w:szCs w:val="21"/>
        </w:rPr>
        <w:t>公告送出日期：</w:t>
      </w:r>
      <w:r>
        <w:rPr>
          <w:rFonts w:eastAsiaTheme="minorEastAsia"/>
          <w:szCs w:val="21"/>
        </w:rPr>
        <w:t>20</w:t>
      </w:r>
      <w:r>
        <w:rPr>
          <w:rFonts w:eastAsiaTheme="minorEastAsia" w:hint="eastAsia"/>
          <w:szCs w:val="21"/>
        </w:rPr>
        <w:t>2</w:t>
      </w:r>
      <w:r>
        <w:rPr>
          <w:rFonts w:eastAsiaTheme="minorEastAsia" w:hint="eastAsia"/>
          <w:szCs w:val="21"/>
        </w:rPr>
        <w:t>6</w:t>
      </w:r>
      <w:r>
        <w:rPr>
          <w:rFonts w:eastAsiaTheme="minorEastAsia"/>
          <w:szCs w:val="21"/>
        </w:rPr>
        <w:t>年</w:t>
      </w:r>
      <w:r>
        <w:rPr>
          <w:rFonts w:eastAsiaTheme="minorEastAsia" w:hint="eastAsia"/>
          <w:szCs w:val="21"/>
        </w:rPr>
        <w:t>1</w:t>
      </w:r>
      <w:r>
        <w:rPr>
          <w:rFonts w:eastAsiaTheme="minorEastAsia"/>
          <w:szCs w:val="21"/>
        </w:rPr>
        <w:t>月</w:t>
      </w:r>
      <w:r>
        <w:rPr>
          <w:rFonts w:eastAsiaTheme="minorEastAsia" w:hint="eastAsia"/>
          <w:szCs w:val="21"/>
        </w:rPr>
        <w:t>29</w:t>
      </w:r>
      <w:r>
        <w:rPr>
          <w:rFonts w:eastAsiaTheme="minorEastAsia"/>
          <w:szCs w:val="21"/>
        </w:rPr>
        <w:t>日</w:t>
      </w:r>
      <w:bookmarkStart w:id="2" w:name="t_2_1_table"/>
      <w:bookmarkEnd w:id="2"/>
    </w:p>
    <w:p w:rsidR="001D0110" w:rsidRDefault="001D0110">
      <w:pPr>
        <w:spacing w:line="360" w:lineRule="auto"/>
        <w:jc w:val="center"/>
        <w:rPr>
          <w:rFonts w:eastAsiaTheme="minorEastAsia"/>
          <w:szCs w:val="21"/>
        </w:rPr>
      </w:pPr>
    </w:p>
    <w:p w:rsidR="001D0110" w:rsidRDefault="00EE7C3D">
      <w:pPr>
        <w:spacing w:line="360" w:lineRule="auto"/>
        <w:ind w:firstLineChars="201" w:firstLine="424"/>
        <w:rPr>
          <w:rFonts w:eastAsiaTheme="minorEastAsia"/>
          <w:b/>
          <w:szCs w:val="21"/>
        </w:rPr>
      </w:pPr>
      <w:r>
        <w:rPr>
          <w:rFonts w:eastAsiaTheme="minorEastAsia"/>
          <w:b/>
          <w:szCs w:val="21"/>
        </w:rPr>
        <w:t>1</w:t>
      </w:r>
      <w:r>
        <w:rPr>
          <w:rFonts w:eastAsiaTheme="minorEastAsia"/>
          <w:b/>
          <w:szCs w:val="21"/>
        </w:rPr>
        <w:t>、公告基本信息</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5978"/>
      </w:tblGrid>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基金名称</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平安恒生港股通科技主题交易型开放式指数证券投资基金</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基金简称</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平安</w:t>
            </w:r>
            <w:r>
              <w:rPr>
                <w:rFonts w:eastAsiaTheme="minorEastAsia" w:hint="eastAsia"/>
                <w:szCs w:val="21"/>
              </w:rPr>
              <w:t>恒生港股通科技主题</w:t>
            </w:r>
            <w:r>
              <w:rPr>
                <w:rFonts w:eastAsiaTheme="minorEastAsia" w:hint="eastAsia"/>
                <w:szCs w:val="21"/>
              </w:rPr>
              <w:t>ETF</w:t>
            </w:r>
          </w:p>
          <w:p w:rsidR="001D0110" w:rsidRDefault="00EE7C3D">
            <w:pPr>
              <w:spacing w:line="276" w:lineRule="auto"/>
              <w:rPr>
                <w:rFonts w:eastAsiaTheme="minorEastAsia"/>
                <w:szCs w:val="21"/>
              </w:rPr>
            </w:pPr>
            <w:r>
              <w:rPr>
                <w:rFonts w:eastAsiaTheme="minorEastAsia" w:hint="eastAsia"/>
                <w:szCs w:val="21"/>
              </w:rPr>
              <w:t>（场内简称：</w:t>
            </w:r>
            <w:r>
              <w:rPr>
                <w:rFonts w:hint="eastAsia"/>
                <w:kern w:val="0"/>
                <w:szCs w:val="21"/>
              </w:rPr>
              <w:t>港股通科技</w:t>
            </w:r>
            <w:r>
              <w:rPr>
                <w:rFonts w:hint="eastAsia"/>
                <w:kern w:val="0"/>
                <w:szCs w:val="21"/>
              </w:rPr>
              <w:t>ETF</w:t>
            </w:r>
            <w:r>
              <w:rPr>
                <w:rFonts w:hint="eastAsia"/>
                <w:kern w:val="0"/>
                <w:szCs w:val="21"/>
              </w:rPr>
              <w:t>平安</w:t>
            </w:r>
            <w:r>
              <w:rPr>
                <w:rFonts w:eastAsiaTheme="minorEastAsia" w:hint="eastAsia"/>
                <w:szCs w:val="21"/>
              </w:rPr>
              <w:t>）</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基金主代码</w:t>
            </w:r>
          </w:p>
        </w:tc>
        <w:tc>
          <w:tcPr>
            <w:tcW w:w="5978" w:type="dxa"/>
            <w:vAlign w:val="center"/>
          </w:tcPr>
          <w:p w:rsidR="001D0110" w:rsidRDefault="00EE7C3D">
            <w:pPr>
              <w:autoSpaceDE w:val="0"/>
              <w:autoSpaceDN w:val="0"/>
              <w:adjustRightInd w:val="0"/>
              <w:spacing w:line="276" w:lineRule="auto"/>
              <w:rPr>
                <w:rFonts w:eastAsiaTheme="minorEastAsia"/>
                <w:szCs w:val="21"/>
              </w:rPr>
            </w:pPr>
            <w:r>
              <w:rPr>
                <w:rFonts w:eastAsiaTheme="minorEastAsia"/>
                <w:szCs w:val="21"/>
              </w:rPr>
              <w:t>159</w:t>
            </w:r>
            <w:r>
              <w:rPr>
                <w:rFonts w:eastAsiaTheme="minorEastAsia" w:hint="eastAsia"/>
                <w:szCs w:val="21"/>
              </w:rPr>
              <w:t>152</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基金运作方式</w:t>
            </w:r>
          </w:p>
        </w:tc>
        <w:tc>
          <w:tcPr>
            <w:tcW w:w="5978" w:type="dxa"/>
            <w:vAlign w:val="center"/>
          </w:tcPr>
          <w:p w:rsidR="001D0110" w:rsidRDefault="00EE7C3D">
            <w:pPr>
              <w:adjustRightInd w:val="0"/>
              <w:snapToGrid w:val="0"/>
              <w:spacing w:line="276" w:lineRule="auto"/>
              <w:rPr>
                <w:rFonts w:eastAsiaTheme="minorEastAsia"/>
                <w:szCs w:val="21"/>
              </w:rPr>
            </w:pPr>
            <w:r>
              <w:rPr>
                <w:rFonts w:eastAsiaTheme="minorEastAsia"/>
                <w:szCs w:val="21"/>
              </w:rPr>
              <w:t>交易型开放式</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基金合同生效日</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20</w:t>
            </w:r>
            <w:r>
              <w:rPr>
                <w:rFonts w:eastAsiaTheme="minorEastAsia"/>
                <w:szCs w:val="21"/>
              </w:rPr>
              <w:t>2</w:t>
            </w:r>
            <w:r>
              <w:rPr>
                <w:rFonts w:eastAsiaTheme="minorEastAsia" w:hint="eastAsia"/>
                <w:szCs w:val="21"/>
              </w:rPr>
              <w:t>6</w:t>
            </w:r>
            <w:r>
              <w:rPr>
                <w:rFonts w:eastAsiaTheme="minorEastAsia" w:hint="eastAsia"/>
                <w:szCs w:val="21"/>
              </w:rPr>
              <w:t>年</w:t>
            </w:r>
            <w:r>
              <w:rPr>
                <w:rFonts w:eastAsiaTheme="minorEastAsia" w:hint="eastAsia"/>
                <w:szCs w:val="21"/>
              </w:rPr>
              <w:t>1</w:t>
            </w:r>
            <w:r>
              <w:rPr>
                <w:rFonts w:eastAsiaTheme="minorEastAsia" w:hint="eastAsia"/>
                <w:szCs w:val="21"/>
              </w:rPr>
              <w:t>月</w:t>
            </w:r>
            <w:r>
              <w:rPr>
                <w:rFonts w:eastAsiaTheme="minorEastAsia"/>
                <w:szCs w:val="21"/>
              </w:rPr>
              <w:t>2</w:t>
            </w:r>
            <w:r>
              <w:rPr>
                <w:rFonts w:eastAsiaTheme="minorEastAsia" w:hint="eastAsia"/>
                <w:szCs w:val="21"/>
              </w:rPr>
              <w:t>1</w:t>
            </w:r>
            <w:r>
              <w:rPr>
                <w:rFonts w:eastAsiaTheme="minorEastAsia" w:hint="eastAsia"/>
                <w:szCs w:val="21"/>
              </w:rPr>
              <w:t>日</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基金管理人名称</w:t>
            </w:r>
          </w:p>
        </w:tc>
        <w:tc>
          <w:tcPr>
            <w:tcW w:w="5978" w:type="dxa"/>
          </w:tcPr>
          <w:p w:rsidR="001D0110" w:rsidRDefault="00EE7C3D">
            <w:pPr>
              <w:spacing w:line="276" w:lineRule="auto"/>
              <w:rPr>
                <w:rFonts w:eastAsiaTheme="minorEastAsia"/>
                <w:szCs w:val="21"/>
              </w:rPr>
            </w:pPr>
            <w:r>
              <w:rPr>
                <w:rFonts w:eastAsiaTheme="minorEastAsia"/>
                <w:szCs w:val="21"/>
              </w:rPr>
              <w:t>平安基金管理有限公司</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基金托管人名称</w:t>
            </w:r>
          </w:p>
        </w:tc>
        <w:tc>
          <w:tcPr>
            <w:tcW w:w="5978" w:type="dxa"/>
          </w:tcPr>
          <w:p w:rsidR="001D0110" w:rsidRDefault="00EE7C3D">
            <w:pPr>
              <w:spacing w:line="276" w:lineRule="auto"/>
              <w:rPr>
                <w:rFonts w:eastAsiaTheme="minorEastAsia"/>
                <w:szCs w:val="21"/>
              </w:rPr>
            </w:pPr>
            <w:r>
              <w:rPr>
                <w:rFonts w:eastAsiaTheme="minorEastAsia" w:hint="eastAsia"/>
                <w:szCs w:val="21"/>
              </w:rPr>
              <w:t>招商银行</w:t>
            </w:r>
            <w:r>
              <w:rPr>
                <w:rFonts w:eastAsiaTheme="minorEastAsia" w:hint="eastAsia"/>
                <w:szCs w:val="21"/>
              </w:rPr>
              <w:t>股份有限公司</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基金注册登记</w:t>
            </w:r>
            <w:r>
              <w:rPr>
                <w:rFonts w:eastAsiaTheme="minorEastAsia" w:hint="eastAsia"/>
                <w:szCs w:val="21"/>
              </w:rPr>
              <w:t>机构</w:t>
            </w:r>
            <w:r>
              <w:rPr>
                <w:rFonts w:eastAsiaTheme="minorEastAsia"/>
                <w:szCs w:val="21"/>
              </w:rPr>
              <w:t>名称</w:t>
            </w:r>
          </w:p>
        </w:tc>
        <w:tc>
          <w:tcPr>
            <w:tcW w:w="5978" w:type="dxa"/>
            <w:vAlign w:val="center"/>
          </w:tcPr>
          <w:p w:rsidR="001D0110" w:rsidRDefault="00EE7C3D">
            <w:pPr>
              <w:spacing w:line="276" w:lineRule="auto"/>
              <w:rPr>
                <w:rFonts w:eastAsiaTheme="minorEastAsia"/>
                <w:szCs w:val="21"/>
              </w:rPr>
            </w:pPr>
            <w:r>
              <w:rPr>
                <w:rFonts w:eastAsiaTheme="minorEastAsia"/>
                <w:szCs w:val="21"/>
              </w:rPr>
              <w:t>中国证券登记结算有限责任公司</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公告依据</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《中华人民共和国证券投资基金法》及其配套法规、《</w:t>
            </w:r>
            <w:r>
              <w:rPr>
                <w:rFonts w:eastAsiaTheme="minorEastAsia" w:hint="eastAsia"/>
                <w:szCs w:val="21"/>
              </w:rPr>
              <w:t>平安恒生港股通科技主题交易型开放式指数证券投资基金</w:t>
            </w:r>
            <w:r>
              <w:rPr>
                <w:rFonts w:eastAsiaTheme="minorEastAsia" w:hint="eastAsia"/>
                <w:szCs w:val="21"/>
              </w:rPr>
              <w:t>基金合同》、《</w:t>
            </w:r>
            <w:r>
              <w:rPr>
                <w:rFonts w:eastAsiaTheme="minorEastAsia" w:hint="eastAsia"/>
                <w:szCs w:val="21"/>
              </w:rPr>
              <w:t>平安恒生港股通科技主题交易型开放式指数证券投资基金</w:t>
            </w:r>
            <w:r>
              <w:rPr>
                <w:rFonts w:eastAsiaTheme="minorEastAsia" w:hint="eastAsia"/>
                <w:szCs w:val="21"/>
              </w:rPr>
              <w:t>招募说明书》等</w:t>
            </w:r>
          </w:p>
        </w:tc>
      </w:tr>
      <w:tr w:rsidR="001D0110">
        <w:trPr>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申购起始日</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2026</w:t>
            </w:r>
            <w:r>
              <w:rPr>
                <w:rFonts w:eastAsiaTheme="minorEastAsia" w:hint="eastAsia"/>
                <w:szCs w:val="21"/>
              </w:rPr>
              <w:t>年</w:t>
            </w:r>
            <w:r>
              <w:rPr>
                <w:rFonts w:eastAsiaTheme="minorEastAsia" w:hint="eastAsia"/>
                <w:szCs w:val="21"/>
              </w:rPr>
              <w:t>2</w:t>
            </w:r>
            <w:r>
              <w:rPr>
                <w:rFonts w:eastAsiaTheme="minorEastAsia" w:hint="eastAsia"/>
                <w:szCs w:val="21"/>
              </w:rPr>
              <w:t>月</w:t>
            </w:r>
            <w:r>
              <w:rPr>
                <w:rFonts w:eastAsiaTheme="minorEastAsia" w:hint="eastAsia"/>
                <w:szCs w:val="21"/>
              </w:rPr>
              <w:t>3</w:t>
            </w:r>
            <w:r>
              <w:rPr>
                <w:rFonts w:eastAsiaTheme="minorEastAsia" w:hint="eastAsia"/>
                <w:szCs w:val="21"/>
              </w:rPr>
              <w:t>日</w:t>
            </w:r>
          </w:p>
        </w:tc>
      </w:tr>
      <w:tr w:rsidR="001D0110">
        <w:trPr>
          <w:trHeight w:val="379"/>
          <w:jc w:val="center"/>
        </w:trPr>
        <w:tc>
          <w:tcPr>
            <w:tcW w:w="2381" w:type="dxa"/>
            <w:vAlign w:val="center"/>
          </w:tcPr>
          <w:p w:rsidR="001D0110" w:rsidRDefault="00EE7C3D">
            <w:pPr>
              <w:spacing w:line="276" w:lineRule="auto"/>
              <w:rPr>
                <w:rFonts w:eastAsiaTheme="minorEastAsia"/>
                <w:szCs w:val="21"/>
              </w:rPr>
            </w:pPr>
            <w:r>
              <w:rPr>
                <w:rFonts w:eastAsiaTheme="minorEastAsia"/>
                <w:szCs w:val="21"/>
              </w:rPr>
              <w:t>赎回起始日</w:t>
            </w:r>
          </w:p>
        </w:tc>
        <w:tc>
          <w:tcPr>
            <w:tcW w:w="5978" w:type="dxa"/>
            <w:vAlign w:val="center"/>
          </w:tcPr>
          <w:p w:rsidR="001D0110" w:rsidRDefault="00EE7C3D">
            <w:pPr>
              <w:spacing w:line="276" w:lineRule="auto"/>
              <w:rPr>
                <w:rFonts w:eastAsiaTheme="minorEastAsia"/>
                <w:szCs w:val="21"/>
              </w:rPr>
            </w:pPr>
            <w:r>
              <w:rPr>
                <w:rFonts w:eastAsiaTheme="minorEastAsia" w:hint="eastAsia"/>
                <w:szCs w:val="21"/>
              </w:rPr>
              <w:t>2026</w:t>
            </w:r>
            <w:r>
              <w:rPr>
                <w:rFonts w:eastAsiaTheme="minorEastAsia" w:hint="eastAsia"/>
                <w:szCs w:val="21"/>
              </w:rPr>
              <w:t>年</w:t>
            </w:r>
            <w:r>
              <w:rPr>
                <w:rFonts w:eastAsiaTheme="minorEastAsia" w:hint="eastAsia"/>
                <w:szCs w:val="21"/>
              </w:rPr>
              <w:t>2</w:t>
            </w:r>
            <w:r>
              <w:rPr>
                <w:rFonts w:eastAsiaTheme="minorEastAsia" w:hint="eastAsia"/>
                <w:szCs w:val="21"/>
              </w:rPr>
              <w:t>月</w:t>
            </w:r>
            <w:r>
              <w:rPr>
                <w:rFonts w:eastAsiaTheme="minorEastAsia" w:hint="eastAsia"/>
                <w:szCs w:val="21"/>
              </w:rPr>
              <w:t>3</w:t>
            </w:r>
            <w:r>
              <w:rPr>
                <w:rFonts w:eastAsiaTheme="minorEastAsia" w:hint="eastAsia"/>
                <w:szCs w:val="21"/>
              </w:rPr>
              <w:t>日</w:t>
            </w:r>
          </w:p>
        </w:tc>
      </w:tr>
    </w:tbl>
    <w:p w:rsidR="001D0110" w:rsidRDefault="001D0110">
      <w:pPr>
        <w:spacing w:line="360" w:lineRule="auto"/>
        <w:ind w:firstLineChars="201" w:firstLine="424"/>
        <w:rPr>
          <w:rFonts w:eastAsiaTheme="minorEastAsia"/>
          <w:b/>
          <w:szCs w:val="21"/>
        </w:rPr>
      </w:pPr>
      <w:bookmarkStart w:id="3" w:name="t_2_2_table"/>
      <w:bookmarkStart w:id="4" w:name="_Hlk30703181"/>
      <w:bookmarkEnd w:id="3"/>
    </w:p>
    <w:p w:rsidR="001D0110" w:rsidRDefault="00EE7C3D">
      <w:pPr>
        <w:spacing w:line="360" w:lineRule="auto"/>
        <w:ind w:firstLineChars="201" w:firstLine="424"/>
        <w:rPr>
          <w:rFonts w:eastAsiaTheme="minorEastAsia"/>
          <w:b/>
          <w:szCs w:val="21"/>
        </w:rPr>
      </w:pPr>
      <w:r>
        <w:rPr>
          <w:rFonts w:eastAsiaTheme="minorEastAsia"/>
          <w:b/>
          <w:szCs w:val="21"/>
        </w:rPr>
        <w:t>2</w:t>
      </w:r>
      <w:r>
        <w:rPr>
          <w:rFonts w:eastAsiaTheme="minorEastAsia"/>
          <w:b/>
          <w:szCs w:val="21"/>
        </w:rPr>
        <w:t>、日常申购、赎回业务的办理时间</w:t>
      </w:r>
    </w:p>
    <w:p w:rsidR="001D0110" w:rsidRDefault="00EE7C3D">
      <w:pPr>
        <w:spacing w:line="360" w:lineRule="auto"/>
        <w:ind w:firstLineChars="201" w:firstLine="422"/>
        <w:rPr>
          <w:rFonts w:eastAsiaTheme="minorEastAsia"/>
          <w:bCs/>
          <w:szCs w:val="21"/>
        </w:rPr>
      </w:pPr>
      <w:bookmarkStart w:id="5" w:name="t_2_2_2819_a1_fm1"/>
      <w:bookmarkEnd w:id="5"/>
      <w:r>
        <w:rPr>
          <w:rFonts w:eastAsiaTheme="minorEastAsia"/>
          <w:bCs/>
          <w:szCs w:val="21"/>
        </w:rPr>
        <w:t>投资人在开放日办理基金份额的申购和赎回，具体办理时间为</w:t>
      </w:r>
      <w:r>
        <w:rPr>
          <w:rFonts w:eastAsiaTheme="minorEastAsia" w:hint="eastAsia"/>
          <w:bCs/>
          <w:szCs w:val="21"/>
        </w:rPr>
        <w:t>深圳证券交易所的正常交易日的交易时间（若该交易日非港股通交易日，则本基金不开放申购和赎回）</w:t>
      </w:r>
      <w:r>
        <w:rPr>
          <w:rFonts w:eastAsiaTheme="minorEastAsia"/>
          <w:bCs/>
          <w:szCs w:val="21"/>
        </w:rPr>
        <w:t>，但基金管理人根据法律法规、中国证监会的要求或基金合同的规定公告暂停申购、赎回时除外。</w:t>
      </w:r>
    </w:p>
    <w:p w:rsidR="001D0110" w:rsidRDefault="00EE7C3D">
      <w:pPr>
        <w:spacing w:line="360" w:lineRule="auto"/>
        <w:ind w:firstLineChars="201" w:firstLine="422"/>
        <w:rPr>
          <w:rFonts w:eastAsiaTheme="minorEastAsia"/>
          <w:bCs/>
          <w:szCs w:val="21"/>
        </w:rPr>
      </w:pPr>
      <w:r>
        <w:rPr>
          <w:rFonts w:eastAsiaTheme="minorEastAsia"/>
          <w:bCs/>
          <w:szCs w:val="21"/>
        </w:rPr>
        <w:t>基金合同生效后，若出现新的证券</w:t>
      </w:r>
      <w:r>
        <w:rPr>
          <w:rFonts w:eastAsiaTheme="minorEastAsia"/>
          <w:bCs/>
          <w:szCs w:val="21"/>
        </w:rPr>
        <w:t>/</w:t>
      </w:r>
      <w:r>
        <w:rPr>
          <w:rFonts w:eastAsiaTheme="minorEastAsia"/>
          <w:bCs/>
          <w:szCs w:val="21"/>
        </w:rPr>
        <w:t>期货交易市场，证券</w:t>
      </w:r>
      <w:r>
        <w:rPr>
          <w:rFonts w:eastAsiaTheme="minorEastAsia"/>
          <w:bCs/>
          <w:szCs w:val="21"/>
        </w:rPr>
        <w:t>/</w:t>
      </w:r>
      <w:r>
        <w:rPr>
          <w:rFonts w:eastAsiaTheme="minorEastAsia"/>
          <w:bCs/>
          <w:szCs w:val="21"/>
        </w:rPr>
        <w:t>期货交易所交易时间变更或其他特殊情况或根据业务需要，基金管理人将视情况对前述开放日及开放时间进行相应的调整，但应依照《信息披露办法》的有关规定在规定媒介上公告。</w:t>
      </w:r>
    </w:p>
    <w:p w:rsidR="001D0110" w:rsidRDefault="00EE7C3D">
      <w:pPr>
        <w:spacing w:line="360" w:lineRule="auto"/>
        <w:ind w:firstLineChars="201" w:firstLine="424"/>
        <w:rPr>
          <w:rFonts w:eastAsiaTheme="minorEastAsia"/>
          <w:b/>
          <w:szCs w:val="21"/>
        </w:rPr>
      </w:pPr>
      <w:r>
        <w:rPr>
          <w:rFonts w:eastAsiaTheme="minorEastAsia"/>
          <w:b/>
          <w:szCs w:val="21"/>
        </w:rPr>
        <w:t>3</w:t>
      </w:r>
      <w:r>
        <w:rPr>
          <w:rFonts w:eastAsiaTheme="minorEastAsia"/>
          <w:b/>
          <w:szCs w:val="21"/>
        </w:rPr>
        <w:t>、日常申购业务</w:t>
      </w:r>
    </w:p>
    <w:p w:rsidR="001D0110" w:rsidRDefault="00EE7C3D">
      <w:pPr>
        <w:spacing w:line="360" w:lineRule="auto"/>
        <w:ind w:firstLineChars="201" w:firstLine="424"/>
        <w:rPr>
          <w:rFonts w:eastAsiaTheme="minorEastAsia"/>
          <w:b/>
          <w:szCs w:val="21"/>
        </w:rPr>
      </w:pPr>
      <w:r>
        <w:rPr>
          <w:rFonts w:eastAsiaTheme="minorEastAsia"/>
          <w:b/>
          <w:szCs w:val="21"/>
        </w:rPr>
        <w:t>3.</w:t>
      </w:r>
      <w:r>
        <w:rPr>
          <w:rFonts w:eastAsiaTheme="minorEastAsia" w:hint="eastAsia"/>
          <w:b/>
          <w:szCs w:val="21"/>
        </w:rPr>
        <w:t>1</w:t>
      </w:r>
      <w:r>
        <w:rPr>
          <w:rFonts w:eastAsiaTheme="minorEastAsia" w:hint="eastAsia"/>
          <w:b/>
          <w:szCs w:val="21"/>
        </w:rPr>
        <w:t>申购金额限制</w:t>
      </w:r>
    </w:p>
    <w:p w:rsidR="001D0110" w:rsidRDefault="00EE7C3D">
      <w:pPr>
        <w:spacing w:line="360" w:lineRule="auto"/>
        <w:ind w:firstLineChars="201" w:firstLine="422"/>
        <w:rPr>
          <w:rFonts w:eastAsiaTheme="minorEastAsia"/>
          <w:szCs w:val="21"/>
        </w:rPr>
      </w:pPr>
      <w:r>
        <w:rPr>
          <w:rFonts w:eastAsiaTheme="minorEastAsia" w:hint="eastAsia"/>
          <w:szCs w:val="21"/>
        </w:rPr>
        <w:t>1</w:t>
      </w:r>
      <w:r>
        <w:rPr>
          <w:rFonts w:eastAsiaTheme="minorEastAsia" w:hint="eastAsia"/>
          <w:szCs w:val="21"/>
        </w:rPr>
        <w:t>、投资人申购的基金份额需为最小申购、赎回单位的整数倍。最小申购、赎回单位由</w:t>
      </w:r>
      <w:r>
        <w:rPr>
          <w:rFonts w:eastAsiaTheme="minorEastAsia" w:hint="eastAsia"/>
          <w:szCs w:val="21"/>
        </w:rPr>
        <w:lastRenderedPageBreak/>
        <w:t>基金管理人确定和调整。目前，本基金最小申购、赎回单位为</w:t>
      </w:r>
      <w:r>
        <w:rPr>
          <w:rFonts w:eastAsiaTheme="minorEastAsia" w:hint="eastAsia"/>
          <w:szCs w:val="21"/>
        </w:rPr>
        <w:t>1</w:t>
      </w:r>
      <w:r>
        <w:rPr>
          <w:rFonts w:eastAsiaTheme="minorEastAsia" w:hint="eastAsia"/>
          <w:szCs w:val="21"/>
        </w:rPr>
        <w:t>0</w:t>
      </w:r>
      <w:r>
        <w:rPr>
          <w:rFonts w:eastAsiaTheme="minorEastAsia" w:hint="eastAsia"/>
          <w:szCs w:val="21"/>
        </w:rPr>
        <w:t>0</w:t>
      </w:r>
      <w:r>
        <w:rPr>
          <w:rFonts w:eastAsiaTheme="minorEastAsia" w:hint="eastAsia"/>
          <w:szCs w:val="21"/>
        </w:rPr>
        <w:t>万份。本基金基金份额折算的，最小申购赎回单位相应调整。</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hint="eastAsia"/>
          <w:szCs w:val="21"/>
        </w:rPr>
        <w:t>基金管理人可根据基金运作情况、市场变化以及投资者需求等因素对基金的最小申购赎回单位进行调整，并在调整实施前依照《信息披露办法》的有关规定在规定媒介公告。</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hint="eastAsia"/>
          <w:szCs w:val="21"/>
        </w:rPr>
        <w:t>2</w:t>
      </w:r>
      <w:r>
        <w:rPr>
          <w:rFonts w:eastAsiaTheme="minorEastAsia" w:hint="eastAsia"/>
          <w:szCs w:val="21"/>
        </w:rPr>
        <w:t>、基金管理人可以规定本基金当日申购份额上限，具体规定详见申购赎回清单。</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szCs w:val="21"/>
        </w:rPr>
        <w:t>3</w:t>
      </w:r>
      <w:r>
        <w:rPr>
          <w:rFonts w:eastAsiaTheme="minorEastAsia" w:hint="eastAsia"/>
          <w:szCs w:val="21"/>
        </w:rPr>
        <w:t>、基金管理人可以规定单个投资人累计持有的基金份额上限，具体规定请参见更新的招募说明书或相关公告。</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szCs w:val="21"/>
        </w:rPr>
        <w:t>4</w:t>
      </w:r>
      <w:r>
        <w:rPr>
          <w:rFonts w:eastAsiaTheme="minorEastAsia" w:hint="eastAsia"/>
          <w:szCs w:val="21"/>
        </w:rPr>
        <w:t>、当接受申购申请对存量基金份额持有人利益构成潜在重大不利影响时，基金管理人应当采取设定单一投资者申购份额上限或基金单</w:t>
      </w:r>
      <w:r>
        <w:rPr>
          <w:rFonts w:eastAsiaTheme="minorEastAsia" w:hint="eastAsia"/>
          <w:szCs w:val="21"/>
        </w:rPr>
        <w:t>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1D0110" w:rsidRDefault="00EE7C3D">
      <w:pPr>
        <w:spacing w:line="360" w:lineRule="auto"/>
        <w:ind w:firstLineChars="201" w:firstLine="422"/>
        <w:rPr>
          <w:rFonts w:eastAsiaTheme="minorEastAsia"/>
          <w:szCs w:val="21"/>
        </w:rPr>
      </w:pPr>
      <w:r>
        <w:rPr>
          <w:rFonts w:eastAsiaTheme="minorEastAsia"/>
          <w:szCs w:val="21"/>
        </w:rPr>
        <w:t>5</w:t>
      </w:r>
      <w:r>
        <w:rPr>
          <w:rFonts w:eastAsiaTheme="minorEastAsia" w:hint="eastAsia"/>
          <w:szCs w:val="21"/>
        </w:rPr>
        <w:t>、基金管理人可根据市场情况，在法律法规允许的情况下，调整上述规定数量或比例等限制。基金管理人必须依照《信息披露办法》的有关规定在规定媒介上公告（其中上述第</w:t>
      </w:r>
      <w:r>
        <w:rPr>
          <w:rFonts w:eastAsiaTheme="minorEastAsia"/>
          <w:szCs w:val="21"/>
        </w:rPr>
        <w:t xml:space="preserve"> 2</w:t>
      </w:r>
      <w:r>
        <w:rPr>
          <w:rFonts w:eastAsiaTheme="minorEastAsia" w:hint="eastAsia"/>
          <w:szCs w:val="21"/>
        </w:rPr>
        <w:t>、</w:t>
      </w:r>
      <w:r>
        <w:rPr>
          <w:rFonts w:eastAsiaTheme="minorEastAsia"/>
          <w:szCs w:val="21"/>
        </w:rPr>
        <w:t xml:space="preserve">3 </w:t>
      </w:r>
      <w:r>
        <w:rPr>
          <w:rFonts w:eastAsiaTheme="minorEastAsia" w:hint="eastAsia"/>
          <w:szCs w:val="21"/>
        </w:rPr>
        <w:t>条可由基金管理人于前一交易日设定并在当日基金申购赎回清单上公布，而不必在规定媒介上公告也无需报中国证监会备案）。</w:t>
      </w:r>
    </w:p>
    <w:p w:rsidR="001D0110" w:rsidRDefault="00EE7C3D">
      <w:pPr>
        <w:spacing w:line="360" w:lineRule="auto"/>
        <w:ind w:firstLineChars="201" w:firstLine="424"/>
        <w:rPr>
          <w:rFonts w:eastAsiaTheme="minorEastAsia"/>
          <w:b/>
          <w:szCs w:val="21"/>
        </w:rPr>
      </w:pPr>
      <w:r>
        <w:rPr>
          <w:rFonts w:eastAsiaTheme="minorEastAsia"/>
          <w:b/>
          <w:szCs w:val="21"/>
        </w:rPr>
        <w:t>3.</w:t>
      </w:r>
      <w:r>
        <w:rPr>
          <w:rFonts w:eastAsiaTheme="minorEastAsia" w:hint="eastAsia"/>
          <w:b/>
          <w:szCs w:val="21"/>
        </w:rPr>
        <w:t>2</w:t>
      </w:r>
      <w:r>
        <w:rPr>
          <w:rFonts w:eastAsiaTheme="minorEastAsia"/>
          <w:b/>
          <w:szCs w:val="21"/>
        </w:rPr>
        <w:t>申购</w:t>
      </w:r>
      <w:r>
        <w:rPr>
          <w:rFonts w:eastAsiaTheme="minorEastAsia" w:hint="eastAsia"/>
          <w:b/>
          <w:szCs w:val="21"/>
        </w:rPr>
        <w:t>费率</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投资者在</w:t>
      </w:r>
      <w:r>
        <w:t>申购</w:t>
      </w:r>
      <w:r>
        <w:rPr>
          <w:rFonts w:eastAsiaTheme="minorEastAsia" w:hint="eastAsia"/>
          <w:bCs/>
          <w:szCs w:val="21"/>
        </w:rPr>
        <w:t>基金份额时，</w:t>
      </w:r>
      <w:r>
        <w:rPr>
          <w:rFonts w:eastAsiaTheme="minorEastAsia" w:hint="eastAsia"/>
          <w:bCs/>
          <w:szCs w:val="21"/>
        </w:rPr>
        <w:t>申购赎回代理券商可按照不超过</w:t>
      </w:r>
      <w:r>
        <w:rPr>
          <w:rFonts w:eastAsiaTheme="minorEastAsia" w:hint="eastAsia"/>
          <w:bCs/>
          <w:szCs w:val="21"/>
        </w:rPr>
        <w:t>0.5%</w:t>
      </w:r>
      <w:r>
        <w:rPr>
          <w:rFonts w:eastAsiaTheme="minorEastAsia" w:hint="eastAsia"/>
          <w:bCs/>
          <w:szCs w:val="21"/>
        </w:rPr>
        <w:t>的标准收取佣金，其中包含证券</w:t>
      </w:r>
      <w:r>
        <w:rPr>
          <w:rFonts w:eastAsiaTheme="minorEastAsia" w:hint="eastAsia"/>
          <w:bCs/>
          <w:szCs w:val="21"/>
        </w:rPr>
        <w:t>/</w:t>
      </w:r>
      <w:r>
        <w:rPr>
          <w:rFonts w:eastAsiaTheme="minorEastAsia" w:hint="eastAsia"/>
          <w:bCs/>
          <w:szCs w:val="21"/>
        </w:rPr>
        <w:t>期货交易所、登记结算机构等收取的相关费用。</w:t>
      </w:r>
    </w:p>
    <w:p w:rsidR="001D0110" w:rsidRDefault="00EE7C3D">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、日常</w:t>
      </w:r>
      <w:r>
        <w:rPr>
          <w:rFonts w:eastAsiaTheme="minorEastAsia" w:hint="eastAsia"/>
          <w:b/>
          <w:szCs w:val="21"/>
        </w:rPr>
        <w:t>赎回</w:t>
      </w:r>
      <w:r>
        <w:rPr>
          <w:rFonts w:eastAsiaTheme="minorEastAsia"/>
          <w:b/>
          <w:szCs w:val="21"/>
        </w:rPr>
        <w:t>业务</w:t>
      </w:r>
    </w:p>
    <w:p w:rsidR="001D0110" w:rsidRDefault="00EE7C3D">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w:t>
      </w:r>
      <w:r>
        <w:rPr>
          <w:rFonts w:eastAsiaTheme="minorEastAsia" w:hint="eastAsia"/>
          <w:b/>
          <w:szCs w:val="21"/>
        </w:rPr>
        <w:t>1</w:t>
      </w:r>
      <w:r>
        <w:rPr>
          <w:rFonts w:eastAsiaTheme="minorEastAsia" w:hint="eastAsia"/>
          <w:b/>
          <w:szCs w:val="21"/>
        </w:rPr>
        <w:t>赎回份额限制</w:t>
      </w:r>
    </w:p>
    <w:p w:rsidR="001D0110" w:rsidRDefault="00EE7C3D">
      <w:pPr>
        <w:spacing w:line="360" w:lineRule="auto"/>
        <w:ind w:firstLineChars="201" w:firstLine="422"/>
        <w:rPr>
          <w:rFonts w:eastAsiaTheme="minorEastAsia"/>
          <w:szCs w:val="21"/>
        </w:rPr>
      </w:pPr>
      <w:r>
        <w:rPr>
          <w:rFonts w:eastAsiaTheme="minorEastAsia" w:hint="eastAsia"/>
          <w:szCs w:val="21"/>
        </w:rPr>
        <w:t>1</w:t>
      </w:r>
      <w:r>
        <w:rPr>
          <w:rFonts w:eastAsiaTheme="minorEastAsia" w:hint="eastAsia"/>
          <w:szCs w:val="21"/>
        </w:rPr>
        <w:t>、投资人赎回的基金份额需为最小申购、赎回单位的整数倍。最小申购、赎回单位由基金管理人确定和调整。目前，本基金最小申购、赎回单位为</w:t>
      </w:r>
      <w:r>
        <w:rPr>
          <w:rFonts w:eastAsiaTheme="minorEastAsia" w:hint="eastAsia"/>
          <w:szCs w:val="21"/>
        </w:rPr>
        <w:t>1</w:t>
      </w:r>
      <w:r>
        <w:rPr>
          <w:rFonts w:eastAsiaTheme="minorEastAsia" w:hint="eastAsia"/>
          <w:szCs w:val="21"/>
        </w:rPr>
        <w:t>0</w:t>
      </w:r>
      <w:r>
        <w:rPr>
          <w:rFonts w:eastAsiaTheme="minorEastAsia" w:hint="eastAsia"/>
          <w:szCs w:val="21"/>
        </w:rPr>
        <w:t>0</w:t>
      </w:r>
      <w:r>
        <w:rPr>
          <w:rFonts w:eastAsiaTheme="minorEastAsia" w:hint="eastAsia"/>
          <w:szCs w:val="21"/>
        </w:rPr>
        <w:t>万份。本基金基金份额折算的，最小申购赎回单位相应调整。</w:t>
      </w:r>
    </w:p>
    <w:p w:rsidR="001D0110" w:rsidRDefault="00EE7C3D">
      <w:pPr>
        <w:spacing w:line="360" w:lineRule="auto"/>
        <w:ind w:firstLineChars="201" w:firstLine="422"/>
        <w:rPr>
          <w:rFonts w:eastAsiaTheme="minorEastAsia"/>
          <w:szCs w:val="21"/>
        </w:rPr>
      </w:pPr>
      <w:r>
        <w:rPr>
          <w:rFonts w:eastAsiaTheme="minorEastAsia" w:hint="eastAsia"/>
          <w:szCs w:val="21"/>
        </w:rPr>
        <w:t>基金管理人可根据基金运作情况、市场变化以及投资者需求等因素对基金的最小申购赎回单位进行调整，并在调整实施前依照《信息披露办法》的有关规定在规定媒介公告。</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hint="eastAsia"/>
          <w:szCs w:val="21"/>
        </w:rPr>
        <w:t>2</w:t>
      </w:r>
      <w:r>
        <w:rPr>
          <w:rFonts w:eastAsiaTheme="minorEastAsia" w:hint="eastAsia"/>
          <w:szCs w:val="21"/>
        </w:rPr>
        <w:t>、基金管理人可</w:t>
      </w:r>
      <w:r>
        <w:rPr>
          <w:rFonts w:eastAsiaTheme="minorEastAsia" w:hint="eastAsia"/>
          <w:szCs w:val="21"/>
        </w:rPr>
        <w:t>以规定本基金当日赎回份额上限，具体规定详见申购赎回清单。</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hint="eastAsia"/>
          <w:szCs w:val="21"/>
        </w:rPr>
        <w:t>3</w:t>
      </w:r>
      <w:r>
        <w:rPr>
          <w:rFonts w:eastAsiaTheme="minorEastAsia" w:hint="eastAsia"/>
          <w:szCs w:val="21"/>
        </w:rPr>
        <w:t>、基金管理人可以规定投资人每个交易账户的最低基金份额余额，具体规定请参见更新的招募说明书或相关公告。</w:t>
      </w:r>
      <w:r>
        <w:rPr>
          <w:rFonts w:eastAsiaTheme="minorEastAsia" w:hint="eastAsia"/>
          <w:szCs w:val="21"/>
        </w:rPr>
        <w:t xml:space="preserve"> </w:t>
      </w:r>
    </w:p>
    <w:p w:rsidR="001D0110" w:rsidRDefault="00EE7C3D">
      <w:pPr>
        <w:spacing w:line="360" w:lineRule="auto"/>
        <w:ind w:firstLineChars="201" w:firstLine="422"/>
        <w:rPr>
          <w:rFonts w:eastAsiaTheme="minorEastAsia"/>
          <w:szCs w:val="21"/>
        </w:rPr>
      </w:pPr>
      <w:r>
        <w:rPr>
          <w:rFonts w:eastAsiaTheme="minorEastAsia"/>
          <w:szCs w:val="21"/>
        </w:rPr>
        <w:t>4</w:t>
      </w:r>
      <w:r>
        <w:rPr>
          <w:rFonts w:eastAsiaTheme="minorEastAsia" w:hint="eastAsia"/>
          <w:szCs w:val="21"/>
        </w:rPr>
        <w:t>、基金管理人可根据市场情况，在法律法规允许的情况下，调整上述规定数量或比例等限制。基金管理人必须依照《信息披露办法》的有关规定在规定媒介上公告（其中上述第</w:t>
      </w:r>
      <w:r>
        <w:rPr>
          <w:rFonts w:eastAsiaTheme="minorEastAsia"/>
          <w:szCs w:val="21"/>
        </w:rPr>
        <w:t xml:space="preserve"> </w:t>
      </w:r>
      <w:r>
        <w:rPr>
          <w:rFonts w:eastAsiaTheme="minorEastAsia"/>
          <w:szCs w:val="21"/>
        </w:rPr>
        <w:lastRenderedPageBreak/>
        <w:t>2</w:t>
      </w:r>
      <w:r>
        <w:rPr>
          <w:rFonts w:eastAsiaTheme="minorEastAsia" w:hint="eastAsia"/>
          <w:szCs w:val="21"/>
        </w:rPr>
        <w:t>、</w:t>
      </w:r>
      <w:r>
        <w:rPr>
          <w:rFonts w:eastAsiaTheme="minorEastAsia"/>
          <w:szCs w:val="21"/>
        </w:rPr>
        <w:t xml:space="preserve">3 </w:t>
      </w:r>
      <w:r>
        <w:rPr>
          <w:rFonts w:eastAsiaTheme="minorEastAsia" w:hint="eastAsia"/>
          <w:szCs w:val="21"/>
        </w:rPr>
        <w:t>条可由基金管理人于前一交易日设定并在当日基金申购赎回清单上公布，而不必在规定媒介上公告也无需报中国证监会备案）。</w:t>
      </w:r>
    </w:p>
    <w:p w:rsidR="001D0110" w:rsidRDefault="00EE7C3D">
      <w:pPr>
        <w:spacing w:line="360" w:lineRule="auto"/>
        <w:ind w:firstLineChars="201" w:firstLine="424"/>
        <w:rPr>
          <w:rFonts w:eastAsiaTheme="minorEastAsia"/>
          <w:b/>
          <w:szCs w:val="21"/>
        </w:rPr>
      </w:pPr>
      <w:r>
        <w:rPr>
          <w:rFonts w:eastAsiaTheme="minorEastAsia" w:hint="eastAsia"/>
          <w:b/>
          <w:szCs w:val="21"/>
        </w:rPr>
        <w:t>4</w:t>
      </w:r>
      <w:r>
        <w:rPr>
          <w:rFonts w:eastAsiaTheme="minorEastAsia"/>
          <w:b/>
          <w:szCs w:val="21"/>
        </w:rPr>
        <w:t>.</w:t>
      </w:r>
      <w:r>
        <w:rPr>
          <w:rFonts w:eastAsiaTheme="minorEastAsia" w:hint="eastAsia"/>
          <w:b/>
          <w:szCs w:val="21"/>
        </w:rPr>
        <w:t>2</w:t>
      </w:r>
      <w:r>
        <w:rPr>
          <w:rFonts w:eastAsiaTheme="minorEastAsia" w:hint="eastAsia"/>
          <w:b/>
          <w:szCs w:val="21"/>
        </w:rPr>
        <w:t>赎回费率</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投资者在赎回基金份额时，申购赎回代理券商可按照不超</w:t>
      </w:r>
      <w:r>
        <w:rPr>
          <w:rFonts w:eastAsiaTheme="minorEastAsia" w:hint="eastAsia"/>
          <w:bCs/>
          <w:szCs w:val="21"/>
        </w:rPr>
        <w:t>过</w:t>
      </w:r>
      <w:r>
        <w:rPr>
          <w:rFonts w:eastAsiaTheme="minorEastAsia" w:hint="eastAsia"/>
          <w:bCs/>
          <w:szCs w:val="21"/>
        </w:rPr>
        <w:t>0.5%</w:t>
      </w:r>
      <w:r>
        <w:rPr>
          <w:rFonts w:eastAsiaTheme="minorEastAsia" w:hint="eastAsia"/>
          <w:bCs/>
          <w:szCs w:val="21"/>
        </w:rPr>
        <w:t>的标准收取佣金，其中包含证券</w:t>
      </w:r>
      <w:r>
        <w:rPr>
          <w:rFonts w:eastAsiaTheme="minorEastAsia" w:hint="eastAsia"/>
          <w:bCs/>
          <w:szCs w:val="21"/>
        </w:rPr>
        <w:t>/</w:t>
      </w:r>
      <w:r>
        <w:rPr>
          <w:rFonts w:eastAsiaTheme="minorEastAsia" w:hint="eastAsia"/>
          <w:bCs/>
          <w:szCs w:val="21"/>
        </w:rPr>
        <w:t>期货交易所、登记结算机构等收取的相关费用。</w:t>
      </w:r>
    </w:p>
    <w:p w:rsidR="001D0110" w:rsidRDefault="00EE7C3D">
      <w:pPr>
        <w:spacing w:line="360" w:lineRule="auto"/>
        <w:ind w:firstLineChars="201" w:firstLine="424"/>
        <w:rPr>
          <w:rFonts w:eastAsiaTheme="minorEastAsia"/>
          <w:b/>
          <w:szCs w:val="21"/>
        </w:rPr>
      </w:pPr>
      <w:r>
        <w:rPr>
          <w:rFonts w:eastAsiaTheme="minorEastAsia" w:hint="eastAsia"/>
          <w:b/>
          <w:szCs w:val="21"/>
        </w:rPr>
        <w:t>5</w:t>
      </w:r>
      <w:r>
        <w:rPr>
          <w:rFonts w:eastAsiaTheme="minorEastAsia"/>
          <w:b/>
          <w:szCs w:val="21"/>
        </w:rPr>
        <w:t>、</w:t>
      </w:r>
      <w:r>
        <w:rPr>
          <w:rFonts w:eastAsiaTheme="minorEastAsia" w:hint="eastAsia"/>
          <w:b/>
          <w:szCs w:val="21"/>
        </w:rPr>
        <w:t>申购赎回代理机构</w:t>
      </w:r>
      <w:bookmarkStart w:id="6" w:name="_GoBack"/>
      <w:bookmarkEnd w:id="6"/>
    </w:p>
    <w:bookmarkEnd w:id="4"/>
    <w:p w:rsidR="001D0110" w:rsidRDefault="00EE7C3D">
      <w:pPr>
        <w:spacing w:line="360" w:lineRule="auto"/>
        <w:ind w:firstLineChars="201" w:firstLine="422"/>
        <w:rPr>
          <w:rFonts w:eastAsiaTheme="minorEastAsia"/>
          <w:bCs/>
          <w:szCs w:val="21"/>
        </w:rPr>
      </w:pPr>
      <w:r>
        <w:rPr>
          <w:rFonts w:eastAsiaTheme="minorEastAsia" w:hint="eastAsia"/>
          <w:bCs/>
          <w:szCs w:val="21"/>
        </w:rPr>
        <w:t>本基金的申购赎回业务代理券商为：渤海证券股份有限公司、东方证券股份有限公司、东莞证券股份有限公司、东海证券股份有限公司、东吴证券股份有限公司、东兴证券股份有限公司、方正证券股份有限公司、光大证券股份有限公司、广发证券股份有限公司、国海证券股份有限公司、国联民生证券股份有限公司、国盛证券股份有限公司、国泰海通证券股份有限公司、国投证券股份有限公司、国信证券股份有限公司、华宝证券股份有限公司、华泰证券股份有限公司、江海证券有限公司、金融街证券股份有限公司、民生证券股份有限公司、平安证券股份有限公司、山西证券股份</w:t>
      </w:r>
      <w:r>
        <w:rPr>
          <w:rFonts w:eastAsiaTheme="minorEastAsia" w:hint="eastAsia"/>
          <w:bCs/>
          <w:szCs w:val="21"/>
        </w:rPr>
        <w:t>有限公司、申万宏源西部证券有限公司、申万宏源证券有限公司、万联证券股份有限公司、西部证券股份有限公司、西南证券股份有限公司、湘财证券股份有限公司、兴业证券股份有限公司、甬兴证券有限公司、长城证券股份有限公司、招商证券股份有限公司、浙商证券股份有限公司、中国银河证券股份有限公司、中国中金财富证券有限公司、中泰证券股份有限公司、中信建投证券股份有限公司、中信证券（山东）有限责任公司、中信证券股份有限公司、中信证券华南股份有限公司、东方财富证券股份有限公司。</w:t>
      </w:r>
    </w:p>
    <w:p w:rsidR="001D0110" w:rsidRDefault="00EE7C3D">
      <w:pPr>
        <w:spacing w:line="360" w:lineRule="auto"/>
        <w:ind w:firstLineChars="201" w:firstLine="422"/>
        <w:rPr>
          <w:rFonts w:eastAsiaTheme="minorEastAsia"/>
          <w:bCs/>
          <w:szCs w:val="21"/>
        </w:rPr>
      </w:pPr>
      <w:r>
        <w:rPr>
          <w:rFonts w:eastAsiaTheme="minorEastAsia" w:hint="eastAsia"/>
          <w:bCs/>
          <w:szCs w:val="21"/>
        </w:rPr>
        <w:t>本公司可根据情况变更或增减申购赎回代理券商，并予以公告</w:t>
      </w:r>
      <w:r>
        <w:rPr>
          <w:rFonts w:eastAsiaTheme="minorEastAsia" w:hint="eastAsia"/>
          <w:bCs/>
          <w:szCs w:val="21"/>
        </w:rPr>
        <w:t>或在本公司官方网站公示。</w:t>
      </w:r>
    </w:p>
    <w:p w:rsidR="001D0110" w:rsidRDefault="00EE7C3D">
      <w:pPr>
        <w:spacing w:line="360" w:lineRule="auto"/>
        <w:ind w:firstLineChars="201" w:firstLine="424"/>
        <w:rPr>
          <w:rFonts w:eastAsiaTheme="minorEastAsia"/>
          <w:b/>
          <w:szCs w:val="21"/>
        </w:rPr>
      </w:pPr>
      <w:r>
        <w:rPr>
          <w:rFonts w:eastAsiaTheme="minorEastAsia" w:hint="eastAsia"/>
          <w:b/>
          <w:szCs w:val="21"/>
        </w:rPr>
        <w:t>6</w:t>
      </w:r>
      <w:r>
        <w:rPr>
          <w:rFonts w:eastAsiaTheme="minorEastAsia"/>
          <w:b/>
          <w:szCs w:val="21"/>
        </w:rPr>
        <w:t>、基金</w:t>
      </w:r>
      <w:r>
        <w:rPr>
          <w:rFonts w:eastAsiaTheme="minorEastAsia" w:hint="eastAsia"/>
          <w:b/>
          <w:szCs w:val="21"/>
        </w:rPr>
        <w:t>净值信息</w:t>
      </w:r>
      <w:r>
        <w:rPr>
          <w:rFonts w:eastAsiaTheme="minorEastAsia"/>
          <w:b/>
          <w:szCs w:val="21"/>
        </w:rPr>
        <w:t>的披露安排</w:t>
      </w:r>
    </w:p>
    <w:p w:rsidR="001D0110" w:rsidRDefault="00EE7C3D">
      <w:pPr>
        <w:spacing w:line="360" w:lineRule="auto"/>
        <w:ind w:firstLineChars="201" w:firstLine="422"/>
        <w:rPr>
          <w:rFonts w:eastAsiaTheme="minorEastAsia"/>
          <w:szCs w:val="21"/>
        </w:rPr>
      </w:pPr>
      <w:r>
        <w:rPr>
          <w:rFonts w:eastAsiaTheme="minorEastAsia" w:hint="eastAsia"/>
          <w:szCs w:val="21"/>
        </w:rPr>
        <w:t>《基金合同》生效后，在开始办理基金份额申购或者赎回且上市交易前，基金管理人应当至少每周在规定网站披露一次基金份额净值和基金份额累计净值。</w:t>
      </w:r>
    </w:p>
    <w:p w:rsidR="001D0110" w:rsidRDefault="00EE7C3D">
      <w:pPr>
        <w:spacing w:line="360" w:lineRule="auto"/>
        <w:ind w:firstLineChars="201" w:firstLine="422"/>
        <w:rPr>
          <w:rFonts w:eastAsiaTheme="minorEastAsia"/>
          <w:szCs w:val="21"/>
        </w:rPr>
      </w:pPr>
      <w:r>
        <w:rPr>
          <w:rFonts w:eastAsiaTheme="minorEastAsia" w:hint="eastAsia"/>
          <w:szCs w:val="21"/>
        </w:rPr>
        <w:t>在开始办理基金份额申购或者赎回或上市交易后，基金管理人应当在不晚于每个交易</w:t>
      </w:r>
      <w:r>
        <w:rPr>
          <w:rFonts w:eastAsiaTheme="minorEastAsia" w:hint="eastAsia"/>
          <w:szCs w:val="21"/>
        </w:rPr>
        <w:t>/</w:t>
      </w:r>
      <w:r>
        <w:rPr>
          <w:rFonts w:eastAsiaTheme="minorEastAsia" w:hint="eastAsia"/>
          <w:szCs w:val="21"/>
        </w:rPr>
        <w:t>开放日的次日，通过规定网站、基金销售机构网站或者营业网点披露交易</w:t>
      </w:r>
      <w:r>
        <w:rPr>
          <w:rFonts w:eastAsiaTheme="minorEastAsia" w:hint="eastAsia"/>
          <w:szCs w:val="21"/>
        </w:rPr>
        <w:t>/</w:t>
      </w:r>
      <w:r>
        <w:rPr>
          <w:rFonts w:eastAsiaTheme="minorEastAsia" w:hint="eastAsia"/>
          <w:szCs w:val="21"/>
        </w:rPr>
        <w:t>开放日的基金份额净值和基金份额累计净值。</w:t>
      </w:r>
    </w:p>
    <w:p w:rsidR="001D0110" w:rsidRDefault="00EE7C3D">
      <w:pPr>
        <w:spacing w:line="360" w:lineRule="auto"/>
        <w:ind w:firstLineChars="201" w:firstLine="422"/>
        <w:rPr>
          <w:rFonts w:eastAsiaTheme="minorEastAsia"/>
          <w:szCs w:val="21"/>
        </w:rPr>
      </w:pPr>
      <w:r>
        <w:rPr>
          <w:rFonts w:eastAsiaTheme="minorEastAsia" w:hint="eastAsia"/>
          <w:szCs w:val="21"/>
        </w:rPr>
        <w:t>基金管理人应当在不晚于半年度和年度最后一日的次日，在规定网站披露半年度和年度最后一日的基金份额净值和基金份额累计净值。</w:t>
      </w:r>
    </w:p>
    <w:p w:rsidR="001D0110" w:rsidRDefault="00EE7C3D">
      <w:pPr>
        <w:spacing w:line="360" w:lineRule="auto"/>
        <w:ind w:firstLineChars="201" w:firstLine="424"/>
        <w:rPr>
          <w:rFonts w:eastAsiaTheme="minorEastAsia"/>
          <w:b/>
          <w:szCs w:val="21"/>
        </w:rPr>
      </w:pPr>
      <w:r>
        <w:rPr>
          <w:rFonts w:eastAsiaTheme="minorEastAsia" w:hint="eastAsia"/>
          <w:b/>
          <w:szCs w:val="21"/>
        </w:rPr>
        <w:t>7</w:t>
      </w:r>
      <w:r>
        <w:rPr>
          <w:rFonts w:eastAsiaTheme="minorEastAsia"/>
          <w:b/>
          <w:szCs w:val="21"/>
        </w:rPr>
        <w:t>、其他需要提示的事项</w:t>
      </w:r>
      <w:bookmarkStart w:id="7" w:name="t_2_9_2646_a1_fm1"/>
      <w:bookmarkEnd w:id="7"/>
    </w:p>
    <w:p w:rsidR="001D0110" w:rsidRDefault="00EE7C3D">
      <w:pPr>
        <w:spacing w:line="360" w:lineRule="auto"/>
        <w:ind w:firstLineChars="201" w:firstLine="422"/>
        <w:rPr>
          <w:rFonts w:eastAsiaTheme="minorEastAsia"/>
          <w:szCs w:val="21"/>
        </w:rPr>
      </w:pPr>
      <w:r>
        <w:rPr>
          <w:rFonts w:eastAsiaTheme="minorEastAsia" w:hint="eastAsia"/>
          <w:szCs w:val="21"/>
        </w:rPr>
        <w:t>（</w:t>
      </w:r>
      <w:r>
        <w:rPr>
          <w:rFonts w:eastAsiaTheme="minorEastAsia" w:hint="eastAsia"/>
          <w:szCs w:val="21"/>
        </w:rPr>
        <w:t>1</w:t>
      </w:r>
      <w:r>
        <w:rPr>
          <w:rFonts w:eastAsiaTheme="minorEastAsia" w:hint="eastAsia"/>
          <w:szCs w:val="21"/>
        </w:rPr>
        <w:t>）</w:t>
      </w:r>
      <w:r>
        <w:rPr>
          <w:rFonts w:eastAsiaTheme="minorEastAsia"/>
          <w:szCs w:val="21"/>
        </w:rPr>
        <w:t>本公告仅对本基金开放日常申购、赎回业务的有关事项予以说明。投资者欲了解本基金的详细情况，请详细阅读《</w:t>
      </w:r>
      <w:r>
        <w:rPr>
          <w:rFonts w:eastAsiaTheme="minorEastAsia" w:hint="eastAsia"/>
          <w:szCs w:val="21"/>
        </w:rPr>
        <w:t>平安恒生港股通科技主题交易型开放式指数证券投资基金</w:t>
      </w:r>
      <w:r>
        <w:rPr>
          <w:rFonts w:eastAsiaTheme="minorEastAsia"/>
          <w:szCs w:val="21"/>
        </w:rPr>
        <w:t>基金合同》和《</w:t>
      </w:r>
      <w:r>
        <w:rPr>
          <w:rFonts w:eastAsiaTheme="minorEastAsia" w:hint="eastAsia"/>
          <w:szCs w:val="21"/>
        </w:rPr>
        <w:t>平安恒生港股通科技主题交易型开放式指数证券投资基金</w:t>
      </w:r>
      <w:r>
        <w:rPr>
          <w:rFonts w:eastAsiaTheme="minorEastAsia"/>
          <w:szCs w:val="21"/>
        </w:rPr>
        <w:t>招募说明书》。投资者亦可以登录本基金管理人网站（</w:t>
      </w:r>
      <w:r>
        <w:rPr>
          <w:rFonts w:eastAsiaTheme="minorEastAsia"/>
          <w:szCs w:val="21"/>
        </w:rPr>
        <w:t>fund.pingan.com</w:t>
      </w:r>
      <w:r>
        <w:rPr>
          <w:rFonts w:eastAsiaTheme="minorEastAsia"/>
          <w:szCs w:val="21"/>
        </w:rPr>
        <w:t>）或拨打本基金管理人的全国统一客户服务电话</w:t>
      </w:r>
      <w:r>
        <w:rPr>
          <w:rFonts w:eastAsiaTheme="minorEastAsia"/>
          <w:szCs w:val="21"/>
        </w:rPr>
        <w:t>400</w:t>
      </w:r>
      <w:r>
        <w:rPr>
          <w:rFonts w:eastAsiaTheme="minorEastAsia" w:hint="eastAsia"/>
          <w:szCs w:val="21"/>
        </w:rPr>
        <w:t>-</w:t>
      </w:r>
      <w:r>
        <w:rPr>
          <w:rFonts w:eastAsiaTheme="minorEastAsia"/>
          <w:szCs w:val="21"/>
        </w:rPr>
        <w:t>800</w:t>
      </w:r>
      <w:r>
        <w:rPr>
          <w:rFonts w:eastAsiaTheme="minorEastAsia" w:hint="eastAsia"/>
          <w:szCs w:val="21"/>
        </w:rPr>
        <w:t>-</w:t>
      </w:r>
      <w:r>
        <w:rPr>
          <w:rFonts w:eastAsiaTheme="minorEastAsia"/>
          <w:szCs w:val="21"/>
        </w:rPr>
        <w:t>4800</w:t>
      </w:r>
      <w:r>
        <w:rPr>
          <w:rFonts w:eastAsiaTheme="minorEastAsia"/>
          <w:szCs w:val="21"/>
        </w:rPr>
        <w:t>（免长途话费）及直销专线电话</w:t>
      </w:r>
      <w:r>
        <w:rPr>
          <w:rFonts w:eastAsiaTheme="minorEastAsia"/>
          <w:szCs w:val="21"/>
        </w:rPr>
        <w:t>0755</w:t>
      </w:r>
      <w:r>
        <w:rPr>
          <w:rFonts w:eastAsiaTheme="minorEastAsia" w:hint="eastAsia"/>
          <w:szCs w:val="21"/>
        </w:rPr>
        <w:t>-</w:t>
      </w:r>
      <w:r>
        <w:rPr>
          <w:rFonts w:eastAsiaTheme="minorEastAsia"/>
          <w:szCs w:val="21"/>
        </w:rPr>
        <w:t>22</w:t>
      </w:r>
      <w:r>
        <w:rPr>
          <w:rFonts w:eastAsiaTheme="minorEastAsia" w:hint="eastAsia"/>
          <w:szCs w:val="21"/>
        </w:rPr>
        <w:t>627627</w:t>
      </w:r>
      <w:r>
        <w:rPr>
          <w:rFonts w:eastAsiaTheme="minorEastAsia"/>
          <w:szCs w:val="21"/>
        </w:rPr>
        <w:t>咨询相关事宜。</w:t>
      </w:r>
    </w:p>
    <w:p w:rsidR="001D0110" w:rsidRDefault="00EE7C3D">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2</w:t>
      </w:r>
      <w:r>
        <w:rPr>
          <w:rFonts w:eastAsiaTheme="minorEastAsia" w:hint="eastAsia"/>
          <w:bCs/>
          <w:szCs w:val="21"/>
        </w:rPr>
        <w:t>）申购与赎回的原则</w:t>
      </w:r>
    </w:p>
    <w:p w:rsidR="001D0110" w:rsidRDefault="00EE7C3D">
      <w:pPr>
        <w:spacing w:line="360" w:lineRule="auto"/>
        <w:ind w:firstLineChars="201" w:firstLine="422"/>
        <w:rPr>
          <w:rFonts w:eastAsiaTheme="minorEastAsia"/>
          <w:szCs w:val="21"/>
        </w:rPr>
      </w:pPr>
      <w:r>
        <w:rPr>
          <w:rFonts w:eastAsiaTheme="minorEastAsia" w:hint="eastAsia"/>
          <w:szCs w:val="21"/>
        </w:rPr>
        <w:t>1</w:t>
      </w:r>
      <w:r>
        <w:rPr>
          <w:rFonts w:eastAsiaTheme="minorEastAsia" w:hint="eastAsia"/>
          <w:szCs w:val="21"/>
        </w:rPr>
        <w:t>）</w:t>
      </w:r>
      <w:r>
        <w:rPr>
          <w:rFonts w:eastAsiaTheme="minorEastAsia" w:hint="eastAsia"/>
          <w:szCs w:val="21"/>
        </w:rPr>
        <w:t>“份额申购、份额赎回”原则，</w:t>
      </w:r>
      <w:r>
        <w:rPr>
          <w:rFonts w:eastAsiaTheme="minorEastAsia" w:hint="eastAsia"/>
          <w:szCs w:val="21"/>
        </w:rPr>
        <w:t>即申购和赎回均以份额申请；</w:t>
      </w:r>
    </w:p>
    <w:p w:rsidR="001D0110" w:rsidRDefault="00EE7C3D">
      <w:pPr>
        <w:spacing w:line="360" w:lineRule="auto"/>
        <w:ind w:firstLineChars="201" w:firstLine="422"/>
        <w:rPr>
          <w:rFonts w:eastAsiaTheme="minorEastAsia"/>
          <w:szCs w:val="21"/>
        </w:rPr>
      </w:pPr>
      <w:r>
        <w:rPr>
          <w:rFonts w:eastAsiaTheme="minorEastAsia" w:hint="eastAsia"/>
          <w:szCs w:val="21"/>
        </w:rPr>
        <w:t>2</w:t>
      </w:r>
      <w:r>
        <w:rPr>
          <w:rFonts w:eastAsiaTheme="minorEastAsia" w:hint="eastAsia"/>
          <w:szCs w:val="21"/>
        </w:rPr>
        <w:t>）</w:t>
      </w:r>
      <w:r>
        <w:rPr>
          <w:rFonts w:eastAsiaTheme="minorEastAsia" w:hint="eastAsia"/>
          <w:szCs w:val="21"/>
        </w:rPr>
        <w:t>本基金的申购对价、赎回对价包括现金替代、现金差额及其他对价；在条件成熟的情况下，如交易所推出新的申购赎回模式时，基金的申购对价、赎回对价也可包括组合证券。基金的申购对价、赎回对价详情请见申购赎回清单；</w:t>
      </w:r>
    </w:p>
    <w:p w:rsidR="001D0110" w:rsidRDefault="00EE7C3D">
      <w:pPr>
        <w:spacing w:line="360" w:lineRule="auto"/>
        <w:ind w:firstLineChars="201" w:firstLine="422"/>
        <w:rPr>
          <w:rFonts w:eastAsiaTheme="minorEastAsia"/>
          <w:szCs w:val="21"/>
        </w:rPr>
      </w:pPr>
      <w:r>
        <w:rPr>
          <w:rFonts w:eastAsiaTheme="minorEastAsia" w:hint="eastAsia"/>
          <w:szCs w:val="21"/>
        </w:rPr>
        <w:t>3</w:t>
      </w:r>
      <w:r>
        <w:rPr>
          <w:rFonts w:eastAsiaTheme="minorEastAsia" w:hint="eastAsia"/>
          <w:szCs w:val="21"/>
        </w:rPr>
        <w:t>）</w:t>
      </w:r>
      <w:r>
        <w:rPr>
          <w:rFonts w:eastAsiaTheme="minorEastAsia" w:hint="eastAsia"/>
          <w:szCs w:val="21"/>
        </w:rPr>
        <w:t>申购与赎回申请提交后不得撤销；</w:t>
      </w:r>
    </w:p>
    <w:p w:rsidR="001D0110" w:rsidRDefault="00EE7C3D">
      <w:pPr>
        <w:spacing w:line="360" w:lineRule="auto"/>
        <w:ind w:firstLineChars="201" w:firstLine="422"/>
        <w:rPr>
          <w:rFonts w:eastAsiaTheme="minorEastAsia"/>
          <w:szCs w:val="21"/>
        </w:rPr>
      </w:pPr>
      <w:r>
        <w:rPr>
          <w:rFonts w:eastAsiaTheme="minorEastAsia" w:hint="eastAsia"/>
          <w:szCs w:val="21"/>
        </w:rPr>
        <w:t>4</w:t>
      </w:r>
      <w:r>
        <w:rPr>
          <w:rFonts w:eastAsiaTheme="minorEastAsia" w:hint="eastAsia"/>
          <w:szCs w:val="21"/>
        </w:rPr>
        <w:t>）</w:t>
      </w:r>
      <w:r>
        <w:rPr>
          <w:rFonts w:eastAsiaTheme="minorEastAsia" w:hint="eastAsia"/>
          <w:szCs w:val="21"/>
        </w:rPr>
        <w:t>申购、赎回应遵守业务规则及其他相关规定；</w:t>
      </w:r>
    </w:p>
    <w:p w:rsidR="001D0110" w:rsidRDefault="00EE7C3D">
      <w:pPr>
        <w:spacing w:line="360" w:lineRule="auto"/>
        <w:ind w:firstLineChars="201" w:firstLine="422"/>
        <w:rPr>
          <w:rFonts w:eastAsiaTheme="minorEastAsia"/>
          <w:szCs w:val="21"/>
        </w:rPr>
      </w:pPr>
      <w:r>
        <w:rPr>
          <w:rFonts w:eastAsiaTheme="minorEastAsia" w:hint="eastAsia"/>
          <w:szCs w:val="21"/>
        </w:rPr>
        <w:t>5</w:t>
      </w:r>
      <w:r>
        <w:rPr>
          <w:rFonts w:eastAsiaTheme="minorEastAsia" w:hint="eastAsia"/>
          <w:szCs w:val="21"/>
        </w:rPr>
        <w:t>）</w:t>
      </w:r>
      <w:r>
        <w:rPr>
          <w:rFonts w:eastAsiaTheme="minorEastAsia" w:hint="eastAsia"/>
          <w:szCs w:val="21"/>
        </w:rPr>
        <w:t>办理申购、赎回业务时，应当遵循基金份额持有人利益优先原则，确保投资者的合法权益不受损害并得到公平对待。</w:t>
      </w:r>
    </w:p>
    <w:p w:rsidR="001D0110" w:rsidRDefault="00EE7C3D">
      <w:pPr>
        <w:spacing w:line="360" w:lineRule="auto"/>
        <w:ind w:firstLineChars="201" w:firstLine="422"/>
        <w:rPr>
          <w:rFonts w:eastAsiaTheme="minorEastAsia"/>
          <w:szCs w:val="21"/>
        </w:rPr>
      </w:pPr>
      <w:r>
        <w:rPr>
          <w:rFonts w:eastAsiaTheme="minorEastAsia" w:hint="eastAsia"/>
          <w:szCs w:val="21"/>
        </w:rPr>
        <w:t>基金管理人可在法律法规允许的情况下，对上述原则进行调整。基金管理人必须依照《信息披露办法</w:t>
      </w:r>
      <w:r>
        <w:rPr>
          <w:rFonts w:eastAsiaTheme="minorEastAsia" w:hint="eastAsia"/>
          <w:szCs w:val="21"/>
        </w:rPr>
        <w:t>》的有关规定在规定媒介上公告。</w:t>
      </w:r>
    </w:p>
    <w:p w:rsidR="001D0110" w:rsidRDefault="00EE7C3D">
      <w:pPr>
        <w:spacing w:line="360" w:lineRule="auto"/>
        <w:ind w:firstLineChars="201" w:firstLine="422"/>
        <w:rPr>
          <w:rFonts w:eastAsiaTheme="minorEastAsia"/>
          <w:szCs w:val="21"/>
        </w:rPr>
      </w:pPr>
      <w:r>
        <w:rPr>
          <w:rFonts w:eastAsiaTheme="minorEastAsia" w:hint="eastAsia"/>
          <w:szCs w:val="21"/>
        </w:rPr>
        <w:t>（</w:t>
      </w:r>
      <w:r>
        <w:rPr>
          <w:rFonts w:eastAsiaTheme="minorEastAsia" w:hint="eastAsia"/>
          <w:szCs w:val="21"/>
        </w:rPr>
        <w:t>3</w:t>
      </w:r>
      <w:r>
        <w:rPr>
          <w:rFonts w:eastAsiaTheme="minorEastAsia" w:hint="eastAsia"/>
          <w:szCs w:val="21"/>
        </w:rPr>
        <w:t>）</w:t>
      </w:r>
      <w:r>
        <w:rPr>
          <w:rFonts w:eastAsiaTheme="minorEastAsia"/>
          <w:szCs w:val="21"/>
        </w:rPr>
        <w:t>申购</w:t>
      </w:r>
      <w:r>
        <w:rPr>
          <w:rFonts w:eastAsiaTheme="minorEastAsia" w:hint="eastAsia"/>
          <w:szCs w:val="21"/>
        </w:rPr>
        <w:t>和赎回的程序</w:t>
      </w:r>
    </w:p>
    <w:p w:rsidR="001D0110" w:rsidRDefault="00EE7C3D">
      <w:pPr>
        <w:spacing w:line="360" w:lineRule="auto"/>
        <w:ind w:firstLineChars="201" w:firstLine="422"/>
        <w:rPr>
          <w:rFonts w:eastAsiaTheme="minorEastAsia"/>
          <w:bCs/>
          <w:szCs w:val="21"/>
        </w:rPr>
      </w:pPr>
      <w:r>
        <w:rPr>
          <w:rFonts w:eastAsiaTheme="minorEastAsia" w:hint="eastAsia"/>
          <w:bCs/>
          <w:szCs w:val="21"/>
        </w:rPr>
        <w:t>1</w:t>
      </w:r>
      <w:r>
        <w:rPr>
          <w:rFonts w:eastAsiaTheme="minorEastAsia" w:hint="eastAsia"/>
          <w:bCs/>
          <w:szCs w:val="21"/>
        </w:rPr>
        <w:t>）</w:t>
      </w:r>
      <w:r>
        <w:rPr>
          <w:rFonts w:eastAsiaTheme="minorEastAsia" w:hint="eastAsia"/>
          <w:bCs/>
          <w:szCs w:val="21"/>
        </w:rPr>
        <w:t>申购和赎回的申请方式</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投资人必须根据申购赎回代理券商或基金管理人规定的程序，在开放日的具体业务办理时间内提出申购或赎回的申请。</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人交付申购对价，申购成立；登记结算机构确认申请时，申购生效。投资人在提交赎回申请时有足够的基金份额和现金，则赎回成立，登记结算机构确认赎回时，赎回生效。投资人在提交申购申请时须按申购赎回清单的规定备足申购对价，投资人在提交赎回申请时须持有足够的基金份额余额和现金，否则所提交的申购、赎回申请不成立。</w:t>
      </w:r>
    </w:p>
    <w:p w:rsidR="001D0110" w:rsidRDefault="00EE7C3D">
      <w:pPr>
        <w:spacing w:line="360" w:lineRule="auto"/>
        <w:ind w:firstLineChars="201" w:firstLine="422"/>
        <w:rPr>
          <w:rFonts w:eastAsiaTheme="minorEastAsia"/>
          <w:bCs/>
          <w:szCs w:val="21"/>
        </w:rPr>
      </w:pPr>
      <w:r>
        <w:rPr>
          <w:rFonts w:eastAsiaTheme="minorEastAsia" w:hint="eastAsia"/>
          <w:bCs/>
          <w:szCs w:val="21"/>
        </w:rPr>
        <w:t>2</w:t>
      </w:r>
      <w:r>
        <w:rPr>
          <w:rFonts w:eastAsiaTheme="minorEastAsia" w:hint="eastAsia"/>
          <w:bCs/>
          <w:szCs w:val="21"/>
        </w:rPr>
        <w:t>）</w:t>
      </w:r>
      <w:r>
        <w:rPr>
          <w:rFonts w:eastAsiaTheme="minorEastAsia" w:hint="eastAsia"/>
          <w:bCs/>
          <w:szCs w:val="21"/>
        </w:rPr>
        <w:t>申购和赎回申请的确认</w:t>
      </w:r>
    </w:p>
    <w:p w:rsidR="001D0110" w:rsidRDefault="00EE7C3D">
      <w:pPr>
        <w:spacing w:line="360" w:lineRule="auto"/>
        <w:ind w:firstLineChars="201" w:firstLine="422"/>
        <w:rPr>
          <w:rFonts w:eastAsiaTheme="minorEastAsia"/>
          <w:bCs/>
          <w:szCs w:val="21"/>
        </w:rPr>
      </w:pPr>
      <w:r>
        <w:rPr>
          <w:rFonts w:eastAsiaTheme="minorEastAsia" w:hint="eastAsia"/>
          <w:bCs/>
          <w:szCs w:val="21"/>
        </w:rPr>
        <w:t>基金投资人申购、赎回申请在受理当日进行确认。如投资人未能提供符合要求的申购对价，则申购申请不成立。如投资人持有的符合要求的基金份额不足或未能根据要求准备足额的现金，或本基金投资组合内不具备足额的符合要求的赎回对价，或投资人提交的赎回申请超过基金管理人设定的当日净赎回份额上限、当日累计赎回份额上限、单个账户当日净赎回份额上限或单个账户当日累计赎回份额上限，则赎回申请不成立或失败。</w:t>
      </w:r>
    </w:p>
    <w:p w:rsidR="001D0110" w:rsidRDefault="00EE7C3D">
      <w:pPr>
        <w:spacing w:line="360" w:lineRule="auto"/>
        <w:ind w:firstLineChars="201" w:firstLine="422"/>
        <w:rPr>
          <w:rFonts w:eastAsiaTheme="minorEastAsia"/>
          <w:bCs/>
          <w:szCs w:val="21"/>
        </w:rPr>
      </w:pPr>
      <w:r>
        <w:rPr>
          <w:rFonts w:eastAsiaTheme="minorEastAsia" w:hint="eastAsia"/>
          <w:bCs/>
          <w:szCs w:val="21"/>
        </w:rPr>
        <w:t>申购赎回代理券商对申购、赎回申请的受理并不代表该申请一定成功，而仅代表申购赎回代理券商确实接收到该申请。申购</w:t>
      </w:r>
      <w:r>
        <w:rPr>
          <w:rFonts w:eastAsiaTheme="minorEastAsia" w:hint="eastAsia"/>
          <w:bCs/>
          <w:szCs w:val="21"/>
        </w:rPr>
        <w:t>、赎回的确认以登记结算机构的确认结果为准。对于申购、赎回申请的确认情况，投资人应及时查询并妥善行使合法权利，否则，由此产生的任何损失由投资人自行承担。</w:t>
      </w:r>
    </w:p>
    <w:p w:rsidR="001D0110" w:rsidRDefault="00EE7C3D">
      <w:pPr>
        <w:spacing w:line="360" w:lineRule="auto"/>
        <w:ind w:firstLineChars="201" w:firstLine="422"/>
        <w:rPr>
          <w:rFonts w:eastAsiaTheme="minorEastAsia"/>
          <w:bCs/>
          <w:szCs w:val="21"/>
        </w:rPr>
      </w:pPr>
      <w:r>
        <w:rPr>
          <w:rFonts w:eastAsiaTheme="minorEastAsia" w:hint="eastAsia"/>
          <w:bCs/>
          <w:szCs w:val="21"/>
        </w:rPr>
        <w:t>基金管理人可以在不违反法律法规规定和基金合同约定的情形下，对上述业务办理规则进行调整，并按照《信息披露办法》的有关规定在规定媒介上公告。</w:t>
      </w:r>
    </w:p>
    <w:p w:rsidR="001D0110" w:rsidRDefault="00EE7C3D">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4</w:t>
      </w:r>
      <w:r>
        <w:rPr>
          <w:rFonts w:eastAsiaTheme="minorEastAsia" w:hint="eastAsia"/>
          <w:bCs/>
          <w:szCs w:val="21"/>
        </w:rPr>
        <w:t>）</w:t>
      </w:r>
      <w:r>
        <w:rPr>
          <w:rFonts w:eastAsiaTheme="minorEastAsia" w:hint="eastAsia"/>
          <w:bCs/>
          <w:szCs w:val="21"/>
        </w:rPr>
        <w:t>申购和赎回的清算交收与登记</w:t>
      </w:r>
    </w:p>
    <w:p w:rsidR="001D0110" w:rsidRDefault="00EE7C3D">
      <w:pPr>
        <w:spacing w:line="360" w:lineRule="auto"/>
        <w:ind w:firstLineChars="201" w:firstLine="422"/>
        <w:rPr>
          <w:rFonts w:eastAsiaTheme="minorEastAsia"/>
          <w:bCs/>
          <w:szCs w:val="21"/>
        </w:rPr>
      </w:pPr>
      <w:r>
        <w:rPr>
          <w:rFonts w:eastAsiaTheme="minorEastAsia" w:hint="eastAsia"/>
          <w:bCs/>
          <w:szCs w:val="21"/>
        </w:rPr>
        <w:t>本基金申购赎回过程中涉及的基金份额、现金替代、现金差额及其他对价的清算交收适用相关业务规则和参与各方相关协议及其不时修订的有关规定。</w:t>
      </w:r>
    </w:p>
    <w:p w:rsidR="001D0110" w:rsidRDefault="00EE7C3D">
      <w:pPr>
        <w:spacing w:line="360" w:lineRule="auto"/>
        <w:ind w:firstLineChars="201" w:firstLine="422"/>
        <w:rPr>
          <w:rFonts w:eastAsiaTheme="minorEastAsia"/>
          <w:bCs/>
          <w:szCs w:val="21"/>
        </w:rPr>
      </w:pPr>
      <w:r>
        <w:rPr>
          <w:rFonts w:eastAsiaTheme="minorEastAsia" w:hint="eastAsia"/>
          <w:bCs/>
          <w:szCs w:val="21"/>
        </w:rPr>
        <w:t>本基金现金申购业务中的现金替代采用逐笔全额结算（</w:t>
      </w:r>
      <w:r>
        <w:rPr>
          <w:rFonts w:eastAsiaTheme="minorEastAsia" w:hint="eastAsia"/>
          <w:bCs/>
          <w:szCs w:val="21"/>
        </w:rPr>
        <w:t>T</w:t>
      </w:r>
      <w:r>
        <w:rPr>
          <w:rFonts w:eastAsiaTheme="minorEastAsia" w:hint="eastAsia"/>
          <w:bCs/>
          <w:szCs w:val="21"/>
        </w:rPr>
        <w:t>日日</w:t>
      </w:r>
      <w:r>
        <w:rPr>
          <w:rFonts w:eastAsiaTheme="minorEastAsia" w:hint="eastAsia"/>
          <w:bCs/>
          <w:szCs w:val="21"/>
        </w:rPr>
        <w:t>间</w:t>
      </w:r>
      <w:r>
        <w:rPr>
          <w:rFonts w:eastAsiaTheme="minorEastAsia" w:hint="eastAsia"/>
          <w:bCs/>
          <w:szCs w:val="21"/>
        </w:rPr>
        <w:t>RTGS</w:t>
      </w:r>
      <w:r>
        <w:rPr>
          <w:rFonts w:eastAsiaTheme="minorEastAsia" w:hint="eastAsia"/>
          <w:bCs/>
          <w:szCs w:val="21"/>
        </w:rPr>
        <w:t>交收</w:t>
      </w:r>
      <w:r>
        <w:rPr>
          <w:rFonts w:eastAsiaTheme="minorEastAsia" w:hint="eastAsia"/>
          <w:bCs/>
          <w:szCs w:val="21"/>
        </w:rPr>
        <w:t>+T</w:t>
      </w:r>
      <w:r>
        <w:rPr>
          <w:rFonts w:eastAsiaTheme="minorEastAsia" w:hint="eastAsia"/>
          <w:bCs/>
          <w:szCs w:val="21"/>
        </w:rPr>
        <w:t>日日终逐笔全额非担保交收）处理；现金赎回业务中的现金替代采用代收代付处理；现金申购、赎回业务涉及的现金差额和现金替代退补款采用代收代付处理。</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投资者</w:t>
      </w:r>
      <w:r>
        <w:rPr>
          <w:rFonts w:eastAsiaTheme="minorEastAsia" w:hint="eastAsia"/>
          <w:bCs/>
          <w:szCs w:val="21"/>
        </w:rPr>
        <w:t>T</w:t>
      </w:r>
      <w:r>
        <w:rPr>
          <w:rFonts w:eastAsiaTheme="minorEastAsia" w:hint="eastAsia"/>
          <w:bCs/>
          <w:szCs w:val="21"/>
        </w:rPr>
        <w:t>日现金申购后，正常情况下，如选择采用</w:t>
      </w:r>
      <w:r>
        <w:rPr>
          <w:rFonts w:eastAsiaTheme="minorEastAsia" w:hint="eastAsia"/>
          <w:bCs/>
          <w:szCs w:val="21"/>
        </w:rPr>
        <w:t>RTGS</w:t>
      </w:r>
      <w:r>
        <w:rPr>
          <w:rFonts w:eastAsiaTheme="minorEastAsia" w:hint="eastAsia"/>
          <w:bCs/>
          <w:szCs w:val="21"/>
        </w:rPr>
        <w:t>交收且申购资金足额的，登记结算机构在</w:t>
      </w:r>
      <w:r>
        <w:rPr>
          <w:rFonts w:eastAsiaTheme="minorEastAsia" w:hint="eastAsia"/>
          <w:bCs/>
          <w:szCs w:val="21"/>
        </w:rPr>
        <w:t>T</w:t>
      </w:r>
      <w:r>
        <w:rPr>
          <w:rFonts w:eastAsiaTheme="minorEastAsia" w:hint="eastAsia"/>
          <w:bCs/>
          <w:szCs w:val="21"/>
        </w:rPr>
        <w:t>日日间实时办理基金份额及现金替代的清算交收；</w:t>
      </w:r>
      <w:r>
        <w:rPr>
          <w:rFonts w:eastAsiaTheme="minorEastAsia" w:hint="eastAsia"/>
          <w:bCs/>
          <w:szCs w:val="21"/>
        </w:rPr>
        <w:t>T</w:t>
      </w:r>
      <w:r>
        <w:rPr>
          <w:rFonts w:eastAsiaTheme="minorEastAsia" w:hint="eastAsia"/>
          <w:bCs/>
          <w:szCs w:val="21"/>
        </w:rPr>
        <w:t>日日间资金不足或不选择</w:t>
      </w:r>
      <w:r>
        <w:rPr>
          <w:rFonts w:eastAsiaTheme="minorEastAsia" w:hint="eastAsia"/>
          <w:bCs/>
          <w:szCs w:val="21"/>
        </w:rPr>
        <w:t>RTGS</w:t>
      </w:r>
      <w:r>
        <w:rPr>
          <w:rFonts w:eastAsiaTheme="minorEastAsia" w:hint="eastAsia"/>
          <w:bCs/>
          <w:szCs w:val="21"/>
        </w:rPr>
        <w:t>交收的，登记结算机构在</w:t>
      </w:r>
      <w:r>
        <w:rPr>
          <w:rFonts w:eastAsiaTheme="minorEastAsia" w:hint="eastAsia"/>
          <w:bCs/>
          <w:szCs w:val="21"/>
        </w:rPr>
        <w:t>T</w:t>
      </w:r>
      <w:r>
        <w:rPr>
          <w:rFonts w:eastAsiaTheme="minorEastAsia" w:hint="eastAsia"/>
          <w:bCs/>
          <w:szCs w:val="21"/>
        </w:rPr>
        <w:t>日收市后办理基金份额及现金替代的清算交收，并将结果发送给基金管理人、申购赎回代理券商和基金托管人。基金管理人在</w:t>
      </w:r>
      <w:r>
        <w:rPr>
          <w:rFonts w:eastAsiaTheme="minorEastAsia" w:hint="eastAsia"/>
          <w:bCs/>
          <w:szCs w:val="21"/>
        </w:rPr>
        <w:t>T+1</w:t>
      </w:r>
      <w:r>
        <w:rPr>
          <w:rFonts w:eastAsiaTheme="minorEastAsia" w:hint="eastAsia"/>
          <w:bCs/>
          <w:szCs w:val="21"/>
        </w:rPr>
        <w:t>日办理现金差额的清算，在</w:t>
      </w:r>
      <w:r>
        <w:rPr>
          <w:rFonts w:eastAsiaTheme="minorEastAsia" w:hint="eastAsia"/>
          <w:bCs/>
          <w:szCs w:val="21"/>
        </w:rPr>
        <w:t>T+2</w:t>
      </w:r>
      <w:r>
        <w:rPr>
          <w:rFonts w:eastAsiaTheme="minorEastAsia" w:hint="eastAsia"/>
          <w:bCs/>
          <w:szCs w:val="21"/>
        </w:rPr>
        <w:t>日办理现金差额的</w:t>
      </w:r>
      <w:r>
        <w:rPr>
          <w:rFonts w:eastAsiaTheme="minorEastAsia" w:hint="eastAsia"/>
          <w:bCs/>
          <w:szCs w:val="21"/>
        </w:rPr>
        <w:t>交收。</w:t>
      </w:r>
    </w:p>
    <w:p w:rsidR="001D0110" w:rsidRDefault="00EE7C3D">
      <w:pPr>
        <w:spacing w:line="360" w:lineRule="auto"/>
        <w:ind w:firstLineChars="201" w:firstLine="422"/>
        <w:rPr>
          <w:rFonts w:eastAsiaTheme="minorEastAsia"/>
          <w:bCs/>
          <w:szCs w:val="21"/>
        </w:rPr>
      </w:pPr>
      <w:r>
        <w:rPr>
          <w:rFonts w:eastAsiaTheme="minorEastAsia" w:hint="eastAsia"/>
          <w:bCs/>
          <w:szCs w:val="21"/>
        </w:rPr>
        <w:t>投资者</w:t>
      </w:r>
      <w:r>
        <w:rPr>
          <w:rFonts w:eastAsiaTheme="minorEastAsia" w:hint="eastAsia"/>
          <w:bCs/>
          <w:szCs w:val="21"/>
        </w:rPr>
        <w:t>T</w:t>
      </w:r>
      <w:r>
        <w:rPr>
          <w:rFonts w:eastAsiaTheme="minorEastAsia" w:hint="eastAsia"/>
          <w:bCs/>
          <w:szCs w:val="21"/>
        </w:rPr>
        <w:t>日提交的现金赎回申请受理后，登记结算机构在</w:t>
      </w:r>
      <w:r>
        <w:rPr>
          <w:rFonts w:eastAsiaTheme="minorEastAsia" w:hint="eastAsia"/>
          <w:bCs/>
          <w:szCs w:val="21"/>
        </w:rPr>
        <w:t>T</w:t>
      </w:r>
      <w:r>
        <w:rPr>
          <w:rFonts w:eastAsiaTheme="minorEastAsia" w:hint="eastAsia"/>
          <w:bCs/>
          <w:szCs w:val="21"/>
        </w:rPr>
        <w:t>日收市后为投资者办理基金份额的清算，在</w:t>
      </w:r>
      <w:r>
        <w:rPr>
          <w:rFonts w:eastAsiaTheme="minorEastAsia" w:hint="eastAsia"/>
          <w:bCs/>
          <w:szCs w:val="21"/>
        </w:rPr>
        <w:t>T</w:t>
      </w:r>
      <w:r>
        <w:rPr>
          <w:rFonts w:eastAsiaTheme="minorEastAsia" w:hint="eastAsia"/>
          <w:bCs/>
          <w:szCs w:val="21"/>
        </w:rPr>
        <w:t>日办理基金份额的交收，并将结果发送给基金管理人、申购赎回代理券商和基金托管人。基金管理人在</w:t>
      </w:r>
      <w:r>
        <w:rPr>
          <w:rFonts w:eastAsiaTheme="minorEastAsia" w:hint="eastAsia"/>
          <w:bCs/>
          <w:szCs w:val="21"/>
        </w:rPr>
        <w:t>T+1</w:t>
      </w:r>
      <w:r>
        <w:rPr>
          <w:rFonts w:eastAsiaTheme="minorEastAsia" w:hint="eastAsia"/>
          <w:bCs/>
          <w:szCs w:val="21"/>
        </w:rPr>
        <w:t>日办理现金差额的清算，在</w:t>
      </w:r>
      <w:r>
        <w:rPr>
          <w:rFonts w:eastAsiaTheme="minorEastAsia" w:hint="eastAsia"/>
          <w:bCs/>
          <w:szCs w:val="21"/>
        </w:rPr>
        <w:t>T+2</w:t>
      </w:r>
      <w:r>
        <w:rPr>
          <w:rFonts w:eastAsiaTheme="minorEastAsia" w:hint="eastAsia"/>
          <w:bCs/>
          <w:szCs w:val="21"/>
        </w:rPr>
        <w:t>日办理现金差额的交收。现金赎回替代款的清算交收由基金管理人和申购赎回代理券商协商处理，正常情况下，该款项的清算交收于</w:t>
      </w:r>
      <w:r>
        <w:rPr>
          <w:rFonts w:eastAsiaTheme="minorEastAsia" w:hint="eastAsia"/>
          <w:bCs/>
          <w:szCs w:val="21"/>
        </w:rPr>
        <w:t>T+7</w:t>
      </w:r>
      <w:r>
        <w:rPr>
          <w:rFonts w:eastAsiaTheme="minorEastAsia" w:hint="eastAsia"/>
          <w:bCs/>
          <w:szCs w:val="21"/>
        </w:rPr>
        <w:t>日（指开放日）内办理，但如果出现港股暂停交易或交收、流动性不足等原因导致无法足额卖出，则该款项的清算交收可延迟办理。</w:t>
      </w:r>
    </w:p>
    <w:p w:rsidR="001D0110" w:rsidRDefault="00EE7C3D">
      <w:pPr>
        <w:spacing w:line="360" w:lineRule="auto"/>
        <w:ind w:firstLineChars="201" w:firstLine="422"/>
        <w:rPr>
          <w:rFonts w:eastAsiaTheme="minorEastAsia"/>
          <w:bCs/>
          <w:szCs w:val="21"/>
        </w:rPr>
      </w:pPr>
      <w:r>
        <w:rPr>
          <w:rFonts w:eastAsiaTheme="minorEastAsia" w:hint="eastAsia"/>
          <w:bCs/>
          <w:szCs w:val="21"/>
        </w:rPr>
        <w:t>申购赎回涉及的现金差额、申购产生的应退款项、赎</w:t>
      </w:r>
      <w:r>
        <w:rPr>
          <w:rFonts w:eastAsiaTheme="minorEastAsia" w:hint="eastAsia"/>
          <w:bCs/>
          <w:szCs w:val="21"/>
        </w:rPr>
        <w:t>回现金替代款涉及交收日为港股交易日和交收日的交集（不含半日港股交易日或未完成两批次资金交收之日），当交收期间出现港股交易日为非港股交收日时，款项交收日期顺延。例如：投资者在</w:t>
      </w:r>
      <w:r>
        <w:rPr>
          <w:rFonts w:eastAsiaTheme="minorEastAsia" w:hint="eastAsia"/>
          <w:bCs/>
          <w:szCs w:val="21"/>
        </w:rPr>
        <w:t>T</w:t>
      </w:r>
      <w:r>
        <w:rPr>
          <w:rFonts w:eastAsiaTheme="minorEastAsia" w:hint="eastAsia"/>
          <w:bCs/>
          <w:szCs w:val="21"/>
        </w:rPr>
        <w:t>日进行申购，如</w:t>
      </w:r>
      <w:r>
        <w:rPr>
          <w:rFonts w:eastAsiaTheme="minorEastAsia" w:hint="eastAsia"/>
          <w:bCs/>
          <w:szCs w:val="21"/>
        </w:rPr>
        <w:t>T+1</w:t>
      </w:r>
      <w:r>
        <w:rPr>
          <w:rFonts w:eastAsiaTheme="minorEastAsia" w:hint="eastAsia"/>
          <w:bCs/>
          <w:szCs w:val="21"/>
        </w:rPr>
        <w:t>日至</w:t>
      </w:r>
      <w:r>
        <w:rPr>
          <w:rFonts w:eastAsiaTheme="minorEastAsia" w:hint="eastAsia"/>
          <w:bCs/>
          <w:szCs w:val="21"/>
        </w:rPr>
        <w:t>T+2</w:t>
      </w:r>
      <w:r>
        <w:rPr>
          <w:rFonts w:eastAsiaTheme="minorEastAsia" w:hint="eastAsia"/>
          <w:bCs/>
          <w:szCs w:val="21"/>
        </w:rPr>
        <w:t>日全部为港股交易日和交收日，且未出现半日港股交易日或未完成两批次资金交收的情形，则现金差额款于</w:t>
      </w:r>
      <w:r>
        <w:rPr>
          <w:rFonts w:eastAsiaTheme="minorEastAsia" w:hint="eastAsia"/>
          <w:bCs/>
          <w:szCs w:val="21"/>
        </w:rPr>
        <w:t>T+2</w:t>
      </w:r>
      <w:r>
        <w:rPr>
          <w:rFonts w:eastAsiaTheme="minorEastAsia" w:hint="eastAsia"/>
          <w:bCs/>
          <w:szCs w:val="21"/>
        </w:rPr>
        <w:t>日交收；如</w:t>
      </w:r>
      <w:r>
        <w:rPr>
          <w:rFonts w:eastAsiaTheme="minorEastAsia" w:hint="eastAsia"/>
          <w:bCs/>
          <w:szCs w:val="21"/>
        </w:rPr>
        <w:t>T+1</w:t>
      </w:r>
      <w:r>
        <w:rPr>
          <w:rFonts w:eastAsiaTheme="minorEastAsia" w:hint="eastAsia"/>
          <w:bCs/>
          <w:szCs w:val="21"/>
        </w:rPr>
        <w:t>日至</w:t>
      </w:r>
      <w:r>
        <w:rPr>
          <w:rFonts w:eastAsiaTheme="minorEastAsia" w:hint="eastAsia"/>
          <w:bCs/>
          <w:szCs w:val="21"/>
        </w:rPr>
        <w:t>T+2</w:t>
      </w:r>
      <w:r>
        <w:rPr>
          <w:rFonts w:eastAsiaTheme="minorEastAsia" w:hint="eastAsia"/>
          <w:bCs/>
          <w:szCs w:val="21"/>
        </w:rPr>
        <w:t>日有一日为交易日但为非交收日，或者有一日为半日港股交易日或未完成两批次资金交收的情形，而</w:t>
      </w:r>
      <w:r>
        <w:rPr>
          <w:rFonts w:eastAsiaTheme="minorEastAsia" w:hint="eastAsia"/>
          <w:bCs/>
          <w:szCs w:val="21"/>
        </w:rPr>
        <w:t>T+3</w:t>
      </w:r>
      <w:r>
        <w:rPr>
          <w:rFonts w:eastAsiaTheme="minorEastAsia" w:hint="eastAsia"/>
          <w:bCs/>
          <w:szCs w:val="21"/>
        </w:rPr>
        <w:t>日为港股交易日和交收日时，则现金差额款顺延一日至</w:t>
      </w:r>
      <w:r>
        <w:rPr>
          <w:rFonts w:eastAsiaTheme="minorEastAsia" w:hint="eastAsia"/>
          <w:bCs/>
          <w:szCs w:val="21"/>
        </w:rPr>
        <w:t>T+3</w:t>
      </w:r>
      <w:r>
        <w:rPr>
          <w:rFonts w:eastAsiaTheme="minorEastAsia" w:hint="eastAsia"/>
          <w:bCs/>
          <w:szCs w:val="21"/>
        </w:rPr>
        <w:t>日交收。</w:t>
      </w:r>
    </w:p>
    <w:p w:rsidR="001D0110" w:rsidRDefault="00EE7C3D">
      <w:pPr>
        <w:spacing w:line="360" w:lineRule="auto"/>
        <w:ind w:firstLineChars="201" w:firstLine="422"/>
        <w:rPr>
          <w:rFonts w:eastAsiaTheme="minorEastAsia"/>
          <w:bCs/>
          <w:szCs w:val="21"/>
        </w:rPr>
      </w:pPr>
      <w:r>
        <w:rPr>
          <w:rFonts w:eastAsiaTheme="minorEastAsia" w:hint="eastAsia"/>
          <w:bCs/>
          <w:szCs w:val="21"/>
        </w:rPr>
        <w:t>对于因申购赎回代理券商交</w:t>
      </w:r>
      <w:r>
        <w:rPr>
          <w:rFonts w:eastAsiaTheme="minorEastAsia" w:hint="eastAsia"/>
          <w:bCs/>
          <w:szCs w:val="21"/>
        </w:rPr>
        <w:t>收资金不足，导致投资者现金申购失败的情形，按照申购赎回代理券商的相关规则处理。如果登记结算机构和基金管理人在清算交收时发现不能正常履约的情形，则依据业务规则和参与各方相关协议及其不时修订的有关规定进行处理。</w:t>
      </w:r>
    </w:p>
    <w:p w:rsidR="001D0110" w:rsidRDefault="00EE7C3D">
      <w:pPr>
        <w:spacing w:line="360" w:lineRule="auto"/>
        <w:ind w:firstLineChars="201" w:firstLine="422"/>
        <w:rPr>
          <w:rFonts w:eastAsiaTheme="minorEastAsia"/>
          <w:bCs/>
          <w:szCs w:val="21"/>
        </w:rPr>
      </w:pPr>
      <w:r>
        <w:rPr>
          <w:rFonts w:eastAsiaTheme="minorEastAsia" w:hint="eastAsia"/>
          <w:bCs/>
          <w:szCs w:val="21"/>
        </w:rPr>
        <w:t>（</w:t>
      </w:r>
      <w:r>
        <w:rPr>
          <w:rFonts w:eastAsiaTheme="minorEastAsia" w:hint="eastAsia"/>
          <w:bCs/>
          <w:szCs w:val="21"/>
        </w:rPr>
        <w:t>5</w:t>
      </w:r>
      <w:r>
        <w:rPr>
          <w:rFonts w:eastAsiaTheme="minorEastAsia" w:hint="eastAsia"/>
          <w:bCs/>
          <w:szCs w:val="21"/>
        </w:rPr>
        <w:t>）</w:t>
      </w:r>
      <w:r>
        <w:rPr>
          <w:rFonts w:eastAsiaTheme="minorEastAsia" w:hint="eastAsia"/>
          <w:bCs/>
          <w:szCs w:val="21"/>
        </w:rPr>
        <w:t>基金管理人、深圳证券交易所、登记结算机构可在法律法规允许的范围内，对基金份额申购赎回的程序以及清算交收和登记的办理时间、方式、处理规则等进行调整，基金管理人应最迟于开始实施前依照《信息披露办法》的有关规定在规定媒介上公告。</w:t>
      </w:r>
    </w:p>
    <w:p w:rsidR="001D0110" w:rsidRDefault="00EE7C3D">
      <w:pPr>
        <w:spacing w:line="360" w:lineRule="auto"/>
        <w:ind w:firstLineChars="201" w:firstLine="422"/>
        <w:rPr>
          <w:rFonts w:eastAsiaTheme="minorEastAsia"/>
          <w:szCs w:val="21"/>
        </w:rPr>
      </w:pPr>
      <w:r>
        <w:rPr>
          <w:rFonts w:eastAsiaTheme="minorEastAsia"/>
          <w:szCs w:val="21"/>
        </w:rPr>
        <w:t>风险提示：基金管理人依照恪尽职守、诚实信用、谨慎勤勉的原则管理和运用基金财</w:t>
      </w:r>
      <w:r>
        <w:rPr>
          <w:rFonts w:eastAsiaTheme="minorEastAsia"/>
          <w:szCs w:val="21"/>
        </w:rPr>
        <w:t>产，但不保证基金一定盈利，也不保证最低收益。投资有风险，敬请投资者在投资基金前认真阅读《基金合同》、《招募说明书》等基金法律文件，了解基金的风险收益特征，并根据自身的风险承受能力选择适合自己的基金产品。</w:t>
      </w:r>
    </w:p>
    <w:p w:rsidR="001D0110" w:rsidRDefault="00EE7C3D">
      <w:pPr>
        <w:spacing w:line="360" w:lineRule="auto"/>
        <w:ind w:firstLineChars="201" w:firstLine="422"/>
        <w:rPr>
          <w:rFonts w:eastAsiaTheme="minorEastAsia"/>
          <w:szCs w:val="21"/>
        </w:rPr>
      </w:pPr>
      <w:r>
        <w:rPr>
          <w:rFonts w:eastAsiaTheme="minorEastAsia" w:hint="eastAsia"/>
          <w:szCs w:val="21"/>
        </w:rPr>
        <w:t>特此公告</w:t>
      </w:r>
    </w:p>
    <w:p w:rsidR="001D0110" w:rsidRDefault="001D0110">
      <w:pPr>
        <w:spacing w:line="360" w:lineRule="auto"/>
        <w:rPr>
          <w:rFonts w:eastAsiaTheme="minorEastAsia"/>
          <w:szCs w:val="21"/>
        </w:rPr>
      </w:pPr>
    </w:p>
    <w:p w:rsidR="001D0110" w:rsidRDefault="00EE7C3D">
      <w:pPr>
        <w:spacing w:line="360" w:lineRule="auto"/>
        <w:ind w:firstLineChars="200" w:firstLine="420"/>
        <w:jc w:val="right"/>
        <w:rPr>
          <w:rFonts w:eastAsiaTheme="minorEastAsia"/>
          <w:szCs w:val="21"/>
        </w:rPr>
      </w:pPr>
      <w:r>
        <w:rPr>
          <w:rFonts w:eastAsiaTheme="minorEastAsia"/>
          <w:szCs w:val="21"/>
        </w:rPr>
        <w:t>平安基金管理有限公司</w:t>
      </w:r>
      <w:r>
        <w:rPr>
          <w:rFonts w:eastAsiaTheme="minorEastAsia"/>
          <w:szCs w:val="21"/>
        </w:rPr>
        <w:cr/>
        <w:t>20</w:t>
      </w:r>
      <w:r>
        <w:rPr>
          <w:rFonts w:eastAsiaTheme="minorEastAsia" w:hint="eastAsia"/>
          <w:szCs w:val="21"/>
        </w:rPr>
        <w:t>2</w:t>
      </w:r>
      <w:r>
        <w:rPr>
          <w:rFonts w:eastAsiaTheme="minorEastAsia" w:hint="eastAsia"/>
          <w:szCs w:val="21"/>
        </w:rPr>
        <w:t>6</w:t>
      </w:r>
      <w:r>
        <w:rPr>
          <w:rFonts w:eastAsiaTheme="minorEastAsia"/>
          <w:szCs w:val="21"/>
        </w:rPr>
        <w:t>年</w:t>
      </w:r>
      <w:r>
        <w:rPr>
          <w:rFonts w:eastAsiaTheme="minorEastAsia" w:hint="eastAsia"/>
          <w:szCs w:val="21"/>
        </w:rPr>
        <w:t>1</w:t>
      </w:r>
      <w:r>
        <w:rPr>
          <w:rFonts w:eastAsiaTheme="minorEastAsia"/>
          <w:szCs w:val="21"/>
        </w:rPr>
        <w:t>月</w:t>
      </w:r>
      <w:r>
        <w:rPr>
          <w:rFonts w:eastAsiaTheme="minorEastAsia" w:hint="eastAsia"/>
          <w:szCs w:val="21"/>
        </w:rPr>
        <w:t>29</w:t>
      </w:r>
      <w:r>
        <w:rPr>
          <w:rFonts w:eastAsiaTheme="minorEastAsia"/>
          <w:szCs w:val="21"/>
        </w:rPr>
        <w:t>日</w:t>
      </w:r>
    </w:p>
    <w:sectPr w:rsidR="001D0110" w:rsidSect="001D01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2A27"/>
    <w:rsid w:val="C5D9683B"/>
    <w:rsid w:val="00002229"/>
    <w:rsid w:val="000065F9"/>
    <w:rsid w:val="000214FF"/>
    <w:rsid w:val="000225BB"/>
    <w:rsid w:val="00022890"/>
    <w:rsid w:val="000232FF"/>
    <w:rsid w:val="0002468C"/>
    <w:rsid w:val="00025DC8"/>
    <w:rsid w:val="00026826"/>
    <w:rsid w:val="00027B6B"/>
    <w:rsid w:val="000301DC"/>
    <w:rsid w:val="0003485D"/>
    <w:rsid w:val="00036325"/>
    <w:rsid w:val="00036C03"/>
    <w:rsid w:val="00041164"/>
    <w:rsid w:val="00042DE2"/>
    <w:rsid w:val="00046AC9"/>
    <w:rsid w:val="0004750E"/>
    <w:rsid w:val="000501F5"/>
    <w:rsid w:val="00051A09"/>
    <w:rsid w:val="00052728"/>
    <w:rsid w:val="00056F09"/>
    <w:rsid w:val="00057170"/>
    <w:rsid w:val="00060E31"/>
    <w:rsid w:val="000630EA"/>
    <w:rsid w:val="00066365"/>
    <w:rsid w:val="00066D33"/>
    <w:rsid w:val="0007117D"/>
    <w:rsid w:val="00073204"/>
    <w:rsid w:val="00076600"/>
    <w:rsid w:val="000802F0"/>
    <w:rsid w:val="00080B04"/>
    <w:rsid w:val="00080D0A"/>
    <w:rsid w:val="00083132"/>
    <w:rsid w:val="00086656"/>
    <w:rsid w:val="00091FFA"/>
    <w:rsid w:val="00093B5C"/>
    <w:rsid w:val="00094F29"/>
    <w:rsid w:val="000958AD"/>
    <w:rsid w:val="000973FE"/>
    <w:rsid w:val="000A0D09"/>
    <w:rsid w:val="000A324C"/>
    <w:rsid w:val="000A391E"/>
    <w:rsid w:val="000A641D"/>
    <w:rsid w:val="000B4174"/>
    <w:rsid w:val="000B722B"/>
    <w:rsid w:val="000C08B6"/>
    <w:rsid w:val="000C5CFB"/>
    <w:rsid w:val="000C6B94"/>
    <w:rsid w:val="000C6F70"/>
    <w:rsid w:val="000D1248"/>
    <w:rsid w:val="000E0C4B"/>
    <w:rsid w:val="000E3D5D"/>
    <w:rsid w:val="000E5073"/>
    <w:rsid w:val="000E5B33"/>
    <w:rsid w:val="000E64C3"/>
    <w:rsid w:val="000E6951"/>
    <w:rsid w:val="000E756E"/>
    <w:rsid w:val="000F0348"/>
    <w:rsid w:val="000F1176"/>
    <w:rsid w:val="000F1DFC"/>
    <w:rsid w:val="000F28CB"/>
    <w:rsid w:val="000F4F5C"/>
    <w:rsid w:val="000F59C1"/>
    <w:rsid w:val="000F5F27"/>
    <w:rsid w:val="001001AD"/>
    <w:rsid w:val="001016DC"/>
    <w:rsid w:val="00104C78"/>
    <w:rsid w:val="0010601D"/>
    <w:rsid w:val="00106AE5"/>
    <w:rsid w:val="00106EAB"/>
    <w:rsid w:val="00122C9B"/>
    <w:rsid w:val="00131599"/>
    <w:rsid w:val="00132EDE"/>
    <w:rsid w:val="001331BE"/>
    <w:rsid w:val="00136E04"/>
    <w:rsid w:val="00137760"/>
    <w:rsid w:val="00140903"/>
    <w:rsid w:val="001409C4"/>
    <w:rsid w:val="0014103E"/>
    <w:rsid w:val="00146C91"/>
    <w:rsid w:val="00147FE1"/>
    <w:rsid w:val="00155558"/>
    <w:rsid w:val="001568D3"/>
    <w:rsid w:val="00160190"/>
    <w:rsid w:val="00162FDB"/>
    <w:rsid w:val="00164815"/>
    <w:rsid w:val="00170DC6"/>
    <w:rsid w:val="00171735"/>
    <w:rsid w:val="00172A27"/>
    <w:rsid w:val="0017648B"/>
    <w:rsid w:val="001766E8"/>
    <w:rsid w:val="00176940"/>
    <w:rsid w:val="0018060F"/>
    <w:rsid w:val="00180815"/>
    <w:rsid w:val="00180F55"/>
    <w:rsid w:val="0018259E"/>
    <w:rsid w:val="001847BD"/>
    <w:rsid w:val="00186699"/>
    <w:rsid w:val="00187099"/>
    <w:rsid w:val="00191E1A"/>
    <w:rsid w:val="00197A48"/>
    <w:rsid w:val="001A0B8F"/>
    <w:rsid w:val="001A2E75"/>
    <w:rsid w:val="001A7C81"/>
    <w:rsid w:val="001B7909"/>
    <w:rsid w:val="001C3091"/>
    <w:rsid w:val="001C4DE6"/>
    <w:rsid w:val="001C531C"/>
    <w:rsid w:val="001C64BF"/>
    <w:rsid w:val="001C6A63"/>
    <w:rsid w:val="001C79B4"/>
    <w:rsid w:val="001D0110"/>
    <w:rsid w:val="001D0968"/>
    <w:rsid w:val="001D17AA"/>
    <w:rsid w:val="001D2359"/>
    <w:rsid w:val="001D301B"/>
    <w:rsid w:val="001D4922"/>
    <w:rsid w:val="001D716C"/>
    <w:rsid w:val="001E0D94"/>
    <w:rsid w:val="001E1812"/>
    <w:rsid w:val="001E2DCC"/>
    <w:rsid w:val="001E2DCF"/>
    <w:rsid w:val="001E72A9"/>
    <w:rsid w:val="001E79B7"/>
    <w:rsid w:val="001F5BC1"/>
    <w:rsid w:val="001F5EC0"/>
    <w:rsid w:val="00201295"/>
    <w:rsid w:val="00202363"/>
    <w:rsid w:val="00202630"/>
    <w:rsid w:val="0020310F"/>
    <w:rsid w:val="00205B82"/>
    <w:rsid w:val="00205DFC"/>
    <w:rsid w:val="00213038"/>
    <w:rsid w:val="00217006"/>
    <w:rsid w:val="00221899"/>
    <w:rsid w:val="00222B59"/>
    <w:rsid w:val="00222D1B"/>
    <w:rsid w:val="00225C65"/>
    <w:rsid w:val="00225E1F"/>
    <w:rsid w:val="002328A6"/>
    <w:rsid w:val="00234756"/>
    <w:rsid w:val="002376BD"/>
    <w:rsid w:val="00237802"/>
    <w:rsid w:val="00244A85"/>
    <w:rsid w:val="002507B0"/>
    <w:rsid w:val="0026076F"/>
    <w:rsid w:val="00260B86"/>
    <w:rsid w:val="00261383"/>
    <w:rsid w:val="00261961"/>
    <w:rsid w:val="00262846"/>
    <w:rsid w:val="00265DD2"/>
    <w:rsid w:val="002665D5"/>
    <w:rsid w:val="0027158D"/>
    <w:rsid w:val="00274A8F"/>
    <w:rsid w:val="00275986"/>
    <w:rsid w:val="00275E20"/>
    <w:rsid w:val="00276531"/>
    <w:rsid w:val="00283A37"/>
    <w:rsid w:val="00283F9B"/>
    <w:rsid w:val="00284C70"/>
    <w:rsid w:val="00284F87"/>
    <w:rsid w:val="00285CB4"/>
    <w:rsid w:val="002877F2"/>
    <w:rsid w:val="00294683"/>
    <w:rsid w:val="00295BE6"/>
    <w:rsid w:val="002A0430"/>
    <w:rsid w:val="002A1C21"/>
    <w:rsid w:val="002A20BC"/>
    <w:rsid w:val="002A2A51"/>
    <w:rsid w:val="002B283A"/>
    <w:rsid w:val="002C4512"/>
    <w:rsid w:val="002C65A3"/>
    <w:rsid w:val="002D1F9E"/>
    <w:rsid w:val="002E1BD0"/>
    <w:rsid w:val="002E29CB"/>
    <w:rsid w:val="002E2B49"/>
    <w:rsid w:val="002E3B12"/>
    <w:rsid w:val="002E5572"/>
    <w:rsid w:val="002E65D5"/>
    <w:rsid w:val="002F0874"/>
    <w:rsid w:val="002F2815"/>
    <w:rsid w:val="002F3D71"/>
    <w:rsid w:val="002F61E4"/>
    <w:rsid w:val="003009DE"/>
    <w:rsid w:val="00310813"/>
    <w:rsid w:val="0031253E"/>
    <w:rsid w:val="00315509"/>
    <w:rsid w:val="0031594D"/>
    <w:rsid w:val="0032004E"/>
    <w:rsid w:val="00322085"/>
    <w:rsid w:val="003228BB"/>
    <w:rsid w:val="00322BF0"/>
    <w:rsid w:val="00323492"/>
    <w:rsid w:val="00325536"/>
    <w:rsid w:val="00327D0A"/>
    <w:rsid w:val="00332053"/>
    <w:rsid w:val="00332E82"/>
    <w:rsid w:val="00334237"/>
    <w:rsid w:val="003349C2"/>
    <w:rsid w:val="0033549A"/>
    <w:rsid w:val="00335EF0"/>
    <w:rsid w:val="003411DE"/>
    <w:rsid w:val="00342434"/>
    <w:rsid w:val="00342E32"/>
    <w:rsid w:val="00344419"/>
    <w:rsid w:val="00344C2B"/>
    <w:rsid w:val="0035018D"/>
    <w:rsid w:val="00351504"/>
    <w:rsid w:val="003533B0"/>
    <w:rsid w:val="003552D3"/>
    <w:rsid w:val="003560C4"/>
    <w:rsid w:val="003562C5"/>
    <w:rsid w:val="0036329B"/>
    <w:rsid w:val="00363CDF"/>
    <w:rsid w:val="00363FF0"/>
    <w:rsid w:val="00365783"/>
    <w:rsid w:val="00366531"/>
    <w:rsid w:val="003679E0"/>
    <w:rsid w:val="00367BF3"/>
    <w:rsid w:val="00367CA9"/>
    <w:rsid w:val="003702B9"/>
    <w:rsid w:val="00370367"/>
    <w:rsid w:val="00384A49"/>
    <w:rsid w:val="00385E6B"/>
    <w:rsid w:val="00385EEA"/>
    <w:rsid w:val="00387E45"/>
    <w:rsid w:val="00387FEE"/>
    <w:rsid w:val="00390513"/>
    <w:rsid w:val="00394166"/>
    <w:rsid w:val="0039575E"/>
    <w:rsid w:val="003A050C"/>
    <w:rsid w:val="003A2D51"/>
    <w:rsid w:val="003A3260"/>
    <w:rsid w:val="003A5C52"/>
    <w:rsid w:val="003A62FF"/>
    <w:rsid w:val="003A76FD"/>
    <w:rsid w:val="003B043E"/>
    <w:rsid w:val="003B1501"/>
    <w:rsid w:val="003B213C"/>
    <w:rsid w:val="003C245B"/>
    <w:rsid w:val="003D0D8F"/>
    <w:rsid w:val="003D6787"/>
    <w:rsid w:val="003D7439"/>
    <w:rsid w:val="003E0BC8"/>
    <w:rsid w:val="003E18F3"/>
    <w:rsid w:val="003E37CE"/>
    <w:rsid w:val="003E4D56"/>
    <w:rsid w:val="003E54B5"/>
    <w:rsid w:val="003E5C79"/>
    <w:rsid w:val="003E6761"/>
    <w:rsid w:val="003E7450"/>
    <w:rsid w:val="003E79F0"/>
    <w:rsid w:val="003F19D1"/>
    <w:rsid w:val="003F4B7B"/>
    <w:rsid w:val="00400804"/>
    <w:rsid w:val="0040155C"/>
    <w:rsid w:val="00403EFA"/>
    <w:rsid w:val="0040475B"/>
    <w:rsid w:val="00404EA9"/>
    <w:rsid w:val="00406635"/>
    <w:rsid w:val="00406DA5"/>
    <w:rsid w:val="004129BF"/>
    <w:rsid w:val="00415B7C"/>
    <w:rsid w:val="00423022"/>
    <w:rsid w:val="00427489"/>
    <w:rsid w:val="0043008A"/>
    <w:rsid w:val="00431275"/>
    <w:rsid w:val="004332D2"/>
    <w:rsid w:val="004339E2"/>
    <w:rsid w:val="00433D51"/>
    <w:rsid w:val="00441090"/>
    <w:rsid w:val="00443651"/>
    <w:rsid w:val="00443B46"/>
    <w:rsid w:val="00445E74"/>
    <w:rsid w:val="004475C8"/>
    <w:rsid w:val="004508A2"/>
    <w:rsid w:val="00452097"/>
    <w:rsid w:val="0045483A"/>
    <w:rsid w:val="00456D3B"/>
    <w:rsid w:val="00457050"/>
    <w:rsid w:val="00457138"/>
    <w:rsid w:val="00460C0B"/>
    <w:rsid w:val="00461D42"/>
    <w:rsid w:val="004656F9"/>
    <w:rsid w:val="0046693E"/>
    <w:rsid w:val="00466E7C"/>
    <w:rsid w:val="00467472"/>
    <w:rsid w:val="00471147"/>
    <w:rsid w:val="00472E38"/>
    <w:rsid w:val="0047361B"/>
    <w:rsid w:val="00475588"/>
    <w:rsid w:val="00480023"/>
    <w:rsid w:val="004802A3"/>
    <w:rsid w:val="00480BD0"/>
    <w:rsid w:val="00480D6A"/>
    <w:rsid w:val="00484B6B"/>
    <w:rsid w:val="00484D85"/>
    <w:rsid w:val="0048510E"/>
    <w:rsid w:val="0049280D"/>
    <w:rsid w:val="004943A5"/>
    <w:rsid w:val="00495483"/>
    <w:rsid w:val="004A07FE"/>
    <w:rsid w:val="004A4B0C"/>
    <w:rsid w:val="004B0597"/>
    <w:rsid w:val="004B0F07"/>
    <w:rsid w:val="004B1B55"/>
    <w:rsid w:val="004B23BC"/>
    <w:rsid w:val="004B671D"/>
    <w:rsid w:val="004C066B"/>
    <w:rsid w:val="004C22A7"/>
    <w:rsid w:val="004C45A5"/>
    <w:rsid w:val="004C6B8F"/>
    <w:rsid w:val="004D2A31"/>
    <w:rsid w:val="004D3AFD"/>
    <w:rsid w:val="004D4F51"/>
    <w:rsid w:val="004D69CD"/>
    <w:rsid w:val="004E0F67"/>
    <w:rsid w:val="004E172B"/>
    <w:rsid w:val="004E2977"/>
    <w:rsid w:val="004E3010"/>
    <w:rsid w:val="004E50EF"/>
    <w:rsid w:val="004E7E22"/>
    <w:rsid w:val="004F5EF1"/>
    <w:rsid w:val="004F664B"/>
    <w:rsid w:val="00505709"/>
    <w:rsid w:val="00507A58"/>
    <w:rsid w:val="005111A1"/>
    <w:rsid w:val="00511582"/>
    <w:rsid w:val="00514516"/>
    <w:rsid w:val="00520372"/>
    <w:rsid w:val="005203B2"/>
    <w:rsid w:val="0052221B"/>
    <w:rsid w:val="00522FB9"/>
    <w:rsid w:val="00523128"/>
    <w:rsid w:val="00524632"/>
    <w:rsid w:val="0052626B"/>
    <w:rsid w:val="00527B0A"/>
    <w:rsid w:val="00530F0F"/>
    <w:rsid w:val="00531E69"/>
    <w:rsid w:val="00532638"/>
    <w:rsid w:val="005326CD"/>
    <w:rsid w:val="005423A1"/>
    <w:rsid w:val="005455B4"/>
    <w:rsid w:val="005473B9"/>
    <w:rsid w:val="0055152C"/>
    <w:rsid w:val="00553A8C"/>
    <w:rsid w:val="005547B5"/>
    <w:rsid w:val="00556580"/>
    <w:rsid w:val="00561511"/>
    <w:rsid w:val="005634DD"/>
    <w:rsid w:val="0056515E"/>
    <w:rsid w:val="00565498"/>
    <w:rsid w:val="00566516"/>
    <w:rsid w:val="00570518"/>
    <w:rsid w:val="00571EE3"/>
    <w:rsid w:val="00573790"/>
    <w:rsid w:val="0057399F"/>
    <w:rsid w:val="005752AB"/>
    <w:rsid w:val="00577371"/>
    <w:rsid w:val="00580EAB"/>
    <w:rsid w:val="00580F29"/>
    <w:rsid w:val="005824C2"/>
    <w:rsid w:val="0058290D"/>
    <w:rsid w:val="0058431E"/>
    <w:rsid w:val="00584656"/>
    <w:rsid w:val="005903DF"/>
    <w:rsid w:val="005926B5"/>
    <w:rsid w:val="00593E52"/>
    <w:rsid w:val="005A038C"/>
    <w:rsid w:val="005A15EA"/>
    <w:rsid w:val="005A2E71"/>
    <w:rsid w:val="005A645B"/>
    <w:rsid w:val="005B19E9"/>
    <w:rsid w:val="005B1D86"/>
    <w:rsid w:val="005B67B9"/>
    <w:rsid w:val="005B7802"/>
    <w:rsid w:val="005B789B"/>
    <w:rsid w:val="005C3896"/>
    <w:rsid w:val="005D103D"/>
    <w:rsid w:val="005E41C1"/>
    <w:rsid w:val="005E539D"/>
    <w:rsid w:val="005E56BF"/>
    <w:rsid w:val="005E7629"/>
    <w:rsid w:val="005F0169"/>
    <w:rsid w:val="005F0856"/>
    <w:rsid w:val="005F1798"/>
    <w:rsid w:val="005F180B"/>
    <w:rsid w:val="005F1FAD"/>
    <w:rsid w:val="005F3512"/>
    <w:rsid w:val="005F4FF2"/>
    <w:rsid w:val="005F669C"/>
    <w:rsid w:val="005F7814"/>
    <w:rsid w:val="0060306A"/>
    <w:rsid w:val="00603474"/>
    <w:rsid w:val="006069DB"/>
    <w:rsid w:val="00606BD4"/>
    <w:rsid w:val="00607AD2"/>
    <w:rsid w:val="006129A1"/>
    <w:rsid w:val="00612E7A"/>
    <w:rsid w:val="00613A89"/>
    <w:rsid w:val="00614C10"/>
    <w:rsid w:val="006205B7"/>
    <w:rsid w:val="006207A0"/>
    <w:rsid w:val="00620AD7"/>
    <w:rsid w:val="006258EC"/>
    <w:rsid w:val="00627F33"/>
    <w:rsid w:val="00630939"/>
    <w:rsid w:val="00630A59"/>
    <w:rsid w:val="00637753"/>
    <w:rsid w:val="006408E0"/>
    <w:rsid w:val="0064097C"/>
    <w:rsid w:val="00641E6D"/>
    <w:rsid w:val="006422B2"/>
    <w:rsid w:val="0064264D"/>
    <w:rsid w:val="006452F0"/>
    <w:rsid w:val="00646756"/>
    <w:rsid w:val="00646985"/>
    <w:rsid w:val="00650E70"/>
    <w:rsid w:val="00652100"/>
    <w:rsid w:val="00652B9C"/>
    <w:rsid w:val="00657404"/>
    <w:rsid w:val="00657AD6"/>
    <w:rsid w:val="00661FE6"/>
    <w:rsid w:val="006643C0"/>
    <w:rsid w:val="006712AC"/>
    <w:rsid w:val="0067193D"/>
    <w:rsid w:val="006725AC"/>
    <w:rsid w:val="006743A5"/>
    <w:rsid w:val="00676065"/>
    <w:rsid w:val="006778AD"/>
    <w:rsid w:val="0068111B"/>
    <w:rsid w:val="0068507E"/>
    <w:rsid w:val="00685CE5"/>
    <w:rsid w:val="006874D0"/>
    <w:rsid w:val="006877AC"/>
    <w:rsid w:val="00690B79"/>
    <w:rsid w:val="006911D7"/>
    <w:rsid w:val="00693E6F"/>
    <w:rsid w:val="0069498F"/>
    <w:rsid w:val="0069575D"/>
    <w:rsid w:val="00695ECA"/>
    <w:rsid w:val="006973C7"/>
    <w:rsid w:val="0069750D"/>
    <w:rsid w:val="00697AC6"/>
    <w:rsid w:val="00697E71"/>
    <w:rsid w:val="006A2F7D"/>
    <w:rsid w:val="006B02E4"/>
    <w:rsid w:val="006C2283"/>
    <w:rsid w:val="006C4B85"/>
    <w:rsid w:val="006C721E"/>
    <w:rsid w:val="006D0E26"/>
    <w:rsid w:val="006D1B77"/>
    <w:rsid w:val="006D376B"/>
    <w:rsid w:val="006D454D"/>
    <w:rsid w:val="006D457C"/>
    <w:rsid w:val="006D7904"/>
    <w:rsid w:val="006E4059"/>
    <w:rsid w:val="006F4D87"/>
    <w:rsid w:val="006F4EE5"/>
    <w:rsid w:val="006F59E4"/>
    <w:rsid w:val="006F6CDE"/>
    <w:rsid w:val="007072F8"/>
    <w:rsid w:val="00707C19"/>
    <w:rsid w:val="007111A3"/>
    <w:rsid w:val="00711FCB"/>
    <w:rsid w:val="007121C9"/>
    <w:rsid w:val="0071503C"/>
    <w:rsid w:val="00716C91"/>
    <w:rsid w:val="007178C2"/>
    <w:rsid w:val="00720207"/>
    <w:rsid w:val="00721929"/>
    <w:rsid w:val="00722117"/>
    <w:rsid w:val="007250AD"/>
    <w:rsid w:val="00725D07"/>
    <w:rsid w:val="00730A80"/>
    <w:rsid w:val="00734B85"/>
    <w:rsid w:val="00734C29"/>
    <w:rsid w:val="00737D7B"/>
    <w:rsid w:val="00740313"/>
    <w:rsid w:val="00740C82"/>
    <w:rsid w:val="00741FA9"/>
    <w:rsid w:val="007442B8"/>
    <w:rsid w:val="00747503"/>
    <w:rsid w:val="0074778A"/>
    <w:rsid w:val="00747CBF"/>
    <w:rsid w:val="0075119B"/>
    <w:rsid w:val="0075180F"/>
    <w:rsid w:val="00754C39"/>
    <w:rsid w:val="00755F5E"/>
    <w:rsid w:val="007628B6"/>
    <w:rsid w:val="007637C8"/>
    <w:rsid w:val="007642C8"/>
    <w:rsid w:val="00764A53"/>
    <w:rsid w:val="00766665"/>
    <w:rsid w:val="0076749B"/>
    <w:rsid w:val="00774F34"/>
    <w:rsid w:val="00775929"/>
    <w:rsid w:val="007856A2"/>
    <w:rsid w:val="00795705"/>
    <w:rsid w:val="007A0A85"/>
    <w:rsid w:val="007A123B"/>
    <w:rsid w:val="007A2267"/>
    <w:rsid w:val="007A4197"/>
    <w:rsid w:val="007A4569"/>
    <w:rsid w:val="007A501C"/>
    <w:rsid w:val="007A5AC6"/>
    <w:rsid w:val="007A6004"/>
    <w:rsid w:val="007A7D7A"/>
    <w:rsid w:val="007B5035"/>
    <w:rsid w:val="007B5911"/>
    <w:rsid w:val="007C1B01"/>
    <w:rsid w:val="007C260E"/>
    <w:rsid w:val="007C4112"/>
    <w:rsid w:val="007C555B"/>
    <w:rsid w:val="007D2E64"/>
    <w:rsid w:val="007D4575"/>
    <w:rsid w:val="007D481C"/>
    <w:rsid w:val="007D4874"/>
    <w:rsid w:val="007E1AF9"/>
    <w:rsid w:val="007E3084"/>
    <w:rsid w:val="007E739C"/>
    <w:rsid w:val="007F02D4"/>
    <w:rsid w:val="007F0D87"/>
    <w:rsid w:val="007F11DD"/>
    <w:rsid w:val="007F1D91"/>
    <w:rsid w:val="007F6A91"/>
    <w:rsid w:val="00800DAC"/>
    <w:rsid w:val="008037ED"/>
    <w:rsid w:val="008040D2"/>
    <w:rsid w:val="008074C1"/>
    <w:rsid w:val="00807B73"/>
    <w:rsid w:val="0081291A"/>
    <w:rsid w:val="00816081"/>
    <w:rsid w:val="00816D39"/>
    <w:rsid w:val="00823274"/>
    <w:rsid w:val="00824F66"/>
    <w:rsid w:val="00826DAC"/>
    <w:rsid w:val="00827BC7"/>
    <w:rsid w:val="0083113C"/>
    <w:rsid w:val="00832ACF"/>
    <w:rsid w:val="008341B0"/>
    <w:rsid w:val="008345EF"/>
    <w:rsid w:val="008348E9"/>
    <w:rsid w:val="00836A62"/>
    <w:rsid w:val="00844366"/>
    <w:rsid w:val="0085195F"/>
    <w:rsid w:val="00863A78"/>
    <w:rsid w:val="00864DA7"/>
    <w:rsid w:val="00872849"/>
    <w:rsid w:val="00874F0F"/>
    <w:rsid w:val="0087685E"/>
    <w:rsid w:val="008768AB"/>
    <w:rsid w:val="0087781A"/>
    <w:rsid w:val="00881623"/>
    <w:rsid w:val="0088298D"/>
    <w:rsid w:val="00884499"/>
    <w:rsid w:val="00884C0A"/>
    <w:rsid w:val="008872ED"/>
    <w:rsid w:val="00897767"/>
    <w:rsid w:val="008A23C2"/>
    <w:rsid w:val="008A271E"/>
    <w:rsid w:val="008A35C2"/>
    <w:rsid w:val="008A3D1F"/>
    <w:rsid w:val="008A4275"/>
    <w:rsid w:val="008A59FB"/>
    <w:rsid w:val="008B0217"/>
    <w:rsid w:val="008B0B82"/>
    <w:rsid w:val="008B2065"/>
    <w:rsid w:val="008B2F1C"/>
    <w:rsid w:val="008B38DD"/>
    <w:rsid w:val="008B4300"/>
    <w:rsid w:val="008B58A2"/>
    <w:rsid w:val="008C15DC"/>
    <w:rsid w:val="008C3707"/>
    <w:rsid w:val="008D00CF"/>
    <w:rsid w:val="008D1C86"/>
    <w:rsid w:val="008D3CD1"/>
    <w:rsid w:val="008D4B11"/>
    <w:rsid w:val="008D67F2"/>
    <w:rsid w:val="008D7069"/>
    <w:rsid w:val="008E1879"/>
    <w:rsid w:val="008E2B5C"/>
    <w:rsid w:val="008E2F7F"/>
    <w:rsid w:val="008E6C88"/>
    <w:rsid w:val="008E7461"/>
    <w:rsid w:val="008F1F55"/>
    <w:rsid w:val="008F21BC"/>
    <w:rsid w:val="008F21C6"/>
    <w:rsid w:val="008F331D"/>
    <w:rsid w:val="008F6AAF"/>
    <w:rsid w:val="009026FA"/>
    <w:rsid w:val="00902D9A"/>
    <w:rsid w:val="009045AC"/>
    <w:rsid w:val="00905330"/>
    <w:rsid w:val="00905E7D"/>
    <w:rsid w:val="00913042"/>
    <w:rsid w:val="009134C9"/>
    <w:rsid w:val="00913D59"/>
    <w:rsid w:val="00922541"/>
    <w:rsid w:val="009225B1"/>
    <w:rsid w:val="00932DEF"/>
    <w:rsid w:val="009341F6"/>
    <w:rsid w:val="009343C9"/>
    <w:rsid w:val="00935FDF"/>
    <w:rsid w:val="00941D3D"/>
    <w:rsid w:val="00942676"/>
    <w:rsid w:val="00942C15"/>
    <w:rsid w:val="00944C5E"/>
    <w:rsid w:val="00950D84"/>
    <w:rsid w:val="0096027A"/>
    <w:rsid w:val="00962182"/>
    <w:rsid w:val="00962958"/>
    <w:rsid w:val="009636CB"/>
    <w:rsid w:val="009655E2"/>
    <w:rsid w:val="00970E33"/>
    <w:rsid w:val="009717C3"/>
    <w:rsid w:val="00972924"/>
    <w:rsid w:val="0097433E"/>
    <w:rsid w:val="00974BCD"/>
    <w:rsid w:val="009762B8"/>
    <w:rsid w:val="00976777"/>
    <w:rsid w:val="00976FB4"/>
    <w:rsid w:val="00976FF1"/>
    <w:rsid w:val="0098032C"/>
    <w:rsid w:val="00982317"/>
    <w:rsid w:val="00982DDF"/>
    <w:rsid w:val="00985A84"/>
    <w:rsid w:val="00994C02"/>
    <w:rsid w:val="0099682D"/>
    <w:rsid w:val="009972AD"/>
    <w:rsid w:val="009978F9"/>
    <w:rsid w:val="009C0199"/>
    <w:rsid w:val="009C2873"/>
    <w:rsid w:val="009C3B52"/>
    <w:rsid w:val="009D1DF2"/>
    <w:rsid w:val="009D42FF"/>
    <w:rsid w:val="009D5F3F"/>
    <w:rsid w:val="009D5FBB"/>
    <w:rsid w:val="009D6B4A"/>
    <w:rsid w:val="009D7A2A"/>
    <w:rsid w:val="009E0208"/>
    <w:rsid w:val="009E3796"/>
    <w:rsid w:val="009E72AE"/>
    <w:rsid w:val="009E74B5"/>
    <w:rsid w:val="009E7795"/>
    <w:rsid w:val="009E7C9E"/>
    <w:rsid w:val="009F1D86"/>
    <w:rsid w:val="009F1E7A"/>
    <w:rsid w:val="009F44FA"/>
    <w:rsid w:val="009F5693"/>
    <w:rsid w:val="009F5E96"/>
    <w:rsid w:val="009F738B"/>
    <w:rsid w:val="00A00F1F"/>
    <w:rsid w:val="00A018AF"/>
    <w:rsid w:val="00A01D5C"/>
    <w:rsid w:val="00A0580E"/>
    <w:rsid w:val="00A1096E"/>
    <w:rsid w:val="00A116B9"/>
    <w:rsid w:val="00A1293C"/>
    <w:rsid w:val="00A12C15"/>
    <w:rsid w:val="00A145B8"/>
    <w:rsid w:val="00A14A30"/>
    <w:rsid w:val="00A16463"/>
    <w:rsid w:val="00A22440"/>
    <w:rsid w:val="00A22C45"/>
    <w:rsid w:val="00A236D4"/>
    <w:rsid w:val="00A24234"/>
    <w:rsid w:val="00A25BD4"/>
    <w:rsid w:val="00A30A28"/>
    <w:rsid w:val="00A3135C"/>
    <w:rsid w:val="00A352E5"/>
    <w:rsid w:val="00A515AD"/>
    <w:rsid w:val="00A51DA0"/>
    <w:rsid w:val="00A535A1"/>
    <w:rsid w:val="00A5557D"/>
    <w:rsid w:val="00A57B9A"/>
    <w:rsid w:val="00A623BF"/>
    <w:rsid w:val="00A6406F"/>
    <w:rsid w:val="00A662C5"/>
    <w:rsid w:val="00A71B93"/>
    <w:rsid w:val="00A7429E"/>
    <w:rsid w:val="00A76234"/>
    <w:rsid w:val="00A76EF4"/>
    <w:rsid w:val="00A8091F"/>
    <w:rsid w:val="00A83161"/>
    <w:rsid w:val="00A8519D"/>
    <w:rsid w:val="00A86780"/>
    <w:rsid w:val="00A87935"/>
    <w:rsid w:val="00A90D55"/>
    <w:rsid w:val="00A930A1"/>
    <w:rsid w:val="00A974A8"/>
    <w:rsid w:val="00AA1298"/>
    <w:rsid w:val="00AA2E65"/>
    <w:rsid w:val="00AA430D"/>
    <w:rsid w:val="00AA43A0"/>
    <w:rsid w:val="00AA4989"/>
    <w:rsid w:val="00AA59BA"/>
    <w:rsid w:val="00AA6407"/>
    <w:rsid w:val="00AB124D"/>
    <w:rsid w:val="00AB234E"/>
    <w:rsid w:val="00AB70F2"/>
    <w:rsid w:val="00AC11E7"/>
    <w:rsid w:val="00AC214D"/>
    <w:rsid w:val="00AC2675"/>
    <w:rsid w:val="00AC35AD"/>
    <w:rsid w:val="00AC3E72"/>
    <w:rsid w:val="00AC643A"/>
    <w:rsid w:val="00AD2900"/>
    <w:rsid w:val="00AD4C66"/>
    <w:rsid w:val="00AD68B4"/>
    <w:rsid w:val="00AE0B35"/>
    <w:rsid w:val="00AE12C0"/>
    <w:rsid w:val="00AE2ADE"/>
    <w:rsid w:val="00AF1D0B"/>
    <w:rsid w:val="00AF22FF"/>
    <w:rsid w:val="00AF7543"/>
    <w:rsid w:val="00B074FE"/>
    <w:rsid w:val="00B07E49"/>
    <w:rsid w:val="00B1048D"/>
    <w:rsid w:val="00B13A33"/>
    <w:rsid w:val="00B17B88"/>
    <w:rsid w:val="00B20D10"/>
    <w:rsid w:val="00B24689"/>
    <w:rsid w:val="00B2700C"/>
    <w:rsid w:val="00B33501"/>
    <w:rsid w:val="00B336B0"/>
    <w:rsid w:val="00B3609D"/>
    <w:rsid w:val="00B42ED8"/>
    <w:rsid w:val="00B4311E"/>
    <w:rsid w:val="00B433C0"/>
    <w:rsid w:val="00B44DBC"/>
    <w:rsid w:val="00B47C2E"/>
    <w:rsid w:val="00B51FFE"/>
    <w:rsid w:val="00B520DF"/>
    <w:rsid w:val="00B5578B"/>
    <w:rsid w:val="00B55BB3"/>
    <w:rsid w:val="00B566C6"/>
    <w:rsid w:val="00B57B0D"/>
    <w:rsid w:val="00B603E1"/>
    <w:rsid w:val="00B63A54"/>
    <w:rsid w:val="00B6409D"/>
    <w:rsid w:val="00B65867"/>
    <w:rsid w:val="00B65C62"/>
    <w:rsid w:val="00B736B6"/>
    <w:rsid w:val="00B75023"/>
    <w:rsid w:val="00B75337"/>
    <w:rsid w:val="00B83D5A"/>
    <w:rsid w:val="00B86A6F"/>
    <w:rsid w:val="00B86FC1"/>
    <w:rsid w:val="00B90C67"/>
    <w:rsid w:val="00B928D9"/>
    <w:rsid w:val="00B96666"/>
    <w:rsid w:val="00BA0446"/>
    <w:rsid w:val="00BA0860"/>
    <w:rsid w:val="00BA0E8E"/>
    <w:rsid w:val="00BA11B3"/>
    <w:rsid w:val="00BA3F91"/>
    <w:rsid w:val="00BB2BEA"/>
    <w:rsid w:val="00BB4005"/>
    <w:rsid w:val="00BB500D"/>
    <w:rsid w:val="00BB54CB"/>
    <w:rsid w:val="00BB68A1"/>
    <w:rsid w:val="00BB7B99"/>
    <w:rsid w:val="00BC36A0"/>
    <w:rsid w:val="00BC56FE"/>
    <w:rsid w:val="00BC6444"/>
    <w:rsid w:val="00BD1A5D"/>
    <w:rsid w:val="00BD1A8C"/>
    <w:rsid w:val="00BD539D"/>
    <w:rsid w:val="00BD5574"/>
    <w:rsid w:val="00BD782E"/>
    <w:rsid w:val="00BE05A4"/>
    <w:rsid w:val="00BE3C37"/>
    <w:rsid w:val="00BE4FA8"/>
    <w:rsid w:val="00BE6F4E"/>
    <w:rsid w:val="00BF0D9E"/>
    <w:rsid w:val="00BF157E"/>
    <w:rsid w:val="00BF2A61"/>
    <w:rsid w:val="00BF2FBF"/>
    <w:rsid w:val="00BF451B"/>
    <w:rsid w:val="00BF512D"/>
    <w:rsid w:val="00BF6084"/>
    <w:rsid w:val="00C014A4"/>
    <w:rsid w:val="00C06951"/>
    <w:rsid w:val="00C074F6"/>
    <w:rsid w:val="00C11D83"/>
    <w:rsid w:val="00C15CC0"/>
    <w:rsid w:val="00C21493"/>
    <w:rsid w:val="00C22F1A"/>
    <w:rsid w:val="00C24609"/>
    <w:rsid w:val="00C2615A"/>
    <w:rsid w:val="00C2720C"/>
    <w:rsid w:val="00C343C9"/>
    <w:rsid w:val="00C3453C"/>
    <w:rsid w:val="00C35148"/>
    <w:rsid w:val="00C41F41"/>
    <w:rsid w:val="00C422BB"/>
    <w:rsid w:val="00C4489B"/>
    <w:rsid w:val="00C46FD2"/>
    <w:rsid w:val="00C4716E"/>
    <w:rsid w:val="00C53742"/>
    <w:rsid w:val="00C62BB2"/>
    <w:rsid w:val="00C63673"/>
    <w:rsid w:val="00C64797"/>
    <w:rsid w:val="00C66CF7"/>
    <w:rsid w:val="00C70403"/>
    <w:rsid w:val="00C71308"/>
    <w:rsid w:val="00C732CC"/>
    <w:rsid w:val="00C765EA"/>
    <w:rsid w:val="00C7666F"/>
    <w:rsid w:val="00C769DE"/>
    <w:rsid w:val="00C76A90"/>
    <w:rsid w:val="00C77E19"/>
    <w:rsid w:val="00C77E4A"/>
    <w:rsid w:val="00C817D4"/>
    <w:rsid w:val="00C838F4"/>
    <w:rsid w:val="00C916E0"/>
    <w:rsid w:val="00C9318E"/>
    <w:rsid w:val="00C93934"/>
    <w:rsid w:val="00C96275"/>
    <w:rsid w:val="00C96DA1"/>
    <w:rsid w:val="00CA0322"/>
    <w:rsid w:val="00CA2455"/>
    <w:rsid w:val="00CA318A"/>
    <w:rsid w:val="00CA346C"/>
    <w:rsid w:val="00CA4137"/>
    <w:rsid w:val="00CA75C0"/>
    <w:rsid w:val="00CB0A54"/>
    <w:rsid w:val="00CB467F"/>
    <w:rsid w:val="00CB5250"/>
    <w:rsid w:val="00CB5793"/>
    <w:rsid w:val="00CB5E34"/>
    <w:rsid w:val="00CB6256"/>
    <w:rsid w:val="00CC0673"/>
    <w:rsid w:val="00CC4AB6"/>
    <w:rsid w:val="00CC6AA8"/>
    <w:rsid w:val="00CD0465"/>
    <w:rsid w:val="00CD075D"/>
    <w:rsid w:val="00CD371D"/>
    <w:rsid w:val="00CD5228"/>
    <w:rsid w:val="00CE2991"/>
    <w:rsid w:val="00CE4337"/>
    <w:rsid w:val="00CE576A"/>
    <w:rsid w:val="00CE6888"/>
    <w:rsid w:val="00CE7BE9"/>
    <w:rsid w:val="00CF1414"/>
    <w:rsid w:val="00CF14EC"/>
    <w:rsid w:val="00CF32F2"/>
    <w:rsid w:val="00CF7E8F"/>
    <w:rsid w:val="00D0100F"/>
    <w:rsid w:val="00D013CA"/>
    <w:rsid w:val="00D0590B"/>
    <w:rsid w:val="00D06360"/>
    <w:rsid w:val="00D06C19"/>
    <w:rsid w:val="00D15713"/>
    <w:rsid w:val="00D16549"/>
    <w:rsid w:val="00D17B15"/>
    <w:rsid w:val="00D227E7"/>
    <w:rsid w:val="00D260E2"/>
    <w:rsid w:val="00D30ACC"/>
    <w:rsid w:val="00D30F15"/>
    <w:rsid w:val="00D32142"/>
    <w:rsid w:val="00D34BCB"/>
    <w:rsid w:val="00D40A11"/>
    <w:rsid w:val="00D417C2"/>
    <w:rsid w:val="00D45AEC"/>
    <w:rsid w:val="00D47490"/>
    <w:rsid w:val="00D5020C"/>
    <w:rsid w:val="00D50F0B"/>
    <w:rsid w:val="00D51254"/>
    <w:rsid w:val="00D5154F"/>
    <w:rsid w:val="00D51F7E"/>
    <w:rsid w:val="00D53413"/>
    <w:rsid w:val="00D56050"/>
    <w:rsid w:val="00D63714"/>
    <w:rsid w:val="00D6694F"/>
    <w:rsid w:val="00D70CCD"/>
    <w:rsid w:val="00D732ED"/>
    <w:rsid w:val="00D733B9"/>
    <w:rsid w:val="00D73DE9"/>
    <w:rsid w:val="00D74E04"/>
    <w:rsid w:val="00D75CEF"/>
    <w:rsid w:val="00D75FA0"/>
    <w:rsid w:val="00D825D4"/>
    <w:rsid w:val="00D82AE0"/>
    <w:rsid w:val="00D840E7"/>
    <w:rsid w:val="00D85386"/>
    <w:rsid w:val="00D8782E"/>
    <w:rsid w:val="00D91BCA"/>
    <w:rsid w:val="00DA0BAC"/>
    <w:rsid w:val="00DA153B"/>
    <w:rsid w:val="00DA2008"/>
    <w:rsid w:val="00DA2DB2"/>
    <w:rsid w:val="00DA513D"/>
    <w:rsid w:val="00DA7E0C"/>
    <w:rsid w:val="00DB089F"/>
    <w:rsid w:val="00DB2114"/>
    <w:rsid w:val="00DB3FA7"/>
    <w:rsid w:val="00DB4ADB"/>
    <w:rsid w:val="00DB4D56"/>
    <w:rsid w:val="00DB71AE"/>
    <w:rsid w:val="00DB7A4B"/>
    <w:rsid w:val="00DC0F9B"/>
    <w:rsid w:val="00DC1602"/>
    <w:rsid w:val="00DC19AE"/>
    <w:rsid w:val="00DC1A1D"/>
    <w:rsid w:val="00DC6AF6"/>
    <w:rsid w:val="00DD1862"/>
    <w:rsid w:val="00DD2AC1"/>
    <w:rsid w:val="00DD53BE"/>
    <w:rsid w:val="00DD70A8"/>
    <w:rsid w:val="00DD72A7"/>
    <w:rsid w:val="00DE32B8"/>
    <w:rsid w:val="00DE3AA0"/>
    <w:rsid w:val="00DE44C1"/>
    <w:rsid w:val="00DE456B"/>
    <w:rsid w:val="00DE6269"/>
    <w:rsid w:val="00DE7B59"/>
    <w:rsid w:val="00DF60AA"/>
    <w:rsid w:val="00DF6AB6"/>
    <w:rsid w:val="00DF771B"/>
    <w:rsid w:val="00E03531"/>
    <w:rsid w:val="00E05302"/>
    <w:rsid w:val="00E06DE4"/>
    <w:rsid w:val="00E06E56"/>
    <w:rsid w:val="00E1011A"/>
    <w:rsid w:val="00E13982"/>
    <w:rsid w:val="00E17DAA"/>
    <w:rsid w:val="00E21411"/>
    <w:rsid w:val="00E21A0E"/>
    <w:rsid w:val="00E24AFD"/>
    <w:rsid w:val="00E24DC6"/>
    <w:rsid w:val="00E277E1"/>
    <w:rsid w:val="00E30B29"/>
    <w:rsid w:val="00E32064"/>
    <w:rsid w:val="00E3408D"/>
    <w:rsid w:val="00E36AD0"/>
    <w:rsid w:val="00E40049"/>
    <w:rsid w:val="00E407B7"/>
    <w:rsid w:val="00E4085E"/>
    <w:rsid w:val="00E40D7D"/>
    <w:rsid w:val="00E43DAC"/>
    <w:rsid w:val="00E43EE3"/>
    <w:rsid w:val="00E525C2"/>
    <w:rsid w:val="00E52753"/>
    <w:rsid w:val="00E53583"/>
    <w:rsid w:val="00E53DF2"/>
    <w:rsid w:val="00E62276"/>
    <w:rsid w:val="00E63EEB"/>
    <w:rsid w:val="00E679F4"/>
    <w:rsid w:val="00E710E5"/>
    <w:rsid w:val="00E71C27"/>
    <w:rsid w:val="00E73B97"/>
    <w:rsid w:val="00E7626B"/>
    <w:rsid w:val="00E81B24"/>
    <w:rsid w:val="00E81B93"/>
    <w:rsid w:val="00E82078"/>
    <w:rsid w:val="00E8501C"/>
    <w:rsid w:val="00E85E9A"/>
    <w:rsid w:val="00E8672E"/>
    <w:rsid w:val="00E86B3A"/>
    <w:rsid w:val="00E96503"/>
    <w:rsid w:val="00E971F1"/>
    <w:rsid w:val="00E97E5F"/>
    <w:rsid w:val="00E97FDA"/>
    <w:rsid w:val="00EA3143"/>
    <w:rsid w:val="00EA4ECF"/>
    <w:rsid w:val="00EA6113"/>
    <w:rsid w:val="00EA6735"/>
    <w:rsid w:val="00EB5130"/>
    <w:rsid w:val="00EB638A"/>
    <w:rsid w:val="00EB6943"/>
    <w:rsid w:val="00EB7AB4"/>
    <w:rsid w:val="00EC03CC"/>
    <w:rsid w:val="00EC0BFF"/>
    <w:rsid w:val="00EC4B9B"/>
    <w:rsid w:val="00EC4F5F"/>
    <w:rsid w:val="00ED003A"/>
    <w:rsid w:val="00ED5D81"/>
    <w:rsid w:val="00ED5E6D"/>
    <w:rsid w:val="00ED6F41"/>
    <w:rsid w:val="00ED7567"/>
    <w:rsid w:val="00EE057F"/>
    <w:rsid w:val="00EE0739"/>
    <w:rsid w:val="00EE48D9"/>
    <w:rsid w:val="00EE77CE"/>
    <w:rsid w:val="00EE7C3D"/>
    <w:rsid w:val="00EF1852"/>
    <w:rsid w:val="00EF1945"/>
    <w:rsid w:val="00EF242A"/>
    <w:rsid w:val="00EF4929"/>
    <w:rsid w:val="00EF7326"/>
    <w:rsid w:val="00F024D4"/>
    <w:rsid w:val="00F02FFF"/>
    <w:rsid w:val="00F07F00"/>
    <w:rsid w:val="00F07F91"/>
    <w:rsid w:val="00F1106D"/>
    <w:rsid w:val="00F11DFA"/>
    <w:rsid w:val="00F16DC2"/>
    <w:rsid w:val="00F17008"/>
    <w:rsid w:val="00F17226"/>
    <w:rsid w:val="00F17AB8"/>
    <w:rsid w:val="00F21B4C"/>
    <w:rsid w:val="00F25974"/>
    <w:rsid w:val="00F32731"/>
    <w:rsid w:val="00F34B85"/>
    <w:rsid w:val="00F35B8A"/>
    <w:rsid w:val="00F35E79"/>
    <w:rsid w:val="00F431AA"/>
    <w:rsid w:val="00F45BED"/>
    <w:rsid w:val="00F51F9D"/>
    <w:rsid w:val="00F52C2D"/>
    <w:rsid w:val="00F54F56"/>
    <w:rsid w:val="00F55BAD"/>
    <w:rsid w:val="00F735D3"/>
    <w:rsid w:val="00F775F4"/>
    <w:rsid w:val="00F778F6"/>
    <w:rsid w:val="00F80813"/>
    <w:rsid w:val="00F81918"/>
    <w:rsid w:val="00F8470A"/>
    <w:rsid w:val="00F85E3D"/>
    <w:rsid w:val="00F900E9"/>
    <w:rsid w:val="00F91AEA"/>
    <w:rsid w:val="00F95CD8"/>
    <w:rsid w:val="00FA1314"/>
    <w:rsid w:val="00FA1822"/>
    <w:rsid w:val="00FA2A63"/>
    <w:rsid w:val="00FA3921"/>
    <w:rsid w:val="00FA3949"/>
    <w:rsid w:val="00FA6D6E"/>
    <w:rsid w:val="00FB0C6B"/>
    <w:rsid w:val="00FB38C2"/>
    <w:rsid w:val="00FB6C06"/>
    <w:rsid w:val="00FC05E1"/>
    <w:rsid w:val="00FC1213"/>
    <w:rsid w:val="00FC267D"/>
    <w:rsid w:val="00FC7751"/>
    <w:rsid w:val="00FD4CFC"/>
    <w:rsid w:val="00FD55D6"/>
    <w:rsid w:val="00FD629B"/>
    <w:rsid w:val="00FD630B"/>
    <w:rsid w:val="00FD74BD"/>
    <w:rsid w:val="00FE035E"/>
    <w:rsid w:val="00FE3422"/>
    <w:rsid w:val="00FE4E09"/>
    <w:rsid w:val="00FE5A8A"/>
    <w:rsid w:val="00FE6689"/>
    <w:rsid w:val="00FF0E05"/>
    <w:rsid w:val="00FF128A"/>
    <w:rsid w:val="00FF1831"/>
    <w:rsid w:val="00FF1B44"/>
    <w:rsid w:val="00FF2835"/>
    <w:rsid w:val="00FF304D"/>
    <w:rsid w:val="0F501F1A"/>
    <w:rsid w:val="1CF47822"/>
    <w:rsid w:val="204F2909"/>
    <w:rsid w:val="247D06D3"/>
    <w:rsid w:val="24FE4D70"/>
    <w:rsid w:val="2AB37325"/>
    <w:rsid w:val="2D152693"/>
    <w:rsid w:val="2DE317A6"/>
    <w:rsid w:val="36673CF3"/>
    <w:rsid w:val="378111BB"/>
    <w:rsid w:val="454B6145"/>
    <w:rsid w:val="48EC1280"/>
    <w:rsid w:val="4EB675EA"/>
    <w:rsid w:val="4EF953DC"/>
    <w:rsid w:val="5A3D37ED"/>
    <w:rsid w:val="643249F5"/>
    <w:rsid w:val="66FB3353"/>
    <w:rsid w:val="69822602"/>
    <w:rsid w:val="70A0090B"/>
    <w:rsid w:val="73AB9E93"/>
    <w:rsid w:val="75773594"/>
    <w:rsid w:val="769171EA"/>
    <w:rsid w:val="7B187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110"/>
    <w:pPr>
      <w:widowControl w:val="0"/>
      <w:jc w:val="both"/>
    </w:pPr>
    <w:rPr>
      <w:rFonts w:ascii="Times New Roman" w:eastAsia="宋体" w:hAnsi="Times New Roman" w:cs="Times New Roman"/>
      <w:kern w:val="2"/>
      <w:sz w:val="21"/>
      <w:szCs w:val="24"/>
    </w:rPr>
  </w:style>
  <w:style w:type="paragraph" w:styleId="3">
    <w:name w:val="heading 3"/>
    <w:basedOn w:val="a"/>
    <w:next w:val="a"/>
    <w:link w:val="3Char"/>
    <w:qFormat/>
    <w:rsid w:val="001D011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1D0110"/>
    <w:pPr>
      <w:spacing w:line="360" w:lineRule="auto"/>
      <w:ind w:firstLineChars="200" w:firstLine="200"/>
    </w:pPr>
    <w:rPr>
      <w:rFonts w:ascii="Cambria" w:eastAsia="黑体" w:hAnsi="Cambria"/>
      <w:sz w:val="20"/>
      <w:szCs w:val="20"/>
    </w:rPr>
  </w:style>
  <w:style w:type="paragraph" w:styleId="a4">
    <w:name w:val="annotation text"/>
    <w:basedOn w:val="a"/>
    <w:link w:val="Char"/>
    <w:unhideWhenUsed/>
    <w:qFormat/>
    <w:rsid w:val="001D0110"/>
    <w:pPr>
      <w:jc w:val="left"/>
    </w:pPr>
  </w:style>
  <w:style w:type="paragraph" w:styleId="a5">
    <w:name w:val="Balloon Text"/>
    <w:basedOn w:val="a"/>
    <w:link w:val="Char0"/>
    <w:uiPriority w:val="99"/>
    <w:semiHidden/>
    <w:unhideWhenUsed/>
    <w:qFormat/>
    <w:rsid w:val="001D0110"/>
    <w:rPr>
      <w:sz w:val="18"/>
      <w:szCs w:val="18"/>
    </w:rPr>
  </w:style>
  <w:style w:type="paragraph" w:styleId="a6">
    <w:name w:val="footer"/>
    <w:basedOn w:val="a"/>
    <w:link w:val="Char1"/>
    <w:uiPriority w:val="99"/>
    <w:unhideWhenUsed/>
    <w:qFormat/>
    <w:rsid w:val="001D0110"/>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1D0110"/>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sid w:val="001D0110"/>
    <w:rPr>
      <w:b/>
      <w:bCs/>
    </w:rPr>
  </w:style>
  <w:style w:type="character" w:styleId="a9">
    <w:name w:val="Hyperlink"/>
    <w:qFormat/>
    <w:rsid w:val="001D0110"/>
    <w:rPr>
      <w:color w:val="0000FF"/>
      <w:u w:val="single"/>
    </w:rPr>
  </w:style>
  <w:style w:type="character" w:styleId="aa">
    <w:name w:val="annotation reference"/>
    <w:basedOn w:val="a0"/>
    <w:uiPriority w:val="99"/>
    <w:unhideWhenUsed/>
    <w:qFormat/>
    <w:rsid w:val="001D0110"/>
    <w:rPr>
      <w:sz w:val="21"/>
      <w:szCs w:val="21"/>
    </w:rPr>
  </w:style>
  <w:style w:type="character" w:customStyle="1" w:styleId="3Char">
    <w:name w:val="标题 3 Char"/>
    <w:basedOn w:val="a0"/>
    <w:link w:val="3"/>
    <w:qFormat/>
    <w:rsid w:val="001D0110"/>
    <w:rPr>
      <w:rFonts w:ascii="Times New Roman" w:eastAsia="宋体" w:hAnsi="Times New Roman" w:cs="Times New Roman"/>
      <w:b/>
      <w:bCs/>
      <w:sz w:val="32"/>
      <w:szCs w:val="32"/>
    </w:rPr>
  </w:style>
  <w:style w:type="character" w:customStyle="1" w:styleId="Char2">
    <w:name w:val="页眉 Char"/>
    <w:basedOn w:val="a0"/>
    <w:link w:val="a7"/>
    <w:uiPriority w:val="99"/>
    <w:qFormat/>
    <w:rsid w:val="001D0110"/>
    <w:rPr>
      <w:rFonts w:ascii="Times New Roman" w:eastAsia="宋体" w:hAnsi="Times New Roman" w:cs="Times New Roman"/>
      <w:sz w:val="18"/>
      <w:szCs w:val="18"/>
    </w:rPr>
  </w:style>
  <w:style w:type="character" w:customStyle="1" w:styleId="Char1">
    <w:name w:val="页脚 Char"/>
    <w:basedOn w:val="a0"/>
    <w:link w:val="a6"/>
    <w:uiPriority w:val="99"/>
    <w:qFormat/>
    <w:rsid w:val="001D0110"/>
    <w:rPr>
      <w:rFonts w:ascii="Times New Roman" w:eastAsia="宋体" w:hAnsi="Times New Roman" w:cs="Times New Roman"/>
      <w:sz w:val="18"/>
      <w:szCs w:val="18"/>
    </w:rPr>
  </w:style>
  <w:style w:type="paragraph" w:styleId="ab">
    <w:name w:val="List Paragraph"/>
    <w:basedOn w:val="a"/>
    <w:uiPriority w:val="34"/>
    <w:qFormat/>
    <w:rsid w:val="001D0110"/>
    <w:pPr>
      <w:ind w:firstLineChars="200" w:firstLine="420"/>
    </w:pPr>
  </w:style>
  <w:style w:type="character" w:customStyle="1" w:styleId="Char">
    <w:name w:val="批注文字 Char"/>
    <w:basedOn w:val="a0"/>
    <w:link w:val="a4"/>
    <w:qFormat/>
    <w:rsid w:val="001D0110"/>
    <w:rPr>
      <w:rFonts w:ascii="Times New Roman" w:eastAsia="宋体" w:hAnsi="Times New Roman" w:cs="Times New Roman"/>
      <w:szCs w:val="24"/>
    </w:rPr>
  </w:style>
  <w:style w:type="character" w:customStyle="1" w:styleId="Char3">
    <w:name w:val="批注主题 Char"/>
    <w:basedOn w:val="Char"/>
    <w:link w:val="a8"/>
    <w:uiPriority w:val="99"/>
    <w:semiHidden/>
    <w:qFormat/>
    <w:rsid w:val="001D0110"/>
    <w:rPr>
      <w:rFonts w:ascii="Times New Roman" w:eastAsia="宋体" w:hAnsi="Times New Roman" w:cs="Times New Roman"/>
      <w:b/>
      <w:bCs/>
      <w:szCs w:val="24"/>
    </w:rPr>
  </w:style>
  <w:style w:type="character" w:customStyle="1" w:styleId="Char0">
    <w:name w:val="批注框文本 Char"/>
    <w:basedOn w:val="a0"/>
    <w:link w:val="a5"/>
    <w:uiPriority w:val="99"/>
    <w:semiHidden/>
    <w:qFormat/>
    <w:rsid w:val="001D0110"/>
    <w:rPr>
      <w:rFonts w:ascii="Times New Roman" w:eastAsia="宋体" w:hAnsi="Times New Roman" w:cs="Times New Roman"/>
      <w:sz w:val="18"/>
      <w:szCs w:val="18"/>
    </w:rPr>
  </w:style>
  <w:style w:type="paragraph" w:customStyle="1" w:styleId="1">
    <w:name w:val="修订1"/>
    <w:hidden/>
    <w:uiPriority w:val="99"/>
    <w:semiHidden/>
    <w:qFormat/>
    <w:rsid w:val="001D0110"/>
    <w:rPr>
      <w:rFonts w:ascii="Times New Roman" w:eastAsia="宋体" w:hAnsi="Times New Roman" w:cs="Times New Roman"/>
      <w:kern w:val="2"/>
      <w:sz w:val="21"/>
      <w:szCs w:val="24"/>
    </w:rPr>
  </w:style>
  <w:style w:type="paragraph" w:customStyle="1" w:styleId="CharCharCharCharChar1Char">
    <w:name w:val="Char Char Char Char Char1 Char"/>
    <w:basedOn w:val="a"/>
    <w:qFormat/>
    <w:rsid w:val="001D01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4241</Characters>
  <Application>Microsoft Office Word</Application>
  <DocSecurity>4</DocSecurity>
  <Lines>35</Lines>
  <Paragraphs>9</Paragraphs>
  <ScaleCrop>false</ScaleCrop>
  <Company>中国平安保险(集团)股份有限公司</Company>
  <LinksUpToDate>false</LinksUpToDate>
  <CharactersWithSpaces>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李乾元</dc:creator>
  <cp:lastModifiedBy>ZHONGM</cp:lastModifiedBy>
  <cp:revision>2</cp:revision>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23BEED6166E540A39807ECC9026BD47F</vt:lpwstr>
  </property>
</Properties>
</file>