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bookmarkStart w:id="0" w:name="_GoBack"/>
      <w:r w:rsidRPr="00E11D44">
        <w:rPr>
          <w:rFonts w:ascii="Times New Roman" w:cs="Times New Roman" w:hint="eastAsia"/>
          <w:color w:val="000000"/>
          <w:sz w:val="32"/>
        </w:rPr>
        <w:t>关于增加</w:t>
      </w:r>
      <w:r w:rsidR="000D637A" w:rsidRPr="000D637A">
        <w:rPr>
          <w:rFonts w:ascii="Times New Roman" w:cs="Times New Roman" w:hint="eastAsia"/>
          <w:color w:val="000000"/>
          <w:sz w:val="32"/>
        </w:rPr>
        <w:t>上海陆金所基金销售有限公司</w:t>
      </w:r>
      <w:r w:rsidRPr="00E11D44">
        <w:rPr>
          <w:rFonts w:ascii="Times New Roman" w:cs="Times New Roman" w:hint="eastAsia"/>
          <w:color w:val="000000"/>
          <w:sz w:val="32"/>
        </w:rPr>
        <w:t>为国海富兰克林基金管理有限公司旗下部分基金代销机构并开通定期定额投资业务</w:t>
      </w:r>
      <w:r w:rsidR="00E34B3C" w:rsidRPr="00E11D44">
        <w:rPr>
          <w:rFonts w:ascii="Times New Roman" w:cs="Times New Roman" w:hint="eastAsia"/>
          <w:color w:val="000000"/>
          <w:sz w:val="32"/>
        </w:rPr>
        <w:t>的公告</w:t>
      </w:r>
      <w:bookmarkEnd w:id="0"/>
    </w:p>
    <w:p w:rsidR="008D12DA" w:rsidRPr="00E11D44"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0D637A" w:rsidRPr="000D637A">
        <w:rPr>
          <w:rFonts w:hint="eastAsia"/>
        </w:rPr>
        <w:t>上海陆金所基金销售有限公司</w:t>
      </w:r>
      <w:r w:rsidRPr="00E11D44">
        <w:rPr>
          <w:rFonts w:hint="eastAsia"/>
        </w:rPr>
        <w:t>（以下简称“</w:t>
      </w:r>
      <w:r w:rsidR="000D637A">
        <w:rPr>
          <w:rFonts w:hint="eastAsia"/>
        </w:rPr>
        <w:t>陆金所</w:t>
      </w:r>
      <w:r w:rsidRPr="00E11D44">
        <w:rPr>
          <w:rFonts w:hint="eastAsia"/>
        </w:rPr>
        <w:t>”）签署的开放式证券投资基金销售和服务代理协议及相关补充协议，自</w:t>
      </w:r>
      <w:r w:rsidRPr="00E11D44">
        <w:t>202</w:t>
      </w:r>
      <w:r w:rsidR="00A65422">
        <w:t>6</w:t>
      </w:r>
      <w:r w:rsidRPr="00E11D44">
        <w:rPr>
          <w:rFonts w:hint="eastAsia"/>
        </w:rPr>
        <w:t>年</w:t>
      </w:r>
      <w:r w:rsidR="00383290">
        <w:t>1</w:t>
      </w:r>
      <w:r w:rsidRPr="00E11D44">
        <w:rPr>
          <w:rFonts w:hint="eastAsia"/>
        </w:rPr>
        <w:t>月</w:t>
      </w:r>
      <w:r w:rsidR="00FA2E0B">
        <w:t>29</w:t>
      </w:r>
      <w:r w:rsidRPr="00E11D44">
        <w:rPr>
          <w:rFonts w:hint="eastAsia"/>
        </w:rPr>
        <w:t>日</w:t>
      </w:r>
      <w:r w:rsidRPr="00E11D44">
        <w:t>起，</w:t>
      </w:r>
      <w:r w:rsidR="000D637A">
        <w:rPr>
          <w:rFonts w:hint="eastAsia"/>
        </w:rPr>
        <w:t>陆金所</w:t>
      </w:r>
      <w:r w:rsidRPr="00E11D44">
        <w:t>将代理</w:t>
      </w:r>
      <w:r w:rsidRPr="00E11D44">
        <w:rPr>
          <w:rFonts w:hint="eastAsia"/>
        </w:rPr>
        <w:t>销售</w:t>
      </w:r>
      <w:r w:rsidRPr="00E11D44">
        <w:t>本公司旗下</w:t>
      </w:r>
      <w:r w:rsidRPr="00E11D44">
        <w:rPr>
          <w:rFonts w:hint="eastAsia"/>
        </w:rPr>
        <w:t>部分开放式证券投资基金并开通定期定额投资业务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9"/>
        <w:gridCol w:w="1471"/>
        <w:gridCol w:w="930"/>
        <w:gridCol w:w="828"/>
        <w:gridCol w:w="842"/>
        <w:gridCol w:w="881"/>
      </w:tblGrid>
      <w:tr w:rsidR="00DC7AAB" w:rsidRPr="00E11D44" w:rsidTr="000D637A">
        <w:trPr>
          <w:jc w:val="center"/>
        </w:trPr>
        <w:tc>
          <w:tcPr>
            <w:tcW w:w="4659" w:type="dxa"/>
            <w:vAlign w:val="center"/>
          </w:tcPr>
          <w:p w:rsidR="00DC7AAB" w:rsidRPr="00E11D44" w:rsidRDefault="00DC7AAB" w:rsidP="00DA1283">
            <w:pPr>
              <w:spacing w:line="360" w:lineRule="auto"/>
              <w:jc w:val="center"/>
              <w:rPr>
                <w:b/>
                <w:bCs/>
              </w:rPr>
            </w:pPr>
            <w:r w:rsidRPr="00E11D44">
              <w:rPr>
                <w:rFonts w:hint="eastAsia"/>
                <w:b/>
                <w:bCs/>
              </w:rPr>
              <w:t>基金名称</w:t>
            </w:r>
          </w:p>
        </w:tc>
        <w:tc>
          <w:tcPr>
            <w:tcW w:w="1471" w:type="dxa"/>
            <w:vAlign w:val="center"/>
          </w:tcPr>
          <w:p w:rsidR="00DC7AAB" w:rsidRPr="00E11D44" w:rsidRDefault="00DC7AAB" w:rsidP="00DA1283">
            <w:pPr>
              <w:spacing w:line="360" w:lineRule="auto"/>
              <w:jc w:val="center"/>
              <w:rPr>
                <w:b/>
                <w:bCs/>
              </w:rPr>
            </w:pPr>
            <w:r w:rsidRPr="00E11D44">
              <w:rPr>
                <w:rFonts w:hint="eastAsia"/>
                <w:b/>
                <w:bCs/>
              </w:rPr>
              <w:t>基金代码</w:t>
            </w:r>
          </w:p>
        </w:tc>
        <w:tc>
          <w:tcPr>
            <w:tcW w:w="930" w:type="dxa"/>
            <w:vAlign w:val="center"/>
          </w:tcPr>
          <w:p w:rsidR="00DC7AAB" w:rsidRPr="00E11D44" w:rsidRDefault="00DC7AAB" w:rsidP="00DA1283">
            <w:pPr>
              <w:spacing w:line="360" w:lineRule="auto"/>
              <w:jc w:val="center"/>
              <w:rPr>
                <w:b/>
                <w:bCs/>
              </w:rPr>
            </w:pPr>
            <w:r w:rsidRPr="00E11D44">
              <w:rPr>
                <w:rFonts w:hint="eastAsia"/>
                <w:b/>
                <w:bCs/>
              </w:rPr>
              <w:t>是否开通转换</w:t>
            </w:r>
          </w:p>
        </w:tc>
        <w:tc>
          <w:tcPr>
            <w:tcW w:w="828" w:type="dxa"/>
            <w:vAlign w:val="center"/>
          </w:tcPr>
          <w:p w:rsidR="00DC7AAB" w:rsidRPr="00E11D44" w:rsidRDefault="00DC7AAB" w:rsidP="00DA1283">
            <w:pPr>
              <w:spacing w:line="360" w:lineRule="auto"/>
              <w:jc w:val="center"/>
              <w:rPr>
                <w:b/>
                <w:bCs/>
              </w:rPr>
            </w:pPr>
            <w:r w:rsidRPr="00E11D44">
              <w:rPr>
                <w:rFonts w:hint="eastAsia"/>
                <w:b/>
                <w:bCs/>
              </w:rPr>
              <w:t>是否开通定投</w:t>
            </w:r>
          </w:p>
        </w:tc>
        <w:tc>
          <w:tcPr>
            <w:tcW w:w="842" w:type="dxa"/>
            <w:vAlign w:val="center"/>
          </w:tcPr>
          <w:p w:rsidR="00DC7AAB" w:rsidRPr="00E11D44" w:rsidRDefault="00DC7AAB" w:rsidP="00DA1283">
            <w:pPr>
              <w:spacing w:line="360" w:lineRule="auto"/>
              <w:jc w:val="center"/>
              <w:rPr>
                <w:b/>
                <w:bCs/>
              </w:rPr>
            </w:pPr>
            <w:r w:rsidRPr="00E11D44">
              <w:rPr>
                <w:rFonts w:hint="eastAsia"/>
                <w:b/>
                <w:bCs/>
              </w:rPr>
              <w:t>定投起点金额</w:t>
            </w:r>
            <w:r w:rsidRPr="00E11D44">
              <w:rPr>
                <w:b/>
                <w:bCs/>
              </w:rPr>
              <w:t>(</w:t>
            </w:r>
            <w:r w:rsidRPr="00E11D44">
              <w:rPr>
                <w:rFonts w:hint="eastAsia"/>
                <w:b/>
                <w:bCs/>
              </w:rPr>
              <w:t>元）</w:t>
            </w:r>
          </w:p>
        </w:tc>
        <w:tc>
          <w:tcPr>
            <w:tcW w:w="881" w:type="dxa"/>
            <w:vAlign w:val="center"/>
          </w:tcPr>
          <w:p w:rsidR="00DC7AAB" w:rsidRPr="00E11D44" w:rsidRDefault="00DC7AAB" w:rsidP="00DA1283">
            <w:pPr>
              <w:spacing w:line="360" w:lineRule="auto"/>
              <w:jc w:val="center"/>
              <w:rPr>
                <w:b/>
                <w:bCs/>
              </w:rPr>
            </w:pPr>
            <w:r w:rsidRPr="00E11D44">
              <w:rPr>
                <w:rFonts w:hint="eastAsia"/>
                <w:b/>
                <w:bCs/>
              </w:rPr>
              <w:t>是否费率优惠</w:t>
            </w:r>
          </w:p>
        </w:tc>
      </w:tr>
      <w:tr w:rsidR="00550F9D" w:rsidRPr="00E11D44" w:rsidTr="000D637A">
        <w:trPr>
          <w:jc w:val="center"/>
        </w:trPr>
        <w:tc>
          <w:tcPr>
            <w:tcW w:w="4659" w:type="dxa"/>
            <w:vAlign w:val="center"/>
          </w:tcPr>
          <w:p w:rsidR="00550F9D" w:rsidRPr="00E11D44" w:rsidRDefault="00A65422" w:rsidP="00550F9D">
            <w:pPr>
              <w:spacing w:line="360" w:lineRule="auto"/>
            </w:pPr>
            <w:r w:rsidRPr="00A65422">
              <w:rPr>
                <w:rFonts w:hint="eastAsia"/>
              </w:rPr>
              <w:t>富兰克林国海亚洲（除日本）机会股票型证券投资基金（</w:t>
            </w:r>
            <w:r w:rsidRPr="00A65422">
              <w:rPr>
                <w:rFonts w:hint="eastAsia"/>
              </w:rPr>
              <w:t>C</w:t>
            </w:r>
            <w:r w:rsidRPr="00A65422">
              <w:rPr>
                <w:rFonts w:hint="eastAsia"/>
              </w:rPr>
              <w:t>类）</w:t>
            </w:r>
          </w:p>
        </w:tc>
        <w:tc>
          <w:tcPr>
            <w:tcW w:w="1471" w:type="dxa"/>
            <w:vAlign w:val="center"/>
          </w:tcPr>
          <w:p w:rsidR="00550F9D" w:rsidRPr="00E11D44" w:rsidRDefault="00A65422" w:rsidP="00550F9D">
            <w:pPr>
              <w:spacing w:line="360" w:lineRule="auto"/>
              <w:jc w:val="center"/>
              <w:rPr>
                <w:rFonts w:ascii="微软雅黑" w:eastAsia="微软雅黑" w:hAnsi="微软雅黑"/>
                <w:color w:val="333333"/>
                <w:sz w:val="18"/>
                <w:szCs w:val="18"/>
              </w:rPr>
            </w:pPr>
            <w:r w:rsidRPr="00A65422">
              <w:rPr>
                <w:rFonts w:ascii="微软雅黑" w:eastAsia="微软雅黑" w:hAnsi="微软雅黑"/>
                <w:color w:val="333333"/>
                <w:sz w:val="18"/>
                <w:szCs w:val="18"/>
              </w:rPr>
              <w:t>021662</w:t>
            </w:r>
          </w:p>
        </w:tc>
        <w:tc>
          <w:tcPr>
            <w:tcW w:w="930" w:type="dxa"/>
            <w:vAlign w:val="center"/>
          </w:tcPr>
          <w:p w:rsidR="00550F9D" w:rsidRPr="00E11D44" w:rsidRDefault="00A65422" w:rsidP="00550F9D">
            <w:pPr>
              <w:spacing w:line="360" w:lineRule="auto"/>
              <w:jc w:val="center"/>
            </w:pPr>
            <w:r>
              <w:rPr>
                <w:rFonts w:hint="eastAsia"/>
              </w:rPr>
              <w:t>否</w:t>
            </w:r>
          </w:p>
        </w:tc>
        <w:tc>
          <w:tcPr>
            <w:tcW w:w="828" w:type="dxa"/>
            <w:vAlign w:val="center"/>
          </w:tcPr>
          <w:p w:rsidR="00550F9D" w:rsidRPr="00E11D44" w:rsidRDefault="000D637A" w:rsidP="00550F9D">
            <w:pPr>
              <w:spacing w:line="360" w:lineRule="auto"/>
              <w:jc w:val="center"/>
            </w:pPr>
            <w:r>
              <w:rPr>
                <w:rFonts w:hint="eastAsia"/>
                <w:bCs/>
              </w:rPr>
              <w:t>是</w:t>
            </w:r>
          </w:p>
        </w:tc>
        <w:tc>
          <w:tcPr>
            <w:tcW w:w="842" w:type="dxa"/>
            <w:vAlign w:val="center"/>
          </w:tcPr>
          <w:p w:rsidR="00550F9D" w:rsidRPr="00E11D44" w:rsidRDefault="00550F9D" w:rsidP="00550F9D">
            <w:pPr>
              <w:spacing w:line="360" w:lineRule="auto"/>
              <w:jc w:val="center"/>
              <w:rPr>
                <w:bCs/>
              </w:rPr>
            </w:pPr>
            <w:r w:rsidRPr="00E11D44">
              <w:rPr>
                <w:bCs/>
              </w:rPr>
              <w:t>1</w:t>
            </w:r>
          </w:p>
        </w:tc>
        <w:tc>
          <w:tcPr>
            <w:tcW w:w="881" w:type="dxa"/>
            <w:vAlign w:val="center"/>
          </w:tcPr>
          <w:p w:rsidR="00550F9D" w:rsidRPr="00E11D44" w:rsidRDefault="00550F9D" w:rsidP="00550F9D">
            <w:pPr>
              <w:spacing w:line="360" w:lineRule="auto"/>
              <w:jc w:val="center"/>
            </w:pPr>
            <w:r>
              <w:rPr>
                <w:rFonts w:hint="eastAsia"/>
              </w:rPr>
              <w:t>否</w:t>
            </w:r>
          </w:p>
        </w:tc>
      </w:tr>
    </w:tbl>
    <w:p w:rsidR="00EB7329" w:rsidRDefault="00EB7329">
      <w:pPr>
        <w:spacing w:line="360" w:lineRule="auto"/>
        <w:ind w:firstLineChars="150" w:firstLine="315"/>
        <w:rPr>
          <w:szCs w:val="21"/>
        </w:rPr>
      </w:pPr>
    </w:p>
    <w:p w:rsidR="008D12DA" w:rsidRPr="00E11D44" w:rsidRDefault="00A65422">
      <w:pPr>
        <w:spacing w:line="360" w:lineRule="auto"/>
        <w:ind w:firstLineChars="150" w:firstLine="315"/>
        <w:rPr>
          <w:szCs w:val="21"/>
        </w:rPr>
      </w:pPr>
      <w:r>
        <w:rPr>
          <w:rFonts w:hint="eastAsia"/>
          <w:szCs w:val="21"/>
        </w:rPr>
        <w:t>二</w:t>
      </w:r>
      <w:r w:rsidR="0088788C" w:rsidRPr="00E11D44">
        <w:rPr>
          <w:szCs w:val="21"/>
        </w:rPr>
        <w:t>、</w:t>
      </w:r>
      <w:r w:rsidR="0088788C" w:rsidRPr="00E11D44">
        <w:rPr>
          <w:rFonts w:hint="eastAsia"/>
          <w:szCs w:val="21"/>
        </w:rPr>
        <w:t>定期定额投资业务</w:t>
      </w:r>
      <w:r w:rsidR="0088788C"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r w:rsidR="000D637A">
        <w:rPr>
          <w:rFonts w:hint="eastAsia"/>
        </w:rPr>
        <w:t>陆金所</w:t>
      </w:r>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0D637A">
        <w:rPr>
          <w:rFonts w:hint="eastAsia"/>
        </w:rPr>
        <w:t>陆金所</w:t>
      </w:r>
      <w:r w:rsidRPr="00E11D44">
        <w:rPr>
          <w:szCs w:val="21"/>
        </w:rPr>
        <w:t>规定的最低定投申购金额高于</w:t>
      </w:r>
      <w:r w:rsidRPr="00E11D44">
        <w:rPr>
          <w:rFonts w:hint="eastAsia"/>
          <w:szCs w:val="21"/>
        </w:rPr>
        <w:t>以上限额</w:t>
      </w:r>
      <w:r w:rsidRPr="00E11D44">
        <w:rPr>
          <w:szCs w:val="21"/>
        </w:rPr>
        <w:t>的，则按照其规定的金额执行。</w:t>
      </w:r>
      <w:r w:rsidR="0004236A" w:rsidRPr="0004236A">
        <w:rPr>
          <w:rFonts w:hint="eastAsia"/>
          <w:szCs w:val="21"/>
        </w:rPr>
        <w:t>定投申购金额的上限以本公司相关公告为准</w:t>
      </w:r>
      <w:r w:rsidR="0004236A">
        <w:rPr>
          <w:rFonts w:hint="eastAsia"/>
          <w:szCs w:val="21"/>
        </w:rPr>
        <w:t>。</w:t>
      </w:r>
      <w:r w:rsidRPr="00E11D44">
        <w:rPr>
          <w:szCs w:val="21"/>
        </w:rPr>
        <w:t>定投业务不受日常申购的最低数额限制。</w:t>
      </w:r>
    </w:p>
    <w:p w:rsidR="008D12DA" w:rsidRPr="00E11D44" w:rsidRDefault="0088788C">
      <w:pPr>
        <w:numPr>
          <w:ilvl w:val="0"/>
          <w:numId w:val="5"/>
        </w:numPr>
        <w:spacing w:line="360" w:lineRule="auto"/>
        <w:ind w:left="851"/>
        <w:rPr>
          <w:szCs w:val="21"/>
        </w:rPr>
      </w:pPr>
      <w:r w:rsidRPr="00E11D44">
        <w:rPr>
          <w:szCs w:val="21"/>
        </w:rPr>
        <w:t>业务规则和办理程序</w:t>
      </w:r>
      <w:r w:rsidRPr="00E11D44">
        <w:rPr>
          <w:szCs w:val="21"/>
        </w:rPr>
        <w:t xml:space="preserve"> </w:t>
      </w:r>
    </w:p>
    <w:p w:rsidR="008D12DA" w:rsidRPr="00E11D44"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r w:rsidR="00CA0A41">
        <w:rPr>
          <w:rFonts w:hint="eastAsia"/>
          <w:szCs w:val="21"/>
        </w:rPr>
        <w:t>。</w:t>
      </w:r>
    </w:p>
    <w:p w:rsidR="00EB7329" w:rsidRDefault="0088788C">
      <w:pPr>
        <w:spacing w:line="360" w:lineRule="auto"/>
      </w:pPr>
      <w:r w:rsidRPr="00E11D44">
        <w:rPr>
          <w:rFonts w:hint="eastAsia"/>
        </w:rPr>
        <w:t xml:space="preserve">    </w:t>
      </w:r>
    </w:p>
    <w:p w:rsidR="008D12DA" w:rsidRPr="00E11D44" w:rsidRDefault="00A65422">
      <w:pPr>
        <w:spacing w:line="360" w:lineRule="auto"/>
      </w:pPr>
      <w:r>
        <w:rPr>
          <w:rFonts w:hint="eastAsia"/>
        </w:rPr>
        <w:t>三</w:t>
      </w:r>
      <w:r w:rsidR="0088788C" w:rsidRPr="00E11D44">
        <w:rPr>
          <w:rFonts w:hint="eastAsia"/>
        </w:rPr>
        <w:t>、重要提示：</w:t>
      </w:r>
      <w:r w:rsidR="0088788C" w:rsidRPr="00E11D44">
        <w:rPr>
          <w:rFonts w:hint="eastAsia"/>
        </w:rPr>
        <w:t xml:space="preserve"> </w:t>
      </w:r>
    </w:p>
    <w:p w:rsidR="008D12DA" w:rsidRPr="00E11D44" w:rsidRDefault="0088788C">
      <w:pPr>
        <w:spacing w:line="360" w:lineRule="auto"/>
        <w:ind w:firstLine="420"/>
      </w:pPr>
      <w:r w:rsidRPr="00E11D44">
        <w:rPr>
          <w:rFonts w:hint="eastAsia"/>
        </w:rPr>
        <w:lastRenderedPageBreak/>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9173D8" w:rsidRPr="009173D8">
        <w:rPr>
          <w:rFonts w:hint="eastAsia"/>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88788C">
      <w:pPr>
        <w:spacing w:line="360" w:lineRule="auto"/>
      </w:pPr>
      <w:r w:rsidRPr="00E11D44">
        <w:t xml:space="preserve">    </w:t>
      </w:r>
      <w:r w:rsidR="00A65422">
        <w:rPr>
          <w:rFonts w:hint="eastAsia"/>
        </w:rPr>
        <w:t>四</w:t>
      </w:r>
      <w:r w:rsidRPr="00E11D44">
        <w:rPr>
          <w:rFonts w:hint="eastAsia"/>
        </w:rPr>
        <w:t>、投资者可通过以下途径咨询有关详情：</w:t>
      </w:r>
      <w:r w:rsidRPr="00E11D44">
        <w:t xml:space="preserve"> </w:t>
      </w:r>
    </w:p>
    <w:p w:rsidR="008D12DA" w:rsidRPr="00E11D44" w:rsidRDefault="0088788C">
      <w:pPr>
        <w:spacing w:line="360" w:lineRule="auto"/>
        <w:ind w:firstLineChars="350" w:firstLine="735"/>
      </w:pPr>
      <w:r w:rsidRPr="00E11D44">
        <w:t>1</w:t>
      </w:r>
      <w:r w:rsidRPr="00E11D44">
        <w:rPr>
          <w:rFonts w:hint="eastAsia"/>
        </w:rPr>
        <w:t>．</w:t>
      </w:r>
      <w:r w:rsidR="000D637A" w:rsidRPr="000D637A">
        <w:rPr>
          <w:rFonts w:hint="eastAsia"/>
        </w:rPr>
        <w:t>上海陆金所基金销售有限公司</w:t>
      </w:r>
    </w:p>
    <w:p w:rsidR="008D12DA" w:rsidRPr="00E11D44" w:rsidRDefault="00E62D99">
      <w:pPr>
        <w:spacing w:line="360" w:lineRule="auto"/>
        <w:ind w:firstLineChars="350" w:firstLine="735"/>
      </w:pPr>
      <w:r>
        <w:rPr>
          <w:rFonts w:hint="eastAsia"/>
        </w:rPr>
        <w:t>公司</w:t>
      </w:r>
      <w:r w:rsidR="0088788C" w:rsidRPr="00E11D44">
        <w:rPr>
          <w:rFonts w:hint="eastAsia"/>
        </w:rPr>
        <w:t>网址：</w:t>
      </w:r>
      <w:r w:rsidR="000D637A" w:rsidRPr="000D637A">
        <w:t>www.lufunds.com</w:t>
      </w:r>
    </w:p>
    <w:p w:rsidR="00CC3F63" w:rsidRDefault="0088788C" w:rsidP="00F36EDE">
      <w:pPr>
        <w:spacing w:line="360" w:lineRule="auto"/>
        <w:ind w:left="315" w:firstLine="420"/>
      </w:pPr>
      <w:r w:rsidRPr="00E11D44">
        <w:rPr>
          <w:rFonts w:hint="eastAsia"/>
        </w:rPr>
        <w:t>客户服务热线：</w:t>
      </w:r>
      <w:r w:rsidR="000D637A" w:rsidRPr="000D637A">
        <w:t>400-821-9031</w:t>
      </w:r>
    </w:p>
    <w:p w:rsidR="00E01437" w:rsidRPr="00E11D44" w:rsidRDefault="00E01437" w:rsidP="00E01437">
      <w:pPr>
        <w:spacing w:line="360" w:lineRule="auto"/>
        <w:ind w:left="839"/>
      </w:pPr>
    </w:p>
    <w:p w:rsidR="008D12DA" w:rsidRPr="00E11D44" w:rsidRDefault="0088788C">
      <w:pPr>
        <w:spacing w:line="360" w:lineRule="auto"/>
        <w:ind w:firstLineChars="350" w:firstLine="735"/>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A65422">
        <w:rPr>
          <w:rFonts w:hint="eastAsia"/>
        </w:rPr>
        <w:t>六</w:t>
      </w:r>
      <w:r w:rsidRPr="00E11D44">
        <w:rPr>
          <w:rFonts w:hint="eastAsia"/>
        </w:rPr>
        <w:t>年</w:t>
      </w:r>
      <w:r w:rsidR="00A65422">
        <w:rPr>
          <w:rFonts w:hint="eastAsia"/>
        </w:rPr>
        <w:t>一</w:t>
      </w:r>
      <w:r w:rsidRPr="00E11D44">
        <w:rPr>
          <w:rFonts w:hint="eastAsia"/>
        </w:rPr>
        <w:t>月</w:t>
      </w:r>
      <w:r w:rsidR="00FA2E0B">
        <w:rPr>
          <w:rFonts w:hint="eastAsia"/>
        </w:rPr>
        <w:t>二十九</w:t>
      </w:r>
      <w:r w:rsidR="00E34B3C">
        <w:t>日</w:t>
      </w:r>
    </w:p>
    <w:sectPr w:rsidR="008D12DA" w:rsidRPr="001D2466" w:rsidSect="00CC14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DD6" w:rsidRDefault="00B27DD6" w:rsidP="00553853">
      <w:r>
        <w:separator/>
      </w:r>
    </w:p>
  </w:endnote>
  <w:endnote w:type="continuationSeparator" w:id="0">
    <w:p w:rsidR="00B27DD6" w:rsidRDefault="00B27DD6"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DD6" w:rsidRDefault="00B27DD6" w:rsidP="00553853">
      <w:r>
        <w:separator/>
      </w:r>
    </w:p>
  </w:footnote>
  <w:footnote w:type="continuationSeparator" w:id="0">
    <w:p w:rsidR="00B27DD6" w:rsidRDefault="00B27DD6"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3E14"/>
    <w:rsid w:val="0000435C"/>
    <w:rsid w:val="0000443D"/>
    <w:rsid w:val="000059E5"/>
    <w:rsid w:val="00006E28"/>
    <w:rsid w:val="0001370D"/>
    <w:rsid w:val="00014D12"/>
    <w:rsid w:val="00021BA0"/>
    <w:rsid w:val="00023141"/>
    <w:rsid w:val="000252AE"/>
    <w:rsid w:val="000352D2"/>
    <w:rsid w:val="00035E54"/>
    <w:rsid w:val="0004236A"/>
    <w:rsid w:val="00045110"/>
    <w:rsid w:val="000564AA"/>
    <w:rsid w:val="00060F0B"/>
    <w:rsid w:val="000628CA"/>
    <w:rsid w:val="000638A3"/>
    <w:rsid w:val="000665FC"/>
    <w:rsid w:val="000727E2"/>
    <w:rsid w:val="0008519F"/>
    <w:rsid w:val="00090F73"/>
    <w:rsid w:val="000921D8"/>
    <w:rsid w:val="00096E97"/>
    <w:rsid w:val="000A69CC"/>
    <w:rsid w:val="000B2737"/>
    <w:rsid w:val="000B65F3"/>
    <w:rsid w:val="000B7573"/>
    <w:rsid w:val="000D4A0A"/>
    <w:rsid w:val="000D4A8D"/>
    <w:rsid w:val="000D637A"/>
    <w:rsid w:val="000E08C5"/>
    <w:rsid w:val="000E0C90"/>
    <w:rsid w:val="000F354F"/>
    <w:rsid w:val="000F4807"/>
    <w:rsid w:val="000F6A72"/>
    <w:rsid w:val="00101DFA"/>
    <w:rsid w:val="001035D1"/>
    <w:rsid w:val="0010578C"/>
    <w:rsid w:val="00121427"/>
    <w:rsid w:val="00123872"/>
    <w:rsid w:val="001266DE"/>
    <w:rsid w:val="00127042"/>
    <w:rsid w:val="001308D5"/>
    <w:rsid w:val="00143950"/>
    <w:rsid w:val="00144D3E"/>
    <w:rsid w:val="001453B0"/>
    <w:rsid w:val="001477A5"/>
    <w:rsid w:val="00150115"/>
    <w:rsid w:val="00160875"/>
    <w:rsid w:val="00164EFF"/>
    <w:rsid w:val="001722B5"/>
    <w:rsid w:val="00175E87"/>
    <w:rsid w:val="00185BF7"/>
    <w:rsid w:val="001905C5"/>
    <w:rsid w:val="001909CF"/>
    <w:rsid w:val="00193CE3"/>
    <w:rsid w:val="001A3ABA"/>
    <w:rsid w:val="001B2663"/>
    <w:rsid w:val="001B402F"/>
    <w:rsid w:val="001B7459"/>
    <w:rsid w:val="001C41FA"/>
    <w:rsid w:val="001D2466"/>
    <w:rsid w:val="001E2076"/>
    <w:rsid w:val="001E6122"/>
    <w:rsid w:val="001E640A"/>
    <w:rsid w:val="001F646D"/>
    <w:rsid w:val="00205B53"/>
    <w:rsid w:val="00205BF5"/>
    <w:rsid w:val="0021376D"/>
    <w:rsid w:val="00225213"/>
    <w:rsid w:val="002365EC"/>
    <w:rsid w:val="00241ADC"/>
    <w:rsid w:val="00241FEA"/>
    <w:rsid w:val="00242B2D"/>
    <w:rsid w:val="00244792"/>
    <w:rsid w:val="00250C43"/>
    <w:rsid w:val="0026005D"/>
    <w:rsid w:val="00266A41"/>
    <w:rsid w:val="00272EAF"/>
    <w:rsid w:val="002744D8"/>
    <w:rsid w:val="00277E31"/>
    <w:rsid w:val="002846E8"/>
    <w:rsid w:val="002906DD"/>
    <w:rsid w:val="00293226"/>
    <w:rsid w:val="00295EDA"/>
    <w:rsid w:val="002A069E"/>
    <w:rsid w:val="002A0E8B"/>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5C4F"/>
    <w:rsid w:val="00326902"/>
    <w:rsid w:val="00327FBE"/>
    <w:rsid w:val="003401E7"/>
    <w:rsid w:val="00340C55"/>
    <w:rsid w:val="003449C2"/>
    <w:rsid w:val="00345BAF"/>
    <w:rsid w:val="00355D47"/>
    <w:rsid w:val="00361BA9"/>
    <w:rsid w:val="00364A57"/>
    <w:rsid w:val="00382915"/>
    <w:rsid w:val="00383290"/>
    <w:rsid w:val="003A28F7"/>
    <w:rsid w:val="003A7386"/>
    <w:rsid w:val="003B1669"/>
    <w:rsid w:val="003C0885"/>
    <w:rsid w:val="003D0DA0"/>
    <w:rsid w:val="003D34DF"/>
    <w:rsid w:val="003E0E8D"/>
    <w:rsid w:val="003E2304"/>
    <w:rsid w:val="003E3E45"/>
    <w:rsid w:val="003E7A8C"/>
    <w:rsid w:val="003F1A06"/>
    <w:rsid w:val="003F510B"/>
    <w:rsid w:val="004020DA"/>
    <w:rsid w:val="004129C9"/>
    <w:rsid w:val="00425803"/>
    <w:rsid w:val="00426BA5"/>
    <w:rsid w:val="00432E98"/>
    <w:rsid w:val="00444724"/>
    <w:rsid w:val="00444C1B"/>
    <w:rsid w:val="00450CA5"/>
    <w:rsid w:val="00450CFB"/>
    <w:rsid w:val="00457655"/>
    <w:rsid w:val="004577F7"/>
    <w:rsid w:val="00464E56"/>
    <w:rsid w:val="004753E8"/>
    <w:rsid w:val="004771EC"/>
    <w:rsid w:val="004868CF"/>
    <w:rsid w:val="00486FD4"/>
    <w:rsid w:val="004879BF"/>
    <w:rsid w:val="004953E4"/>
    <w:rsid w:val="00495DCA"/>
    <w:rsid w:val="004A1EB3"/>
    <w:rsid w:val="004A520E"/>
    <w:rsid w:val="004B104F"/>
    <w:rsid w:val="004D1F19"/>
    <w:rsid w:val="004D5EEB"/>
    <w:rsid w:val="004E0556"/>
    <w:rsid w:val="004E38AF"/>
    <w:rsid w:val="004F3836"/>
    <w:rsid w:val="004F5831"/>
    <w:rsid w:val="005028B0"/>
    <w:rsid w:val="00505A3D"/>
    <w:rsid w:val="00506269"/>
    <w:rsid w:val="0051164F"/>
    <w:rsid w:val="005141B3"/>
    <w:rsid w:val="00515267"/>
    <w:rsid w:val="005164EA"/>
    <w:rsid w:val="00527424"/>
    <w:rsid w:val="005307F9"/>
    <w:rsid w:val="0053545B"/>
    <w:rsid w:val="005371ED"/>
    <w:rsid w:val="00541220"/>
    <w:rsid w:val="00550F9D"/>
    <w:rsid w:val="00551EE8"/>
    <w:rsid w:val="00553853"/>
    <w:rsid w:val="00554A39"/>
    <w:rsid w:val="005623B7"/>
    <w:rsid w:val="00575840"/>
    <w:rsid w:val="00575940"/>
    <w:rsid w:val="00576F51"/>
    <w:rsid w:val="0058238D"/>
    <w:rsid w:val="00584BBF"/>
    <w:rsid w:val="00587ACB"/>
    <w:rsid w:val="005A0614"/>
    <w:rsid w:val="005A41DE"/>
    <w:rsid w:val="005B18D7"/>
    <w:rsid w:val="005B3D57"/>
    <w:rsid w:val="005B6EC4"/>
    <w:rsid w:val="005C4EA2"/>
    <w:rsid w:val="005C4F18"/>
    <w:rsid w:val="005C5A18"/>
    <w:rsid w:val="005C5CA9"/>
    <w:rsid w:val="005E1470"/>
    <w:rsid w:val="005F1D66"/>
    <w:rsid w:val="005F48E6"/>
    <w:rsid w:val="006134AE"/>
    <w:rsid w:val="00617CBE"/>
    <w:rsid w:val="00621C77"/>
    <w:rsid w:val="00624876"/>
    <w:rsid w:val="0063263C"/>
    <w:rsid w:val="00641920"/>
    <w:rsid w:val="00651194"/>
    <w:rsid w:val="00656F70"/>
    <w:rsid w:val="00657496"/>
    <w:rsid w:val="0066020A"/>
    <w:rsid w:val="00662ED0"/>
    <w:rsid w:val="006656E2"/>
    <w:rsid w:val="006730FF"/>
    <w:rsid w:val="00676101"/>
    <w:rsid w:val="00682052"/>
    <w:rsid w:val="006823A5"/>
    <w:rsid w:val="0068263A"/>
    <w:rsid w:val="0068481A"/>
    <w:rsid w:val="00692BE7"/>
    <w:rsid w:val="00693773"/>
    <w:rsid w:val="006940D3"/>
    <w:rsid w:val="006A641B"/>
    <w:rsid w:val="006B1D45"/>
    <w:rsid w:val="006B20EC"/>
    <w:rsid w:val="006C1DB5"/>
    <w:rsid w:val="006C1E10"/>
    <w:rsid w:val="006C2CC9"/>
    <w:rsid w:val="006C3F5F"/>
    <w:rsid w:val="006C7EC4"/>
    <w:rsid w:val="006D4270"/>
    <w:rsid w:val="006D4E4F"/>
    <w:rsid w:val="006F42B6"/>
    <w:rsid w:val="006F4F50"/>
    <w:rsid w:val="0070443E"/>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279"/>
    <w:rsid w:val="00753331"/>
    <w:rsid w:val="00757542"/>
    <w:rsid w:val="00757752"/>
    <w:rsid w:val="00762413"/>
    <w:rsid w:val="007626B3"/>
    <w:rsid w:val="007642F9"/>
    <w:rsid w:val="00786B82"/>
    <w:rsid w:val="00793843"/>
    <w:rsid w:val="007A1E2D"/>
    <w:rsid w:val="007A6707"/>
    <w:rsid w:val="007B043D"/>
    <w:rsid w:val="007B327D"/>
    <w:rsid w:val="007C02BD"/>
    <w:rsid w:val="007C5AB6"/>
    <w:rsid w:val="007D169C"/>
    <w:rsid w:val="007D1D69"/>
    <w:rsid w:val="007E1DBE"/>
    <w:rsid w:val="007E6012"/>
    <w:rsid w:val="007E6C01"/>
    <w:rsid w:val="007F39CE"/>
    <w:rsid w:val="007F64ED"/>
    <w:rsid w:val="007F69F4"/>
    <w:rsid w:val="00811BE4"/>
    <w:rsid w:val="00815333"/>
    <w:rsid w:val="00816552"/>
    <w:rsid w:val="00821C38"/>
    <w:rsid w:val="00823E96"/>
    <w:rsid w:val="0083069D"/>
    <w:rsid w:val="00833708"/>
    <w:rsid w:val="008357B9"/>
    <w:rsid w:val="00835815"/>
    <w:rsid w:val="00837A6E"/>
    <w:rsid w:val="008405F2"/>
    <w:rsid w:val="0084214B"/>
    <w:rsid w:val="00842E54"/>
    <w:rsid w:val="00845A8D"/>
    <w:rsid w:val="00847944"/>
    <w:rsid w:val="008519BA"/>
    <w:rsid w:val="00854509"/>
    <w:rsid w:val="008565F6"/>
    <w:rsid w:val="00863346"/>
    <w:rsid w:val="00867E87"/>
    <w:rsid w:val="0087035D"/>
    <w:rsid w:val="00882E22"/>
    <w:rsid w:val="00885EC6"/>
    <w:rsid w:val="00885F5C"/>
    <w:rsid w:val="0088788C"/>
    <w:rsid w:val="0089347F"/>
    <w:rsid w:val="008A056E"/>
    <w:rsid w:val="008A135C"/>
    <w:rsid w:val="008B6742"/>
    <w:rsid w:val="008B73FC"/>
    <w:rsid w:val="008B7407"/>
    <w:rsid w:val="008C6AF0"/>
    <w:rsid w:val="008C6E30"/>
    <w:rsid w:val="008C7AA3"/>
    <w:rsid w:val="008D12DA"/>
    <w:rsid w:val="008E0D4C"/>
    <w:rsid w:val="008E0FFE"/>
    <w:rsid w:val="008E5E94"/>
    <w:rsid w:val="008E65BD"/>
    <w:rsid w:val="008F3CE4"/>
    <w:rsid w:val="008F4EE5"/>
    <w:rsid w:val="008F501A"/>
    <w:rsid w:val="008F57E1"/>
    <w:rsid w:val="008F5AFF"/>
    <w:rsid w:val="009173D8"/>
    <w:rsid w:val="009218E8"/>
    <w:rsid w:val="0092249B"/>
    <w:rsid w:val="00923624"/>
    <w:rsid w:val="009339FC"/>
    <w:rsid w:val="00935B96"/>
    <w:rsid w:val="00940B75"/>
    <w:rsid w:val="00943D1B"/>
    <w:rsid w:val="00944B54"/>
    <w:rsid w:val="00945F1F"/>
    <w:rsid w:val="0095361E"/>
    <w:rsid w:val="00963152"/>
    <w:rsid w:val="00964D2B"/>
    <w:rsid w:val="00965A3F"/>
    <w:rsid w:val="00967FBC"/>
    <w:rsid w:val="0097048C"/>
    <w:rsid w:val="00970B55"/>
    <w:rsid w:val="00976925"/>
    <w:rsid w:val="00984F40"/>
    <w:rsid w:val="00987A07"/>
    <w:rsid w:val="00987BA8"/>
    <w:rsid w:val="00990712"/>
    <w:rsid w:val="00991765"/>
    <w:rsid w:val="00993DEA"/>
    <w:rsid w:val="009955F5"/>
    <w:rsid w:val="009A5BEF"/>
    <w:rsid w:val="009B7D2D"/>
    <w:rsid w:val="009C200B"/>
    <w:rsid w:val="009C39AA"/>
    <w:rsid w:val="009C752F"/>
    <w:rsid w:val="009D12A3"/>
    <w:rsid w:val="009D315C"/>
    <w:rsid w:val="009D7C52"/>
    <w:rsid w:val="009E37D0"/>
    <w:rsid w:val="009F1BD0"/>
    <w:rsid w:val="00A028AE"/>
    <w:rsid w:val="00A05B79"/>
    <w:rsid w:val="00A05FCC"/>
    <w:rsid w:val="00A07429"/>
    <w:rsid w:val="00A15834"/>
    <w:rsid w:val="00A15D05"/>
    <w:rsid w:val="00A1626D"/>
    <w:rsid w:val="00A232FE"/>
    <w:rsid w:val="00A23BE5"/>
    <w:rsid w:val="00A24694"/>
    <w:rsid w:val="00A26154"/>
    <w:rsid w:val="00A27056"/>
    <w:rsid w:val="00A326DA"/>
    <w:rsid w:val="00A4317E"/>
    <w:rsid w:val="00A434F9"/>
    <w:rsid w:val="00A446CE"/>
    <w:rsid w:val="00A46228"/>
    <w:rsid w:val="00A52B08"/>
    <w:rsid w:val="00A538AF"/>
    <w:rsid w:val="00A65422"/>
    <w:rsid w:val="00A671A4"/>
    <w:rsid w:val="00A7301E"/>
    <w:rsid w:val="00A7575D"/>
    <w:rsid w:val="00A7714F"/>
    <w:rsid w:val="00A802E1"/>
    <w:rsid w:val="00A8494A"/>
    <w:rsid w:val="00A95B3B"/>
    <w:rsid w:val="00AA0C4E"/>
    <w:rsid w:val="00AB00B6"/>
    <w:rsid w:val="00AB4688"/>
    <w:rsid w:val="00AB5A32"/>
    <w:rsid w:val="00AC31BE"/>
    <w:rsid w:val="00AD0983"/>
    <w:rsid w:val="00AD3FC4"/>
    <w:rsid w:val="00AD415A"/>
    <w:rsid w:val="00AE1F71"/>
    <w:rsid w:val="00AE2658"/>
    <w:rsid w:val="00AF1028"/>
    <w:rsid w:val="00AF2501"/>
    <w:rsid w:val="00AF604C"/>
    <w:rsid w:val="00AF78DB"/>
    <w:rsid w:val="00B05469"/>
    <w:rsid w:val="00B069AE"/>
    <w:rsid w:val="00B17987"/>
    <w:rsid w:val="00B22659"/>
    <w:rsid w:val="00B2407D"/>
    <w:rsid w:val="00B27D23"/>
    <w:rsid w:val="00B27DD6"/>
    <w:rsid w:val="00B308E4"/>
    <w:rsid w:val="00B3460F"/>
    <w:rsid w:val="00B4109D"/>
    <w:rsid w:val="00B42FE9"/>
    <w:rsid w:val="00B43097"/>
    <w:rsid w:val="00B46701"/>
    <w:rsid w:val="00B501F9"/>
    <w:rsid w:val="00B52DE4"/>
    <w:rsid w:val="00B55195"/>
    <w:rsid w:val="00B65B6C"/>
    <w:rsid w:val="00B725DA"/>
    <w:rsid w:val="00B74AA2"/>
    <w:rsid w:val="00B76265"/>
    <w:rsid w:val="00B803AD"/>
    <w:rsid w:val="00B8121B"/>
    <w:rsid w:val="00B83F15"/>
    <w:rsid w:val="00BB020C"/>
    <w:rsid w:val="00BB2599"/>
    <w:rsid w:val="00BB670F"/>
    <w:rsid w:val="00BB6EF9"/>
    <w:rsid w:val="00BC7AE4"/>
    <w:rsid w:val="00BD2E21"/>
    <w:rsid w:val="00BD4FCA"/>
    <w:rsid w:val="00BE7E88"/>
    <w:rsid w:val="00BF0A61"/>
    <w:rsid w:val="00BF4E89"/>
    <w:rsid w:val="00BF5F4E"/>
    <w:rsid w:val="00BF6524"/>
    <w:rsid w:val="00BF72FE"/>
    <w:rsid w:val="00C02952"/>
    <w:rsid w:val="00C1297F"/>
    <w:rsid w:val="00C12EB3"/>
    <w:rsid w:val="00C21E65"/>
    <w:rsid w:val="00C23A1E"/>
    <w:rsid w:val="00C308AC"/>
    <w:rsid w:val="00C32D69"/>
    <w:rsid w:val="00C3330E"/>
    <w:rsid w:val="00C335BD"/>
    <w:rsid w:val="00C377D6"/>
    <w:rsid w:val="00C467C2"/>
    <w:rsid w:val="00C47F14"/>
    <w:rsid w:val="00C51190"/>
    <w:rsid w:val="00C51BA3"/>
    <w:rsid w:val="00C53776"/>
    <w:rsid w:val="00C657A4"/>
    <w:rsid w:val="00C72329"/>
    <w:rsid w:val="00C72A42"/>
    <w:rsid w:val="00C762B8"/>
    <w:rsid w:val="00C807B4"/>
    <w:rsid w:val="00C83F4D"/>
    <w:rsid w:val="00C9778B"/>
    <w:rsid w:val="00CA0A41"/>
    <w:rsid w:val="00CA2D2A"/>
    <w:rsid w:val="00CA5D69"/>
    <w:rsid w:val="00CB0849"/>
    <w:rsid w:val="00CB69FF"/>
    <w:rsid w:val="00CC01D4"/>
    <w:rsid w:val="00CC14F5"/>
    <w:rsid w:val="00CC37C7"/>
    <w:rsid w:val="00CC3F63"/>
    <w:rsid w:val="00CC54DD"/>
    <w:rsid w:val="00CC74FF"/>
    <w:rsid w:val="00CD6FB7"/>
    <w:rsid w:val="00CD790F"/>
    <w:rsid w:val="00CE71FF"/>
    <w:rsid w:val="00CF0B90"/>
    <w:rsid w:val="00CF1178"/>
    <w:rsid w:val="00D04CF3"/>
    <w:rsid w:val="00D06A4A"/>
    <w:rsid w:val="00D2005D"/>
    <w:rsid w:val="00D2164B"/>
    <w:rsid w:val="00D33627"/>
    <w:rsid w:val="00D37D84"/>
    <w:rsid w:val="00D57372"/>
    <w:rsid w:val="00D57FC0"/>
    <w:rsid w:val="00D627B4"/>
    <w:rsid w:val="00D642A0"/>
    <w:rsid w:val="00D652B7"/>
    <w:rsid w:val="00D67AFE"/>
    <w:rsid w:val="00D707CC"/>
    <w:rsid w:val="00D73D38"/>
    <w:rsid w:val="00D74800"/>
    <w:rsid w:val="00D75157"/>
    <w:rsid w:val="00D81EC3"/>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6643"/>
    <w:rsid w:val="00E01437"/>
    <w:rsid w:val="00E044EE"/>
    <w:rsid w:val="00E1070B"/>
    <w:rsid w:val="00E11D44"/>
    <w:rsid w:val="00E14F14"/>
    <w:rsid w:val="00E21F85"/>
    <w:rsid w:val="00E26433"/>
    <w:rsid w:val="00E26A9A"/>
    <w:rsid w:val="00E30052"/>
    <w:rsid w:val="00E30E4F"/>
    <w:rsid w:val="00E34B3C"/>
    <w:rsid w:val="00E364DE"/>
    <w:rsid w:val="00E52E70"/>
    <w:rsid w:val="00E54DDF"/>
    <w:rsid w:val="00E56E27"/>
    <w:rsid w:val="00E60478"/>
    <w:rsid w:val="00E61734"/>
    <w:rsid w:val="00E62D99"/>
    <w:rsid w:val="00E71C56"/>
    <w:rsid w:val="00E74A8D"/>
    <w:rsid w:val="00E83578"/>
    <w:rsid w:val="00E918E6"/>
    <w:rsid w:val="00E91A34"/>
    <w:rsid w:val="00E91B1E"/>
    <w:rsid w:val="00E96F63"/>
    <w:rsid w:val="00E976B1"/>
    <w:rsid w:val="00EA15E4"/>
    <w:rsid w:val="00EA4A50"/>
    <w:rsid w:val="00EA6836"/>
    <w:rsid w:val="00EB0492"/>
    <w:rsid w:val="00EB7329"/>
    <w:rsid w:val="00EC3662"/>
    <w:rsid w:val="00EC3F31"/>
    <w:rsid w:val="00ED028F"/>
    <w:rsid w:val="00ED06DD"/>
    <w:rsid w:val="00EE12A0"/>
    <w:rsid w:val="00EE34DE"/>
    <w:rsid w:val="00EE50ED"/>
    <w:rsid w:val="00EE6246"/>
    <w:rsid w:val="00EF0C63"/>
    <w:rsid w:val="00EF1157"/>
    <w:rsid w:val="00F0634A"/>
    <w:rsid w:val="00F07220"/>
    <w:rsid w:val="00F1044E"/>
    <w:rsid w:val="00F10710"/>
    <w:rsid w:val="00F10CA9"/>
    <w:rsid w:val="00F13383"/>
    <w:rsid w:val="00F14EC9"/>
    <w:rsid w:val="00F17F13"/>
    <w:rsid w:val="00F20E4B"/>
    <w:rsid w:val="00F232D7"/>
    <w:rsid w:val="00F33CEA"/>
    <w:rsid w:val="00F36EDE"/>
    <w:rsid w:val="00F41A06"/>
    <w:rsid w:val="00F44FD2"/>
    <w:rsid w:val="00F54090"/>
    <w:rsid w:val="00F6492D"/>
    <w:rsid w:val="00F752AC"/>
    <w:rsid w:val="00F75890"/>
    <w:rsid w:val="00F77E1D"/>
    <w:rsid w:val="00F83C34"/>
    <w:rsid w:val="00F84587"/>
    <w:rsid w:val="00F85230"/>
    <w:rsid w:val="00F856D0"/>
    <w:rsid w:val="00F9683E"/>
    <w:rsid w:val="00F977B7"/>
    <w:rsid w:val="00F97AF4"/>
    <w:rsid w:val="00F97FB2"/>
    <w:rsid w:val="00FA2E0B"/>
    <w:rsid w:val="00FA35E5"/>
    <w:rsid w:val="00FB0F30"/>
    <w:rsid w:val="00FB2C04"/>
    <w:rsid w:val="00FB4101"/>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1F71"/>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CC14F5"/>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CC14F5"/>
    <w:pPr>
      <w:numPr>
        <w:numId w:val="1"/>
      </w:numPr>
      <w:contextualSpacing/>
    </w:pPr>
  </w:style>
  <w:style w:type="paragraph" w:styleId="a4">
    <w:name w:val="annotation text"/>
    <w:basedOn w:val="a0"/>
    <w:link w:val="Char"/>
    <w:uiPriority w:val="99"/>
    <w:semiHidden/>
    <w:unhideWhenUsed/>
    <w:rsid w:val="00CC14F5"/>
    <w:pPr>
      <w:jc w:val="left"/>
    </w:pPr>
  </w:style>
  <w:style w:type="paragraph" w:styleId="a5">
    <w:name w:val="Balloon Text"/>
    <w:basedOn w:val="a0"/>
    <w:link w:val="Char0"/>
    <w:uiPriority w:val="99"/>
    <w:semiHidden/>
    <w:unhideWhenUsed/>
    <w:rsid w:val="00CC14F5"/>
    <w:rPr>
      <w:sz w:val="18"/>
      <w:szCs w:val="18"/>
    </w:rPr>
  </w:style>
  <w:style w:type="paragraph" w:styleId="a6">
    <w:name w:val="footer"/>
    <w:basedOn w:val="a0"/>
    <w:link w:val="Char1"/>
    <w:uiPriority w:val="99"/>
    <w:unhideWhenUsed/>
    <w:rsid w:val="00CC14F5"/>
    <w:pPr>
      <w:tabs>
        <w:tab w:val="center" w:pos="4153"/>
        <w:tab w:val="right" w:pos="8306"/>
      </w:tabs>
      <w:snapToGrid w:val="0"/>
      <w:jc w:val="left"/>
    </w:pPr>
    <w:rPr>
      <w:sz w:val="18"/>
      <w:szCs w:val="18"/>
    </w:rPr>
  </w:style>
  <w:style w:type="paragraph" w:styleId="a7">
    <w:name w:val="header"/>
    <w:basedOn w:val="a0"/>
    <w:link w:val="Char2"/>
    <w:uiPriority w:val="99"/>
    <w:unhideWhenUsed/>
    <w:rsid w:val="00CC14F5"/>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CC14F5"/>
    <w:rPr>
      <w:b/>
      <w:bCs/>
    </w:rPr>
  </w:style>
  <w:style w:type="table" w:styleId="a9">
    <w:name w:val="Table Grid"/>
    <w:basedOn w:val="a2"/>
    <w:uiPriority w:val="59"/>
    <w:rsid w:val="00CC1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CC14F5"/>
    <w:rPr>
      <w:color w:val="0000FF"/>
      <w:u w:val="single"/>
    </w:rPr>
  </w:style>
  <w:style w:type="character" w:styleId="ab">
    <w:name w:val="annotation reference"/>
    <w:basedOn w:val="a1"/>
    <w:uiPriority w:val="99"/>
    <w:semiHidden/>
    <w:unhideWhenUsed/>
    <w:rsid w:val="00CC14F5"/>
    <w:rPr>
      <w:sz w:val="21"/>
      <w:szCs w:val="21"/>
    </w:rPr>
  </w:style>
  <w:style w:type="character" w:customStyle="1" w:styleId="Char2">
    <w:name w:val="页眉 Char"/>
    <w:basedOn w:val="a1"/>
    <w:link w:val="a7"/>
    <w:uiPriority w:val="99"/>
    <w:rsid w:val="00CC14F5"/>
    <w:rPr>
      <w:sz w:val="18"/>
      <w:szCs w:val="18"/>
    </w:rPr>
  </w:style>
  <w:style w:type="character" w:customStyle="1" w:styleId="Char1">
    <w:name w:val="页脚 Char"/>
    <w:basedOn w:val="a1"/>
    <w:link w:val="a6"/>
    <w:uiPriority w:val="99"/>
    <w:rsid w:val="00CC14F5"/>
    <w:rPr>
      <w:sz w:val="18"/>
      <w:szCs w:val="18"/>
    </w:rPr>
  </w:style>
  <w:style w:type="character" w:customStyle="1" w:styleId="1Char">
    <w:name w:val="标题 1 Char"/>
    <w:basedOn w:val="a1"/>
    <w:link w:val="1"/>
    <w:rsid w:val="00CC14F5"/>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CC14F5"/>
  </w:style>
  <w:style w:type="character" w:customStyle="1" w:styleId="Char0">
    <w:name w:val="批注框文本 Char"/>
    <w:basedOn w:val="a1"/>
    <w:link w:val="a5"/>
    <w:uiPriority w:val="99"/>
    <w:semiHidden/>
    <w:rsid w:val="00CC14F5"/>
    <w:rPr>
      <w:rFonts w:ascii="Times New Roman" w:eastAsia="宋体" w:hAnsi="Times New Roman" w:cs="Times New Roman"/>
      <w:sz w:val="18"/>
      <w:szCs w:val="18"/>
    </w:rPr>
  </w:style>
  <w:style w:type="character" w:customStyle="1" w:styleId="Char">
    <w:name w:val="批注文字 Char"/>
    <w:basedOn w:val="a1"/>
    <w:link w:val="a4"/>
    <w:uiPriority w:val="99"/>
    <w:semiHidden/>
    <w:rsid w:val="00CC14F5"/>
    <w:rPr>
      <w:rFonts w:ascii="Times New Roman" w:eastAsia="宋体" w:hAnsi="Times New Roman" w:cs="Times New Roman"/>
      <w:szCs w:val="24"/>
    </w:rPr>
  </w:style>
  <w:style w:type="character" w:customStyle="1" w:styleId="Char3">
    <w:name w:val="批注主题 Char"/>
    <w:basedOn w:val="Char"/>
    <w:link w:val="a8"/>
    <w:uiPriority w:val="99"/>
    <w:semiHidden/>
    <w:rsid w:val="00CC14F5"/>
    <w:rPr>
      <w:rFonts w:ascii="Times New Roman" w:eastAsia="宋体" w:hAnsi="Times New Roman" w:cs="Times New Roman"/>
      <w:b/>
      <w:bCs/>
      <w:szCs w:val="24"/>
    </w:rPr>
  </w:style>
  <w:style w:type="paragraph" w:styleId="ac">
    <w:name w:val="List Paragraph"/>
    <w:basedOn w:val="a0"/>
    <w:uiPriority w:val="34"/>
    <w:qFormat/>
    <w:rsid w:val="00CC14F5"/>
    <w:pPr>
      <w:ind w:firstLineChars="200" w:firstLine="420"/>
    </w:pPr>
  </w:style>
  <w:style w:type="paragraph" w:customStyle="1" w:styleId="Default">
    <w:name w:val="Default"/>
    <w:rsid w:val="00CC14F5"/>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CC14F5"/>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CF80A-AD0E-4554-991E-92EC0D44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1192</Characters>
  <Application>Microsoft Office Word</Application>
  <DocSecurity>4</DocSecurity>
  <Lines>9</Lines>
  <Paragraphs>2</Paragraphs>
  <ScaleCrop>false</ScaleCrop>
  <Company>fts</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2026-01-28T16:00:00Z</dcterms:created>
  <dcterms:modified xsi:type="dcterms:W3CDTF">2026-01-28T16:00:00Z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