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DF6" w:rsidRDefault="00D64DF6" w:rsidP="00D64DF6">
      <w:pPr>
        <w:jc w:val="center"/>
        <w:rPr>
          <w:rFonts w:hAnsi="宋体"/>
          <w:b/>
          <w:sz w:val="48"/>
          <w:szCs w:val="48"/>
        </w:rPr>
      </w:pPr>
      <w:bookmarkStart w:id="0" w:name="_GoBack"/>
      <w:bookmarkEnd w:id="0"/>
      <w:r w:rsidRPr="00623685">
        <w:rPr>
          <w:rFonts w:hAnsi="宋体"/>
          <w:b/>
          <w:sz w:val="48"/>
          <w:szCs w:val="48"/>
        </w:rPr>
        <w:t>鹏扬淳兴三个月定期开放债券型证券投资基金恢复个人投资者申购、转换转入业务的公告</w:t>
      </w:r>
    </w:p>
    <w:p w:rsidR="00DA2749" w:rsidRDefault="00426411" w:rsidP="00D64DF6">
      <w:pPr>
        <w:pStyle w:val="1"/>
        <w:spacing w:before="156" w:after="156"/>
      </w:pPr>
      <w:r>
        <w:rPr>
          <w:rFonts w:hint="eastAsia"/>
        </w:rPr>
        <w:t>公告基本信息</w:t>
      </w:r>
    </w:p>
    <w:tbl>
      <w:tblPr>
        <w:tblStyle w:val="a9"/>
        <w:tblW w:w="9072" w:type="dxa"/>
        <w:jc w:val="center"/>
        <w:tblLayout w:type="fixed"/>
        <w:tblLook w:val="04A0"/>
      </w:tblPr>
      <w:tblGrid>
        <w:gridCol w:w="1209"/>
        <w:gridCol w:w="2600"/>
        <w:gridCol w:w="2629"/>
        <w:gridCol w:w="2634"/>
      </w:tblGrid>
      <w:tr w:rsidR="005C6B28" w:rsidTr="005C6B28">
        <w:trPr>
          <w:jc w:val="center"/>
        </w:trPr>
        <w:tc>
          <w:tcPr>
            <w:tcW w:w="3809" w:type="dxa"/>
            <w:gridSpan w:val="2"/>
            <w:tcMar>
              <w:left w:w="85" w:type="dxa"/>
              <w:right w:w="85" w:type="dxa"/>
            </w:tcMar>
            <w:vAlign w:val="center"/>
          </w:tcPr>
          <w:p w:rsidR="005C6B28" w:rsidRPr="00620D3A" w:rsidRDefault="005C6B28" w:rsidP="006A5544">
            <w:pPr>
              <w:rPr>
                <w:szCs w:val="22"/>
              </w:rPr>
            </w:pPr>
            <w:r w:rsidRPr="00620D3A">
              <w:rPr>
                <w:szCs w:val="22"/>
              </w:rPr>
              <w:t>基金名称</w:t>
            </w:r>
          </w:p>
        </w:tc>
        <w:tc>
          <w:tcPr>
            <w:tcW w:w="5263" w:type="dxa"/>
            <w:gridSpan w:val="2"/>
            <w:tcMar>
              <w:left w:w="85" w:type="dxa"/>
              <w:right w:w="85" w:type="dxa"/>
            </w:tcMar>
            <w:vAlign w:val="center"/>
          </w:tcPr>
          <w:p w:rsidR="005C6B28" w:rsidRPr="00620D3A" w:rsidRDefault="005C6B28" w:rsidP="006A5544">
            <w:pPr>
              <w:jc w:val="left"/>
              <w:rPr>
                <w:szCs w:val="22"/>
              </w:rPr>
            </w:pPr>
            <w:r w:rsidRPr="00620D3A">
              <w:rPr>
                <w:szCs w:val="22"/>
              </w:rPr>
              <w:t>鹏扬淳兴三个月定期开放债券型证券投资基金</w:t>
            </w:r>
          </w:p>
        </w:tc>
      </w:tr>
      <w:tr w:rsidR="005C6B28" w:rsidTr="005C6B28">
        <w:trPr>
          <w:jc w:val="center"/>
        </w:trPr>
        <w:tc>
          <w:tcPr>
            <w:tcW w:w="3809" w:type="dxa"/>
            <w:gridSpan w:val="2"/>
            <w:tcMar>
              <w:left w:w="85" w:type="dxa"/>
              <w:right w:w="85" w:type="dxa"/>
            </w:tcMar>
            <w:vAlign w:val="center"/>
          </w:tcPr>
          <w:p w:rsidR="005C6B28" w:rsidRPr="00620D3A" w:rsidRDefault="005C6B28" w:rsidP="006A5544">
            <w:pPr>
              <w:rPr>
                <w:szCs w:val="22"/>
              </w:rPr>
            </w:pPr>
            <w:r w:rsidRPr="00620D3A">
              <w:rPr>
                <w:szCs w:val="22"/>
              </w:rPr>
              <w:t>基金简称</w:t>
            </w:r>
          </w:p>
        </w:tc>
        <w:tc>
          <w:tcPr>
            <w:tcW w:w="5263" w:type="dxa"/>
            <w:gridSpan w:val="2"/>
            <w:tcMar>
              <w:left w:w="85" w:type="dxa"/>
              <w:right w:w="85" w:type="dxa"/>
            </w:tcMar>
            <w:vAlign w:val="center"/>
          </w:tcPr>
          <w:p w:rsidR="005C6B28" w:rsidRPr="00620D3A" w:rsidRDefault="005C6B28" w:rsidP="006A5544">
            <w:pPr>
              <w:jc w:val="left"/>
              <w:rPr>
                <w:szCs w:val="22"/>
              </w:rPr>
            </w:pPr>
            <w:r w:rsidRPr="00620D3A">
              <w:rPr>
                <w:szCs w:val="22"/>
              </w:rPr>
              <w:t>鹏扬淳兴三个月债券</w:t>
            </w:r>
          </w:p>
        </w:tc>
      </w:tr>
      <w:tr w:rsidR="005C6B28" w:rsidTr="005C6B28">
        <w:trPr>
          <w:jc w:val="center"/>
        </w:trPr>
        <w:tc>
          <w:tcPr>
            <w:tcW w:w="3809" w:type="dxa"/>
            <w:gridSpan w:val="2"/>
            <w:tcMar>
              <w:left w:w="85" w:type="dxa"/>
              <w:right w:w="85" w:type="dxa"/>
            </w:tcMar>
            <w:vAlign w:val="center"/>
          </w:tcPr>
          <w:p w:rsidR="005C6B28" w:rsidRPr="00620D3A" w:rsidRDefault="005C6B28" w:rsidP="006A5544">
            <w:pPr>
              <w:rPr>
                <w:szCs w:val="22"/>
              </w:rPr>
            </w:pPr>
            <w:r w:rsidRPr="00620D3A">
              <w:rPr>
                <w:szCs w:val="22"/>
              </w:rPr>
              <w:t>基金主代码</w:t>
            </w:r>
          </w:p>
        </w:tc>
        <w:tc>
          <w:tcPr>
            <w:tcW w:w="5263" w:type="dxa"/>
            <w:gridSpan w:val="2"/>
            <w:tcMar>
              <w:left w:w="85" w:type="dxa"/>
              <w:right w:w="85" w:type="dxa"/>
            </w:tcMar>
            <w:vAlign w:val="center"/>
          </w:tcPr>
          <w:p w:rsidR="005C6B28" w:rsidRPr="00620D3A" w:rsidRDefault="005C6B28" w:rsidP="006A5544">
            <w:pPr>
              <w:jc w:val="left"/>
              <w:rPr>
                <w:szCs w:val="22"/>
              </w:rPr>
            </w:pPr>
            <w:r w:rsidRPr="00620D3A">
              <w:rPr>
                <w:szCs w:val="22"/>
              </w:rPr>
              <w:t>011619</w:t>
            </w:r>
          </w:p>
        </w:tc>
      </w:tr>
      <w:tr w:rsidR="005C6B28" w:rsidTr="005C6B28">
        <w:trPr>
          <w:jc w:val="center"/>
        </w:trPr>
        <w:tc>
          <w:tcPr>
            <w:tcW w:w="3809" w:type="dxa"/>
            <w:gridSpan w:val="2"/>
            <w:tcMar>
              <w:left w:w="85" w:type="dxa"/>
              <w:right w:w="85" w:type="dxa"/>
            </w:tcMar>
            <w:vAlign w:val="center"/>
          </w:tcPr>
          <w:p w:rsidR="005C6B28" w:rsidRPr="00620D3A" w:rsidRDefault="005C6B28" w:rsidP="006A5544">
            <w:pPr>
              <w:rPr>
                <w:szCs w:val="22"/>
              </w:rPr>
            </w:pPr>
            <w:r w:rsidRPr="00620D3A">
              <w:rPr>
                <w:szCs w:val="22"/>
              </w:rPr>
              <w:t>基金管理人名称</w:t>
            </w:r>
          </w:p>
        </w:tc>
        <w:tc>
          <w:tcPr>
            <w:tcW w:w="5263" w:type="dxa"/>
            <w:gridSpan w:val="2"/>
            <w:tcMar>
              <w:left w:w="85" w:type="dxa"/>
              <w:right w:w="85" w:type="dxa"/>
            </w:tcMar>
            <w:vAlign w:val="center"/>
          </w:tcPr>
          <w:p w:rsidR="005C6B28" w:rsidRPr="00620D3A" w:rsidRDefault="005C6B28" w:rsidP="006A5544">
            <w:pPr>
              <w:jc w:val="left"/>
              <w:rPr>
                <w:szCs w:val="22"/>
              </w:rPr>
            </w:pPr>
            <w:r w:rsidRPr="00620D3A">
              <w:rPr>
                <w:szCs w:val="22"/>
              </w:rPr>
              <w:t>鹏扬基金管理有限公司</w:t>
            </w:r>
          </w:p>
        </w:tc>
      </w:tr>
      <w:tr w:rsidR="005C6B28" w:rsidTr="005C6B28">
        <w:trPr>
          <w:jc w:val="center"/>
        </w:trPr>
        <w:tc>
          <w:tcPr>
            <w:tcW w:w="3809" w:type="dxa"/>
            <w:gridSpan w:val="2"/>
            <w:tcMar>
              <w:left w:w="85" w:type="dxa"/>
              <w:right w:w="85" w:type="dxa"/>
            </w:tcMar>
            <w:vAlign w:val="center"/>
          </w:tcPr>
          <w:p w:rsidR="005C6B28" w:rsidRPr="00620D3A" w:rsidRDefault="005C6B28" w:rsidP="006A5544">
            <w:pPr>
              <w:rPr>
                <w:szCs w:val="22"/>
              </w:rPr>
            </w:pPr>
            <w:r w:rsidRPr="00620D3A">
              <w:rPr>
                <w:szCs w:val="22"/>
              </w:rPr>
              <w:t>公告依据</w:t>
            </w:r>
          </w:p>
        </w:tc>
        <w:tc>
          <w:tcPr>
            <w:tcW w:w="5263" w:type="dxa"/>
            <w:gridSpan w:val="2"/>
            <w:tcMar>
              <w:left w:w="85" w:type="dxa"/>
              <w:right w:w="85" w:type="dxa"/>
            </w:tcMar>
            <w:vAlign w:val="center"/>
          </w:tcPr>
          <w:p w:rsidR="005C6B28" w:rsidRPr="00620D3A" w:rsidRDefault="005C6B28" w:rsidP="006A5544">
            <w:pPr>
              <w:jc w:val="left"/>
              <w:rPr>
                <w:szCs w:val="22"/>
              </w:rPr>
            </w:pPr>
            <w:r w:rsidRPr="00620D3A">
              <w:rPr>
                <w:szCs w:val="22"/>
              </w:rPr>
              <w:t>根据法律法规以及《鹏扬淳兴三个月定期开放债券型证券投资基金基金合同》、《鹏扬淳兴三个月定期开放债券型证券投资基金招募说明书》的有关规定。</w:t>
            </w:r>
          </w:p>
        </w:tc>
      </w:tr>
      <w:tr w:rsidR="005C6B28" w:rsidTr="005C6B28">
        <w:trPr>
          <w:jc w:val="center"/>
        </w:trPr>
        <w:tc>
          <w:tcPr>
            <w:tcW w:w="1209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5C6B28" w:rsidRDefault="005C6B28" w:rsidP="006A5544">
            <w:r w:rsidRPr="00620D3A">
              <w:rPr>
                <w:szCs w:val="22"/>
              </w:rPr>
              <w:t>恢复相关业务的日期及原因说明</w:t>
            </w:r>
          </w:p>
        </w:tc>
        <w:tc>
          <w:tcPr>
            <w:tcW w:w="2600" w:type="dxa"/>
            <w:tcMar>
              <w:left w:w="85" w:type="dxa"/>
              <w:right w:w="85" w:type="dxa"/>
            </w:tcMar>
            <w:vAlign w:val="center"/>
          </w:tcPr>
          <w:p w:rsidR="005C6B28" w:rsidRPr="00620D3A" w:rsidRDefault="005C6B28" w:rsidP="006A5544">
            <w:pPr>
              <w:rPr>
                <w:szCs w:val="22"/>
              </w:rPr>
            </w:pPr>
            <w:r w:rsidRPr="00620D3A">
              <w:rPr>
                <w:szCs w:val="22"/>
              </w:rPr>
              <w:t>恢复申购日</w:t>
            </w:r>
          </w:p>
        </w:tc>
        <w:tc>
          <w:tcPr>
            <w:tcW w:w="5263" w:type="dxa"/>
            <w:gridSpan w:val="2"/>
            <w:tcMar>
              <w:left w:w="85" w:type="dxa"/>
              <w:right w:w="85" w:type="dxa"/>
            </w:tcMar>
            <w:vAlign w:val="center"/>
          </w:tcPr>
          <w:p w:rsidR="005C6B28" w:rsidRPr="00620D3A" w:rsidRDefault="005C6B28" w:rsidP="006A5544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2026年1月29日</w:t>
            </w:r>
          </w:p>
        </w:tc>
      </w:tr>
      <w:tr w:rsidR="005C6B28" w:rsidTr="005C6B28">
        <w:trPr>
          <w:jc w:val="center"/>
        </w:trPr>
        <w:tc>
          <w:tcPr>
            <w:tcW w:w="1209" w:type="dxa"/>
            <w:vMerge/>
            <w:tcMar>
              <w:left w:w="85" w:type="dxa"/>
              <w:right w:w="85" w:type="dxa"/>
            </w:tcMar>
            <w:vAlign w:val="center"/>
          </w:tcPr>
          <w:p w:rsidR="005C6B28" w:rsidRDefault="005C6B28" w:rsidP="006A5544"/>
        </w:tc>
        <w:tc>
          <w:tcPr>
            <w:tcW w:w="2600" w:type="dxa"/>
            <w:tcMar>
              <w:left w:w="85" w:type="dxa"/>
              <w:right w:w="85" w:type="dxa"/>
            </w:tcMar>
            <w:vAlign w:val="center"/>
          </w:tcPr>
          <w:p w:rsidR="005C6B28" w:rsidRPr="00620D3A" w:rsidRDefault="005C6B28" w:rsidP="006A5544">
            <w:pPr>
              <w:rPr>
                <w:szCs w:val="22"/>
              </w:rPr>
            </w:pPr>
            <w:r w:rsidRPr="00620D3A">
              <w:rPr>
                <w:szCs w:val="22"/>
              </w:rPr>
              <w:t>恢复大额申购日</w:t>
            </w:r>
          </w:p>
        </w:tc>
        <w:tc>
          <w:tcPr>
            <w:tcW w:w="5263" w:type="dxa"/>
            <w:gridSpan w:val="2"/>
            <w:tcMar>
              <w:left w:w="85" w:type="dxa"/>
              <w:right w:w="85" w:type="dxa"/>
            </w:tcMar>
            <w:vAlign w:val="center"/>
          </w:tcPr>
          <w:p w:rsidR="005C6B28" w:rsidRPr="00620D3A" w:rsidRDefault="005C6B28" w:rsidP="006A5544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5C6B28" w:rsidTr="005C6B28">
        <w:trPr>
          <w:jc w:val="center"/>
        </w:trPr>
        <w:tc>
          <w:tcPr>
            <w:tcW w:w="1209" w:type="dxa"/>
            <w:vMerge/>
            <w:tcMar>
              <w:left w:w="85" w:type="dxa"/>
              <w:right w:w="85" w:type="dxa"/>
            </w:tcMar>
            <w:vAlign w:val="center"/>
          </w:tcPr>
          <w:p w:rsidR="005C6B28" w:rsidRDefault="005C6B28" w:rsidP="006A5544"/>
        </w:tc>
        <w:tc>
          <w:tcPr>
            <w:tcW w:w="2600" w:type="dxa"/>
            <w:tcMar>
              <w:left w:w="85" w:type="dxa"/>
              <w:right w:w="85" w:type="dxa"/>
            </w:tcMar>
            <w:vAlign w:val="center"/>
          </w:tcPr>
          <w:p w:rsidR="005C6B28" w:rsidRPr="00620D3A" w:rsidRDefault="005C6B28" w:rsidP="006A5544">
            <w:pPr>
              <w:rPr>
                <w:szCs w:val="22"/>
              </w:rPr>
            </w:pPr>
            <w:r w:rsidRPr="00620D3A">
              <w:rPr>
                <w:szCs w:val="22"/>
              </w:rPr>
              <w:t>恢复转换转入日</w:t>
            </w:r>
          </w:p>
        </w:tc>
        <w:tc>
          <w:tcPr>
            <w:tcW w:w="5263" w:type="dxa"/>
            <w:gridSpan w:val="2"/>
            <w:tcMar>
              <w:left w:w="85" w:type="dxa"/>
              <w:right w:w="85" w:type="dxa"/>
            </w:tcMar>
            <w:vAlign w:val="center"/>
          </w:tcPr>
          <w:p w:rsidR="005C6B28" w:rsidRPr="00620D3A" w:rsidRDefault="005C6B28" w:rsidP="006A5544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2026年1月29日</w:t>
            </w:r>
          </w:p>
        </w:tc>
      </w:tr>
      <w:tr w:rsidR="005C6B28" w:rsidTr="005C6B28">
        <w:trPr>
          <w:jc w:val="center"/>
        </w:trPr>
        <w:tc>
          <w:tcPr>
            <w:tcW w:w="1209" w:type="dxa"/>
            <w:vMerge/>
            <w:tcMar>
              <w:left w:w="85" w:type="dxa"/>
              <w:right w:w="85" w:type="dxa"/>
            </w:tcMar>
            <w:vAlign w:val="center"/>
          </w:tcPr>
          <w:p w:rsidR="005C6B28" w:rsidRDefault="005C6B28" w:rsidP="006A5544"/>
        </w:tc>
        <w:tc>
          <w:tcPr>
            <w:tcW w:w="2600" w:type="dxa"/>
            <w:tcMar>
              <w:left w:w="85" w:type="dxa"/>
              <w:right w:w="85" w:type="dxa"/>
            </w:tcMar>
            <w:vAlign w:val="center"/>
          </w:tcPr>
          <w:p w:rsidR="005C6B28" w:rsidRPr="00620D3A" w:rsidRDefault="005C6B28" w:rsidP="006A5544">
            <w:pPr>
              <w:rPr>
                <w:szCs w:val="22"/>
              </w:rPr>
            </w:pPr>
            <w:r w:rsidRPr="00620D3A">
              <w:rPr>
                <w:szCs w:val="22"/>
              </w:rPr>
              <w:t>恢复大额转换转入日</w:t>
            </w:r>
          </w:p>
        </w:tc>
        <w:tc>
          <w:tcPr>
            <w:tcW w:w="5263" w:type="dxa"/>
            <w:gridSpan w:val="2"/>
            <w:tcMar>
              <w:left w:w="85" w:type="dxa"/>
              <w:right w:w="85" w:type="dxa"/>
            </w:tcMar>
            <w:vAlign w:val="center"/>
          </w:tcPr>
          <w:p w:rsidR="005C6B28" w:rsidRPr="00620D3A" w:rsidRDefault="005C6B28" w:rsidP="006A5544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5C6B28" w:rsidTr="005C6B28">
        <w:trPr>
          <w:jc w:val="center"/>
        </w:trPr>
        <w:tc>
          <w:tcPr>
            <w:tcW w:w="1209" w:type="dxa"/>
            <w:vMerge/>
            <w:tcMar>
              <w:left w:w="85" w:type="dxa"/>
              <w:right w:w="85" w:type="dxa"/>
            </w:tcMar>
            <w:vAlign w:val="center"/>
          </w:tcPr>
          <w:p w:rsidR="005C6B28" w:rsidRDefault="005C6B28" w:rsidP="006A5544"/>
        </w:tc>
        <w:tc>
          <w:tcPr>
            <w:tcW w:w="2600" w:type="dxa"/>
            <w:tcMar>
              <w:left w:w="85" w:type="dxa"/>
              <w:right w:w="85" w:type="dxa"/>
            </w:tcMar>
            <w:vAlign w:val="center"/>
          </w:tcPr>
          <w:p w:rsidR="005C6B28" w:rsidRPr="00620D3A" w:rsidRDefault="005C6B28" w:rsidP="006A5544">
            <w:pPr>
              <w:rPr>
                <w:szCs w:val="22"/>
              </w:rPr>
            </w:pPr>
            <w:r w:rsidRPr="00620D3A">
              <w:rPr>
                <w:szCs w:val="22"/>
              </w:rPr>
              <w:t>恢复赎回日</w:t>
            </w:r>
          </w:p>
        </w:tc>
        <w:tc>
          <w:tcPr>
            <w:tcW w:w="5263" w:type="dxa"/>
            <w:gridSpan w:val="2"/>
            <w:tcMar>
              <w:left w:w="85" w:type="dxa"/>
              <w:right w:w="85" w:type="dxa"/>
            </w:tcMar>
            <w:vAlign w:val="center"/>
          </w:tcPr>
          <w:p w:rsidR="005C6B28" w:rsidRPr="00620D3A" w:rsidRDefault="005C6B28" w:rsidP="006A5544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5C6B28" w:rsidTr="005C6B28">
        <w:trPr>
          <w:jc w:val="center"/>
        </w:trPr>
        <w:tc>
          <w:tcPr>
            <w:tcW w:w="1209" w:type="dxa"/>
            <w:vMerge/>
            <w:tcMar>
              <w:left w:w="85" w:type="dxa"/>
              <w:right w:w="85" w:type="dxa"/>
            </w:tcMar>
            <w:vAlign w:val="center"/>
          </w:tcPr>
          <w:p w:rsidR="005C6B28" w:rsidRDefault="005C6B28" w:rsidP="006A5544"/>
        </w:tc>
        <w:tc>
          <w:tcPr>
            <w:tcW w:w="2600" w:type="dxa"/>
            <w:tcMar>
              <w:left w:w="85" w:type="dxa"/>
              <w:right w:w="85" w:type="dxa"/>
            </w:tcMar>
            <w:vAlign w:val="center"/>
          </w:tcPr>
          <w:p w:rsidR="005C6B28" w:rsidRPr="00620D3A" w:rsidRDefault="005C6B28" w:rsidP="006A5544">
            <w:pPr>
              <w:rPr>
                <w:szCs w:val="22"/>
              </w:rPr>
            </w:pPr>
            <w:r w:rsidRPr="00620D3A">
              <w:rPr>
                <w:szCs w:val="22"/>
              </w:rPr>
              <w:t>恢复转换转出日</w:t>
            </w:r>
          </w:p>
        </w:tc>
        <w:tc>
          <w:tcPr>
            <w:tcW w:w="5263" w:type="dxa"/>
            <w:gridSpan w:val="2"/>
            <w:tcMar>
              <w:left w:w="85" w:type="dxa"/>
              <w:right w:w="85" w:type="dxa"/>
            </w:tcMar>
            <w:vAlign w:val="center"/>
          </w:tcPr>
          <w:p w:rsidR="005C6B28" w:rsidRPr="00620D3A" w:rsidRDefault="005C6B28" w:rsidP="006A5544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5C6B28" w:rsidTr="005C6B28">
        <w:trPr>
          <w:jc w:val="center"/>
        </w:trPr>
        <w:tc>
          <w:tcPr>
            <w:tcW w:w="1209" w:type="dxa"/>
            <w:vMerge/>
            <w:tcMar>
              <w:left w:w="85" w:type="dxa"/>
              <w:right w:w="85" w:type="dxa"/>
            </w:tcMar>
            <w:vAlign w:val="center"/>
          </w:tcPr>
          <w:p w:rsidR="005C6B28" w:rsidRDefault="005C6B28" w:rsidP="006A5544"/>
        </w:tc>
        <w:tc>
          <w:tcPr>
            <w:tcW w:w="2600" w:type="dxa"/>
            <w:tcMar>
              <w:left w:w="85" w:type="dxa"/>
              <w:right w:w="85" w:type="dxa"/>
            </w:tcMar>
            <w:vAlign w:val="center"/>
          </w:tcPr>
          <w:p w:rsidR="005C6B28" w:rsidRPr="00620D3A" w:rsidRDefault="005C6B28" w:rsidP="006A5544">
            <w:pPr>
              <w:rPr>
                <w:szCs w:val="22"/>
              </w:rPr>
            </w:pPr>
            <w:r w:rsidRPr="00620D3A">
              <w:rPr>
                <w:szCs w:val="22"/>
              </w:rPr>
              <w:t>恢复定期定额投资日</w:t>
            </w:r>
          </w:p>
        </w:tc>
        <w:tc>
          <w:tcPr>
            <w:tcW w:w="5263" w:type="dxa"/>
            <w:gridSpan w:val="2"/>
            <w:tcMar>
              <w:left w:w="85" w:type="dxa"/>
              <w:right w:w="85" w:type="dxa"/>
            </w:tcMar>
            <w:vAlign w:val="center"/>
          </w:tcPr>
          <w:p w:rsidR="005C6B28" w:rsidRPr="00620D3A" w:rsidRDefault="005C6B28" w:rsidP="006A5544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5C6B28" w:rsidTr="005C6B28">
        <w:trPr>
          <w:jc w:val="center"/>
        </w:trPr>
        <w:tc>
          <w:tcPr>
            <w:tcW w:w="1209" w:type="dxa"/>
            <w:vMerge/>
            <w:tcMar>
              <w:left w:w="85" w:type="dxa"/>
              <w:right w:w="85" w:type="dxa"/>
            </w:tcMar>
            <w:vAlign w:val="center"/>
          </w:tcPr>
          <w:p w:rsidR="005C6B28" w:rsidRDefault="005C6B28" w:rsidP="006A5544"/>
        </w:tc>
        <w:tc>
          <w:tcPr>
            <w:tcW w:w="2600" w:type="dxa"/>
            <w:tcMar>
              <w:left w:w="85" w:type="dxa"/>
              <w:right w:w="85" w:type="dxa"/>
            </w:tcMar>
            <w:vAlign w:val="center"/>
          </w:tcPr>
          <w:p w:rsidR="005C6B28" w:rsidRPr="00620D3A" w:rsidRDefault="005C6B28" w:rsidP="003F1CCE">
            <w:pPr>
              <w:rPr>
                <w:szCs w:val="22"/>
              </w:rPr>
            </w:pPr>
            <w:r w:rsidRPr="00620D3A">
              <w:rPr>
                <w:szCs w:val="22"/>
              </w:rPr>
              <w:t>恢复申购</w:t>
            </w:r>
            <w:r w:rsidR="003F1CCE">
              <w:rPr>
                <w:rFonts w:hint="eastAsia"/>
                <w:szCs w:val="22"/>
              </w:rPr>
              <w:t>、</w:t>
            </w:r>
            <w:r w:rsidRPr="00620D3A">
              <w:rPr>
                <w:szCs w:val="22"/>
              </w:rPr>
              <w:t>转换转入的原因说明</w:t>
            </w:r>
          </w:p>
        </w:tc>
        <w:tc>
          <w:tcPr>
            <w:tcW w:w="5263" w:type="dxa"/>
            <w:gridSpan w:val="2"/>
            <w:tcMar>
              <w:left w:w="85" w:type="dxa"/>
              <w:right w:w="85" w:type="dxa"/>
            </w:tcMar>
            <w:vAlign w:val="center"/>
          </w:tcPr>
          <w:p w:rsidR="005C6B28" w:rsidRPr="00620D3A" w:rsidRDefault="005C6B28" w:rsidP="006A5544">
            <w:pPr>
              <w:jc w:val="left"/>
              <w:rPr>
                <w:szCs w:val="22"/>
              </w:rPr>
            </w:pPr>
            <w:r w:rsidRPr="00620D3A">
              <w:rPr>
                <w:szCs w:val="22"/>
              </w:rPr>
              <w:t>本基金之前考虑暂停个人投资者申购、转换转入的因素对基金投资运作的影响已消除</w:t>
            </w:r>
          </w:p>
        </w:tc>
      </w:tr>
      <w:tr w:rsidR="003F1CCE" w:rsidTr="003F1CCE">
        <w:trPr>
          <w:jc w:val="center"/>
        </w:trPr>
        <w:tc>
          <w:tcPr>
            <w:tcW w:w="3809" w:type="dxa"/>
            <w:gridSpan w:val="2"/>
            <w:tcMar>
              <w:left w:w="85" w:type="dxa"/>
              <w:right w:w="85" w:type="dxa"/>
            </w:tcMar>
            <w:vAlign w:val="center"/>
          </w:tcPr>
          <w:p w:rsidR="005C6B28" w:rsidRPr="00620D3A" w:rsidRDefault="005C6B28" w:rsidP="005C6B28">
            <w:pPr>
              <w:rPr>
                <w:szCs w:val="22"/>
              </w:rPr>
            </w:pPr>
            <w:r>
              <w:rPr>
                <w:szCs w:val="22"/>
              </w:rPr>
              <w:t>下属</w:t>
            </w:r>
            <w:r w:rsidR="003F1CCE">
              <w:rPr>
                <w:szCs w:val="22"/>
              </w:rPr>
              <w:t>分类</w:t>
            </w:r>
            <w:r w:rsidRPr="00620D3A">
              <w:rPr>
                <w:szCs w:val="22"/>
              </w:rPr>
              <w:t>基金的基金简称</w:t>
            </w:r>
          </w:p>
        </w:tc>
        <w:tc>
          <w:tcPr>
            <w:tcW w:w="2629" w:type="dxa"/>
            <w:tcMar>
              <w:left w:w="85" w:type="dxa"/>
              <w:right w:w="85" w:type="dxa"/>
            </w:tcMar>
            <w:vAlign w:val="center"/>
          </w:tcPr>
          <w:p w:rsidR="005C6B28" w:rsidRPr="00776D16" w:rsidRDefault="005C6B28" w:rsidP="005C6B28">
            <w:r w:rsidRPr="00776D16">
              <w:rPr>
                <w:rFonts w:hint="eastAsia"/>
              </w:rPr>
              <w:t>鹏扬淳兴三个月债券A</w:t>
            </w:r>
          </w:p>
        </w:tc>
        <w:tc>
          <w:tcPr>
            <w:tcW w:w="2629" w:type="dxa"/>
            <w:tcMar>
              <w:left w:w="85" w:type="dxa"/>
              <w:right w:w="85" w:type="dxa"/>
            </w:tcMar>
            <w:vAlign w:val="center"/>
          </w:tcPr>
          <w:p w:rsidR="005C6B28" w:rsidRPr="00776D16" w:rsidRDefault="005C6B28" w:rsidP="005C6B28">
            <w:r w:rsidRPr="00776D16">
              <w:rPr>
                <w:rFonts w:hint="eastAsia"/>
              </w:rPr>
              <w:t>鹏扬淳兴三个月债券C</w:t>
            </w:r>
          </w:p>
        </w:tc>
      </w:tr>
      <w:tr w:rsidR="003F1CCE" w:rsidTr="003F1CCE">
        <w:trPr>
          <w:jc w:val="center"/>
        </w:trPr>
        <w:tc>
          <w:tcPr>
            <w:tcW w:w="3809" w:type="dxa"/>
            <w:gridSpan w:val="2"/>
            <w:tcMar>
              <w:left w:w="85" w:type="dxa"/>
              <w:right w:w="85" w:type="dxa"/>
            </w:tcMar>
            <w:vAlign w:val="center"/>
          </w:tcPr>
          <w:p w:rsidR="005C6B28" w:rsidRPr="00620D3A" w:rsidRDefault="005C6B28" w:rsidP="005C6B28">
            <w:pPr>
              <w:rPr>
                <w:szCs w:val="22"/>
              </w:rPr>
            </w:pPr>
            <w:r w:rsidRPr="00620D3A">
              <w:rPr>
                <w:szCs w:val="22"/>
              </w:rPr>
              <w:t>下属</w:t>
            </w:r>
            <w:r w:rsidR="003F1CCE">
              <w:rPr>
                <w:szCs w:val="22"/>
              </w:rPr>
              <w:t>分类</w:t>
            </w:r>
            <w:r w:rsidRPr="00620D3A">
              <w:rPr>
                <w:szCs w:val="22"/>
              </w:rPr>
              <w:t>基金的交易代码</w:t>
            </w:r>
          </w:p>
        </w:tc>
        <w:tc>
          <w:tcPr>
            <w:tcW w:w="2629" w:type="dxa"/>
            <w:tcMar>
              <w:left w:w="85" w:type="dxa"/>
              <w:right w:w="85" w:type="dxa"/>
            </w:tcMar>
            <w:vAlign w:val="center"/>
          </w:tcPr>
          <w:p w:rsidR="005C6B28" w:rsidRPr="00776D16" w:rsidRDefault="005C6B28" w:rsidP="005C6B28">
            <w:r w:rsidRPr="00776D16">
              <w:rPr>
                <w:rFonts w:hint="eastAsia"/>
              </w:rPr>
              <w:t xml:space="preserve">011619 </w:t>
            </w:r>
          </w:p>
        </w:tc>
        <w:tc>
          <w:tcPr>
            <w:tcW w:w="2629" w:type="dxa"/>
            <w:tcMar>
              <w:left w:w="85" w:type="dxa"/>
              <w:right w:w="85" w:type="dxa"/>
            </w:tcMar>
            <w:vAlign w:val="center"/>
          </w:tcPr>
          <w:p w:rsidR="005C6B28" w:rsidRPr="00776D16" w:rsidRDefault="005C6B28" w:rsidP="005C6B28">
            <w:r w:rsidRPr="00776D16">
              <w:rPr>
                <w:rFonts w:hint="eastAsia"/>
              </w:rPr>
              <w:t xml:space="preserve">011620 </w:t>
            </w:r>
          </w:p>
        </w:tc>
      </w:tr>
      <w:tr w:rsidR="003F1CCE" w:rsidTr="003F1CCE">
        <w:trPr>
          <w:jc w:val="center"/>
        </w:trPr>
        <w:tc>
          <w:tcPr>
            <w:tcW w:w="3809" w:type="dxa"/>
            <w:gridSpan w:val="2"/>
            <w:tcMar>
              <w:left w:w="85" w:type="dxa"/>
              <w:right w:w="85" w:type="dxa"/>
            </w:tcMar>
            <w:vAlign w:val="center"/>
          </w:tcPr>
          <w:p w:rsidR="005C6B28" w:rsidRPr="00620D3A" w:rsidRDefault="005C6B28" w:rsidP="003F1CCE">
            <w:pPr>
              <w:rPr>
                <w:szCs w:val="22"/>
              </w:rPr>
            </w:pPr>
            <w:r w:rsidRPr="00620D3A">
              <w:rPr>
                <w:szCs w:val="22"/>
              </w:rPr>
              <w:t>该</w:t>
            </w:r>
            <w:r w:rsidR="003F1CCE">
              <w:rPr>
                <w:szCs w:val="22"/>
              </w:rPr>
              <w:t>分类</w:t>
            </w:r>
            <w:r w:rsidRPr="00620D3A">
              <w:rPr>
                <w:szCs w:val="22"/>
              </w:rPr>
              <w:t>基金是否恢复申购</w:t>
            </w:r>
            <w:r w:rsidR="003F1CCE">
              <w:rPr>
                <w:rFonts w:hint="eastAsia"/>
                <w:szCs w:val="22"/>
              </w:rPr>
              <w:t>、</w:t>
            </w:r>
            <w:r w:rsidRPr="00620D3A">
              <w:rPr>
                <w:szCs w:val="22"/>
              </w:rPr>
              <w:t>转换转入</w:t>
            </w:r>
          </w:p>
        </w:tc>
        <w:tc>
          <w:tcPr>
            <w:tcW w:w="2629" w:type="dxa"/>
            <w:tcMar>
              <w:left w:w="85" w:type="dxa"/>
              <w:right w:w="85" w:type="dxa"/>
            </w:tcMar>
            <w:vAlign w:val="center"/>
          </w:tcPr>
          <w:p w:rsidR="005C6B28" w:rsidRPr="00776D16" w:rsidRDefault="005C6B28" w:rsidP="005C6B28">
            <w:r w:rsidRPr="00776D16">
              <w:rPr>
                <w:rFonts w:hint="eastAsia"/>
              </w:rPr>
              <w:t>是</w:t>
            </w:r>
          </w:p>
        </w:tc>
        <w:tc>
          <w:tcPr>
            <w:tcW w:w="2629" w:type="dxa"/>
            <w:tcMar>
              <w:left w:w="85" w:type="dxa"/>
              <w:right w:w="85" w:type="dxa"/>
            </w:tcMar>
            <w:vAlign w:val="center"/>
          </w:tcPr>
          <w:p w:rsidR="005C6B28" w:rsidRPr="00776D16" w:rsidRDefault="005C6B28" w:rsidP="005C6B28">
            <w:r w:rsidRPr="00776D16">
              <w:rPr>
                <w:rFonts w:hint="eastAsia"/>
              </w:rPr>
              <w:t>是</w:t>
            </w:r>
          </w:p>
        </w:tc>
      </w:tr>
    </w:tbl>
    <w:p w:rsidR="00426411" w:rsidRDefault="00426411" w:rsidP="00426411">
      <w:pPr>
        <w:pStyle w:val="1"/>
        <w:spacing w:before="156" w:after="156"/>
      </w:pPr>
      <w:r w:rsidRPr="00426411">
        <w:rPr>
          <w:rFonts w:hint="eastAsia"/>
        </w:rPr>
        <w:t>其他需要提示的事项</w:t>
      </w:r>
    </w:p>
    <w:p w:rsidR="00426411" w:rsidRDefault="00426411" w:rsidP="00623685">
      <w:pPr>
        <w:pStyle w:val="a8"/>
        <w:ind w:firstLine="420"/>
      </w:pPr>
      <w:r w:rsidRPr="00620D3A">
        <w:t>（1）本基金管理人于2023年2月7日公告，鹏扬淳兴三个月定期开放债券型证券投资基金（以下简称</w:t>
      </w:r>
      <w:r w:rsidRPr="00620D3A">
        <w:t>“</w:t>
      </w:r>
      <w:r w:rsidRPr="00620D3A">
        <w:t>本基金</w:t>
      </w:r>
      <w:r w:rsidRPr="00620D3A">
        <w:t>”</w:t>
      </w:r>
      <w:r w:rsidRPr="00620D3A">
        <w:t>）自2023年2月7日起（含当日）暂停接受个人投资者对本基金的申购、转换转入业务的申请；本基金管理人现决定自2026年1月29日起（含当日）取消上述限制，恢复办理本基金个人投资者对本基金的申购、转换转入业务。</w:t>
      </w:r>
      <w:r w:rsidRPr="00620D3A">
        <w:br/>
        <w:t xml:space="preserve">    （2）本公告仅对本基金恢复个人投资者申购、转换转入业务有关事项予以说明。投资者欲了解本基金的详细情况，可通过本公司网站或相关销售机构查阅《鹏扬淳兴三个月定期开放债券型证券投资基金基金合同》和《鹏扬淳兴三个月定期开放债券型证券投资基金招募说明书》等资料。</w:t>
      </w:r>
      <w:r w:rsidRPr="00620D3A">
        <w:br/>
        <w:t xml:space="preserve">    （3）投资者如有疑问，请拨打本基金管理人客户服务热线： 400-968-6688(免长途通话费)，或登录网站 www.pyamc.com 获取相关信息。</w:t>
      </w:r>
      <w:r w:rsidRPr="00620D3A">
        <w:br/>
      </w:r>
      <w:r w:rsidRPr="00620D3A">
        <w:lastRenderedPageBreak/>
        <w:t xml:space="preserve">    </w:t>
      </w:r>
      <w:r w:rsidRPr="00620D3A">
        <w:br/>
        <w:t xml:space="preserve">    风险提示：本公司承诺以诚实信用、勤勉尽责的原则管理和运用基金财产，但不保证本基金一定盈利，也不保证最低收益。基金的过往业绩不代表未来业绩。敬请广大投资者注意投资风险，理性投资。</w:t>
      </w:r>
      <w:r w:rsidRPr="00620D3A">
        <w:br/>
        <w:t xml:space="preserve">    特此公告。</w:t>
      </w:r>
    </w:p>
    <w:p w:rsidR="00C107DC" w:rsidRPr="003F1CCE" w:rsidRDefault="00C107DC" w:rsidP="00623685">
      <w:pPr>
        <w:pStyle w:val="a8"/>
        <w:ind w:firstLine="420"/>
      </w:pPr>
    </w:p>
    <w:p w:rsidR="00C107DC" w:rsidRPr="003F1CCE" w:rsidRDefault="00C107DC" w:rsidP="00623685">
      <w:pPr>
        <w:pStyle w:val="a8"/>
        <w:ind w:firstLine="420"/>
      </w:pPr>
    </w:p>
    <w:p w:rsidR="00C107DC" w:rsidRPr="003F1CCE" w:rsidRDefault="00C107DC" w:rsidP="002E5986">
      <w:pPr>
        <w:pStyle w:val="a8"/>
        <w:ind w:firstLine="420"/>
        <w:jc w:val="right"/>
      </w:pPr>
      <w:r w:rsidRPr="003F1CCE">
        <w:rPr>
          <w:rFonts w:hint="eastAsia"/>
        </w:rPr>
        <w:t>鹏扬基金管理有限公司</w:t>
      </w:r>
    </w:p>
    <w:p w:rsidR="00C107DC" w:rsidRPr="003F1CCE" w:rsidRDefault="00C107DC" w:rsidP="002E5986">
      <w:pPr>
        <w:pStyle w:val="a8"/>
        <w:ind w:firstLine="420"/>
        <w:jc w:val="right"/>
      </w:pPr>
      <w:r w:rsidRPr="003F1CCE">
        <w:rPr>
          <w:rFonts w:hint="eastAsia"/>
        </w:rPr>
        <w:t>2026年1月29日</w:t>
      </w:r>
    </w:p>
    <w:sectPr w:rsidR="00C107DC" w:rsidRPr="003F1CCE" w:rsidSect="00947BB3">
      <w:headerReference w:type="default" r:id="rId8"/>
      <w:footerReference w:type="default" r:id="rId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F91" w:rsidRDefault="00841F91" w:rsidP="00426411">
      <w:r>
        <w:separator/>
      </w:r>
    </w:p>
  </w:endnote>
  <w:endnote w:type="continuationSeparator" w:id="0">
    <w:p w:rsidR="00841F91" w:rsidRDefault="00841F91" w:rsidP="00426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7DC" w:rsidRDefault="00C107DC" w:rsidP="00C107DC">
    <w:pPr>
      <w:pStyle w:val="a4"/>
      <w:jc w:val="center"/>
    </w:pPr>
    <w:r w:rsidRPr="00C107DC">
      <w:rPr>
        <w:rFonts w:hint="eastAsia"/>
      </w:rPr>
      <w:t>第</w:t>
    </w:r>
    <w:r w:rsidR="00D50977"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 w:rsidR="00D50977">
      <w:fldChar w:fldCharType="separate"/>
    </w:r>
    <w:r w:rsidR="006903D6">
      <w:rPr>
        <w:noProof/>
      </w:rPr>
      <w:t>1</w:t>
    </w:r>
    <w:r w:rsidR="00D50977">
      <w:fldChar w:fldCharType="end"/>
    </w:r>
    <w:r w:rsidRPr="00C107DC">
      <w:rPr>
        <w:rFonts w:hint="eastAsia"/>
      </w:rPr>
      <w:t>页</w:t>
    </w:r>
    <w:r w:rsidRPr="00C107DC">
      <w:rPr>
        <w:rFonts w:hint="eastAsia"/>
      </w:rPr>
      <w:t xml:space="preserve"> </w:t>
    </w:r>
    <w:r w:rsidRPr="00C107DC">
      <w:rPr>
        <w:rFonts w:hint="eastAsia"/>
      </w:rPr>
      <w:t>共</w:t>
    </w:r>
    <w:fldSimple w:instr=" NUMPAGES   \* MERGEFORMAT ">
      <w:r w:rsidR="006903D6">
        <w:rPr>
          <w:noProof/>
        </w:rPr>
        <w:t>2</w:t>
      </w:r>
    </w:fldSimple>
    <w:r w:rsidRPr="00C107DC"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F91" w:rsidRDefault="00841F91" w:rsidP="00426411">
      <w:r>
        <w:separator/>
      </w:r>
    </w:p>
  </w:footnote>
  <w:footnote w:type="continuationSeparator" w:id="0">
    <w:p w:rsidR="00841F91" w:rsidRDefault="00841F91" w:rsidP="004264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2F3" w:rsidRDefault="005D72F3">
    <w:pPr>
      <w:pBdr>
        <w:between w:val="single" w:sz="3" w:space="0" w:color="000000"/>
      </w:pBdr>
      <w:jc w:val="right"/>
    </w:pPr>
    <w:r>
      <w:rPr>
        <w:rFonts w:hAnsi="宋体" w:hint="eastAsia"/>
        <w:bCs/>
        <w:color w:val="000000"/>
        <w:sz w:val="18"/>
        <w:szCs w:val="18"/>
      </w:rPr>
      <w:t>鹏扬淳兴三个月定期开放债券型证券投资基金恢复个人投资者申购、转换转入业务的公告</w:t>
    </w:r>
  </w:p>
  <w:p w:rsidR="001D12F3" w:rsidRDefault="001D12F3">
    <w:pPr>
      <w:pBdr>
        <w:between w:val="single" w:sz="3" w:space="0" w:color="000000"/>
      </w:pBd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C29A3"/>
    <w:multiLevelType w:val="hybridMultilevel"/>
    <w:tmpl w:val="25B86EF4"/>
    <w:lvl w:ilvl="0" w:tplc="0409000F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EB2AD6"/>
    <w:multiLevelType w:val="multilevel"/>
    <w:tmpl w:val="37AE69B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536714E"/>
    <w:multiLevelType w:val="hybridMultilevel"/>
    <w:tmpl w:val="2898C116"/>
    <w:lvl w:ilvl="0" w:tplc="9156F364">
      <w:start w:val="1"/>
      <w:numFmt w:val="decimal"/>
      <w:lvlText w:val="%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568A"/>
    <w:rsid w:val="00034151"/>
    <w:rsid w:val="000465BE"/>
    <w:rsid w:val="0005575C"/>
    <w:rsid w:val="000873D4"/>
    <w:rsid w:val="000A27E1"/>
    <w:rsid w:val="000E6C0C"/>
    <w:rsid w:val="00166BB5"/>
    <w:rsid w:val="00174082"/>
    <w:rsid w:val="00195C8F"/>
    <w:rsid w:val="001D12F3"/>
    <w:rsid w:val="001F2796"/>
    <w:rsid w:val="0023451A"/>
    <w:rsid w:val="00253457"/>
    <w:rsid w:val="002C40DA"/>
    <w:rsid w:val="002E5986"/>
    <w:rsid w:val="003009B4"/>
    <w:rsid w:val="00313E88"/>
    <w:rsid w:val="00322605"/>
    <w:rsid w:val="003A3C58"/>
    <w:rsid w:val="003A6C48"/>
    <w:rsid w:val="003B7BEB"/>
    <w:rsid w:val="003F1114"/>
    <w:rsid w:val="003F1CCE"/>
    <w:rsid w:val="00426411"/>
    <w:rsid w:val="005C6647"/>
    <w:rsid w:val="005C6B28"/>
    <w:rsid w:val="005D72F3"/>
    <w:rsid w:val="005D7362"/>
    <w:rsid w:val="00620D3A"/>
    <w:rsid w:val="00623685"/>
    <w:rsid w:val="00670EF5"/>
    <w:rsid w:val="00676D27"/>
    <w:rsid w:val="0068568A"/>
    <w:rsid w:val="006858D8"/>
    <w:rsid w:val="006903D6"/>
    <w:rsid w:val="00694117"/>
    <w:rsid w:val="006A5544"/>
    <w:rsid w:val="00731677"/>
    <w:rsid w:val="00785DAC"/>
    <w:rsid w:val="007E74F8"/>
    <w:rsid w:val="00825FAD"/>
    <w:rsid w:val="00827549"/>
    <w:rsid w:val="0083057E"/>
    <w:rsid w:val="00841F91"/>
    <w:rsid w:val="00852BDE"/>
    <w:rsid w:val="0088540A"/>
    <w:rsid w:val="00885CEF"/>
    <w:rsid w:val="008C57FA"/>
    <w:rsid w:val="008D4E8A"/>
    <w:rsid w:val="009172BE"/>
    <w:rsid w:val="00947BB3"/>
    <w:rsid w:val="00966955"/>
    <w:rsid w:val="009D08BB"/>
    <w:rsid w:val="00A15FEE"/>
    <w:rsid w:val="00A97F5C"/>
    <w:rsid w:val="00AC4D1F"/>
    <w:rsid w:val="00B1701C"/>
    <w:rsid w:val="00C01F4A"/>
    <w:rsid w:val="00C107DC"/>
    <w:rsid w:val="00C43BED"/>
    <w:rsid w:val="00C77B84"/>
    <w:rsid w:val="00CA7993"/>
    <w:rsid w:val="00D14C70"/>
    <w:rsid w:val="00D50977"/>
    <w:rsid w:val="00D64DF6"/>
    <w:rsid w:val="00D82785"/>
    <w:rsid w:val="00D91205"/>
    <w:rsid w:val="00DA2749"/>
    <w:rsid w:val="00E01C9B"/>
    <w:rsid w:val="00E250FD"/>
    <w:rsid w:val="00E33A18"/>
    <w:rsid w:val="00E942A7"/>
    <w:rsid w:val="00EA2AD0"/>
    <w:rsid w:val="00EF3257"/>
    <w:rsid w:val="00F21E20"/>
    <w:rsid w:val="00F55506"/>
    <w:rsid w:val="00F74790"/>
    <w:rsid w:val="00F91E38"/>
    <w:rsid w:val="00FA5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623685"/>
    <w:pPr>
      <w:widowControl w:val="0"/>
      <w:jc w:val="both"/>
    </w:pPr>
    <w:rPr>
      <w:rFonts w:ascii="宋体" w:eastAsia="宋体"/>
    </w:rPr>
  </w:style>
  <w:style w:type="paragraph" w:styleId="1">
    <w:name w:val="heading 1"/>
    <w:basedOn w:val="a"/>
    <w:next w:val="a"/>
    <w:link w:val="1Char"/>
    <w:uiPriority w:val="9"/>
    <w:qFormat/>
    <w:rsid w:val="00623685"/>
    <w:pPr>
      <w:keepNext/>
      <w:keepLines/>
      <w:numPr>
        <w:numId w:val="2"/>
      </w:numPr>
      <w:spacing w:beforeLines="50" w:afterLines="50"/>
      <w:jc w:val="left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rsid w:val="007E74F8"/>
    <w:pPr>
      <w:keepNext/>
      <w:keepLines/>
      <w:numPr>
        <w:numId w:val="3"/>
      </w:numPr>
      <w:spacing w:before="260" w:after="260" w:line="416" w:lineRule="auto"/>
      <w:ind w:left="420" w:hanging="42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E74F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426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/>
      <w:szCs w:val="18"/>
    </w:rPr>
  </w:style>
  <w:style w:type="character" w:customStyle="1" w:styleId="Char">
    <w:name w:val="页眉 Char"/>
    <w:basedOn w:val="a0"/>
    <w:link w:val="a3"/>
    <w:uiPriority w:val="99"/>
    <w:rsid w:val="004264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6411"/>
    <w:pPr>
      <w:tabs>
        <w:tab w:val="center" w:pos="4153"/>
        <w:tab w:val="right" w:pos="8306"/>
      </w:tabs>
      <w:snapToGrid w:val="0"/>
      <w:jc w:val="left"/>
    </w:pPr>
    <w:rPr>
      <w:rFonts w:asciiTheme="minorHAnsi"/>
      <w:szCs w:val="18"/>
    </w:rPr>
  </w:style>
  <w:style w:type="character" w:customStyle="1" w:styleId="Char0">
    <w:name w:val="页脚 Char"/>
    <w:basedOn w:val="a0"/>
    <w:link w:val="a4"/>
    <w:uiPriority w:val="99"/>
    <w:rsid w:val="0042641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23685"/>
    <w:rPr>
      <w:rFonts w:ascii="宋体" w:eastAsia="宋体"/>
      <w:b/>
      <w:bCs/>
      <w:kern w:val="44"/>
      <w:sz w:val="28"/>
      <w:szCs w:val="44"/>
    </w:rPr>
  </w:style>
  <w:style w:type="character" w:styleId="a5">
    <w:name w:val="footnote reference"/>
    <w:rsid w:val="00426411"/>
    <w:rPr>
      <w:vertAlign w:val="superscript"/>
    </w:rPr>
  </w:style>
  <w:style w:type="paragraph" w:styleId="a6">
    <w:name w:val="footnote text"/>
    <w:basedOn w:val="a"/>
    <w:link w:val="Char1"/>
    <w:rsid w:val="00426411"/>
    <w:pPr>
      <w:snapToGrid w:val="0"/>
      <w:jc w:val="left"/>
    </w:pPr>
  </w:style>
  <w:style w:type="character" w:customStyle="1" w:styleId="Char1">
    <w:name w:val="脚注文本 Char"/>
    <w:basedOn w:val="a0"/>
    <w:link w:val="a6"/>
    <w:rsid w:val="00426411"/>
    <w:rPr>
      <w:rFonts w:ascii="Times New Roman" w:eastAsia="宋体" w:hAnsi="Times New Roman" w:cs="Times New Roman"/>
      <w:sz w:val="18"/>
      <w:szCs w:val="20"/>
    </w:rPr>
  </w:style>
  <w:style w:type="paragraph" w:styleId="TOC">
    <w:name w:val="TOC Heading"/>
    <w:basedOn w:val="1"/>
    <w:next w:val="a"/>
    <w:uiPriority w:val="39"/>
    <w:unhideWhenUsed/>
    <w:rsid w:val="00C77B84"/>
    <w:pPr>
      <w:widowControl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C77B84"/>
  </w:style>
  <w:style w:type="character" w:styleId="a7">
    <w:name w:val="Hyperlink"/>
    <w:basedOn w:val="a0"/>
    <w:uiPriority w:val="99"/>
    <w:unhideWhenUsed/>
    <w:rsid w:val="00C77B84"/>
    <w:rPr>
      <w:color w:val="0563C1" w:themeColor="hyperlink"/>
      <w:u w:val="single"/>
    </w:rPr>
  </w:style>
  <w:style w:type="paragraph" w:customStyle="1" w:styleId="11">
    <w:name w:val="主标题1"/>
    <w:basedOn w:val="a"/>
    <w:next w:val="a"/>
    <w:link w:val="1Char0"/>
    <w:rsid w:val="00620D3A"/>
    <w:pPr>
      <w:adjustRightInd w:val="0"/>
      <w:snapToGrid w:val="0"/>
      <w:jc w:val="center"/>
    </w:pPr>
    <w:rPr>
      <w:rFonts w:hAnsi="宋体" w:cs="宋体"/>
      <w:bCs/>
      <w:sz w:val="44"/>
      <w:szCs w:val="24"/>
    </w:rPr>
  </w:style>
  <w:style w:type="character" w:customStyle="1" w:styleId="1Char0">
    <w:name w:val="主标题1 Char"/>
    <w:basedOn w:val="a0"/>
    <w:link w:val="11"/>
    <w:rsid w:val="00620D3A"/>
    <w:rPr>
      <w:rFonts w:ascii="宋体" w:eastAsia="宋体" w:hAnsi="宋体" w:cs="宋体"/>
      <w:bCs/>
      <w:sz w:val="44"/>
      <w:szCs w:val="24"/>
    </w:rPr>
  </w:style>
  <w:style w:type="paragraph" w:customStyle="1" w:styleId="12">
    <w:name w:val="副标题1"/>
    <w:basedOn w:val="a"/>
    <w:next w:val="a"/>
    <w:link w:val="1Char1"/>
    <w:rsid w:val="00620D3A"/>
    <w:pPr>
      <w:adjustRightInd w:val="0"/>
      <w:snapToGrid w:val="0"/>
      <w:spacing w:line="400" w:lineRule="exact"/>
      <w:jc w:val="center"/>
    </w:pPr>
    <w:rPr>
      <w:rFonts w:hAnsi="宋体" w:cs="宋体"/>
      <w:bCs/>
      <w:sz w:val="32"/>
      <w:szCs w:val="24"/>
    </w:rPr>
  </w:style>
  <w:style w:type="character" w:customStyle="1" w:styleId="1Char1">
    <w:name w:val="副标题1 Char"/>
    <w:basedOn w:val="a0"/>
    <w:link w:val="12"/>
    <w:rsid w:val="00620D3A"/>
    <w:rPr>
      <w:rFonts w:ascii="宋体" w:eastAsia="宋体" w:hAnsi="宋体" w:cs="宋体"/>
      <w:bCs/>
      <w:sz w:val="32"/>
      <w:szCs w:val="24"/>
    </w:rPr>
  </w:style>
  <w:style w:type="paragraph" w:styleId="a8">
    <w:name w:val="Normal Indent"/>
    <w:qFormat/>
    <w:rsid w:val="00623685"/>
    <w:pPr>
      <w:spacing w:line="360" w:lineRule="auto"/>
      <w:ind w:firstLineChars="200" w:firstLine="200"/>
    </w:pPr>
    <w:rPr>
      <w:rFonts w:ascii="宋体" w:eastAsia="宋体"/>
    </w:rPr>
  </w:style>
  <w:style w:type="table" w:styleId="a9">
    <w:name w:val="Table Grid"/>
    <w:basedOn w:val="a1"/>
    <w:uiPriority w:val="39"/>
    <w:rsid w:val="006A55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4844D33A-38C1-4E0A-89FC-8CAAA39B9BBD}">
  <ds:schemaRefs>
    <ds:schemaRef ds:uri="http://schemas.openxmlformats.org/drawingml/2006/lockedCanvas"/>
    <ds:schemaRef ds:uri="http://schemas.openxmlformats.org/drawingml/2006/compatibility"/>
    <ds:schemaRef ds:uri="http://schemas.microsoft.com/office/word/2010/wordprocessingDrawing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vml"/>
    <ds:schemaRef ds:uri="urn:schemas-microsoft-com:office:office"/>
    <ds:schemaRef ds:uri="urn:schemas-microsoft-com:office:exce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markup-compatibility/2006"/>
    <ds:schemaRef ds:uri="http://schemas.openxmlformats.org/schemaLibrary/2006/main"/>
    <ds:schemaRef ds:uri="http://schemas.microsoft.com/office/word/2012/wordml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823</Characters>
  <Application>Microsoft Office Word</Application>
  <DocSecurity>4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</dc:creator>
  <cp:keywords/>
  <dc:description/>
  <cp:lastModifiedBy>ZHONGM</cp:lastModifiedBy>
  <cp:revision>2</cp:revision>
  <cp:lastPrinted>2026-01-28T10:17:00Z</cp:lastPrinted>
  <dcterms:created xsi:type="dcterms:W3CDTF">2026-01-28T16:01:00Z</dcterms:created>
  <dcterms:modified xsi:type="dcterms:W3CDTF">2026-01-28T16:01:00Z</dcterms:modified>
</cp:coreProperties>
</file>