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9F4" w:rsidRDefault="003E031C">
      <w:pPr>
        <w:widowControl/>
        <w:jc w:val="center"/>
        <w:rPr>
          <w:rFonts w:eastAsiaTheme="minorEastAsia" w:cs="宋体"/>
          <w:b/>
          <w:kern w:val="0"/>
          <w:sz w:val="30"/>
          <w:szCs w:val="30"/>
        </w:rPr>
      </w:pPr>
      <w:r>
        <w:rPr>
          <w:rFonts w:eastAsiaTheme="minorEastAsia" w:cs="宋体" w:hint="eastAsia"/>
          <w:b/>
          <w:kern w:val="0"/>
          <w:sz w:val="30"/>
          <w:szCs w:val="30"/>
        </w:rPr>
        <w:t>海富通精选证券投资基金恢复大额申购和转换转入业务的公告</w:t>
      </w:r>
    </w:p>
    <w:p w:rsidR="00B329F4" w:rsidRDefault="003E031C">
      <w:pPr>
        <w:spacing w:line="560" w:lineRule="exact"/>
        <w:jc w:val="center"/>
        <w:rPr>
          <w:rFonts w:eastAsiaTheme="minorEastAsia" w:cs="宋体"/>
          <w:bCs/>
          <w:sz w:val="24"/>
          <w:szCs w:val="24"/>
        </w:rPr>
      </w:pPr>
      <w:r>
        <w:rPr>
          <w:rFonts w:eastAsiaTheme="minorEastAsia"/>
          <w:color w:val="000000"/>
          <w:sz w:val="24"/>
          <w:szCs w:val="24"/>
        </w:rPr>
        <w:t>公告送出日期：</w:t>
      </w:r>
      <w:r>
        <w:rPr>
          <w:rFonts w:eastAsiaTheme="minorEastAsia" w:cs="宋体"/>
          <w:bCs/>
          <w:sz w:val="24"/>
          <w:szCs w:val="24"/>
        </w:rPr>
        <w:t>202</w:t>
      </w:r>
      <w:r>
        <w:rPr>
          <w:rFonts w:eastAsiaTheme="minorEastAsia" w:cs="宋体" w:hint="eastAsia"/>
          <w:bCs/>
          <w:sz w:val="24"/>
          <w:szCs w:val="24"/>
        </w:rPr>
        <w:t>6</w:t>
      </w:r>
      <w:r>
        <w:rPr>
          <w:rFonts w:eastAsiaTheme="minorEastAsia" w:cs="宋体"/>
          <w:bCs/>
          <w:sz w:val="24"/>
          <w:szCs w:val="24"/>
        </w:rPr>
        <w:t>年</w:t>
      </w:r>
      <w:r>
        <w:rPr>
          <w:rFonts w:eastAsiaTheme="minorEastAsia" w:cs="宋体" w:hint="eastAsia"/>
          <w:bCs/>
          <w:sz w:val="24"/>
          <w:szCs w:val="24"/>
        </w:rPr>
        <w:t>1</w:t>
      </w:r>
      <w:r>
        <w:rPr>
          <w:rFonts w:eastAsiaTheme="minorEastAsia" w:cs="宋体"/>
          <w:bCs/>
          <w:sz w:val="24"/>
          <w:szCs w:val="24"/>
        </w:rPr>
        <w:t>月</w:t>
      </w:r>
      <w:r>
        <w:rPr>
          <w:rFonts w:eastAsiaTheme="minorEastAsia" w:cs="宋体" w:hint="eastAsia"/>
          <w:bCs/>
          <w:sz w:val="24"/>
          <w:szCs w:val="24"/>
        </w:rPr>
        <w:t>29</w:t>
      </w:r>
      <w:r>
        <w:rPr>
          <w:rFonts w:eastAsiaTheme="minorEastAsia" w:cs="宋体"/>
          <w:bCs/>
          <w:sz w:val="24"/>
          <w:szCs w:val="24"/>
        </w:rPr>
        <w:t>日</w:t>
      </w:r>
    </w:p>
    <w:p w:rsidR="00B329F4" w:rsidRDefault="00B329F4">
      <w:pPr>
        <w:spacing w:line="560" w:lineRule="exact"/>
        <w:jc w:val="center"/>
        <w:rPr>
          <w:rFonts w:eastAsiaTheme="minorEastAsia"/>
          <w:color w:val="000000"/>
          <w:sz w:val="24"/>
          <w:szCs w:val="24"/>
        </w:rPr>
      </w:pPr>
    </w:p>
    <w:p w:rsidR="00B329F4" w:rsidRDefault="003E031C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bookmarkStart w:id="0" w:name="_Toc275961405"/>
      <w:r>
        <w:rPr>
          <w:rFonts w:ascii="Times New Roman" w:eastAsiaTheme="minorEastAsia" w:hAnsi="Times New Roman"/>
          <w:bCs w:val="0"/>
          <w:color w:val="000000"/>
          <w:sz w:val="24"/>
          <w:szCs w:val="24"/>
        </w:rPr>
        <w:t xml:space="preserve">1 </w:t>
      </w:r>
      <w:r>
        <w:rPr>
          <w:rFonts w:ascii="Times New Roman" w:eastAsiaTheme="minorEastAsia" w:hAnsi="Times New Roman"/>
          <w:bCs w:val="0"/>
          <w:color w:val="000000"/>
          <w:sz w:val="24"/>
          <w:szCs w:val="24"/>
        </w:rPr>
        <w:t>公告基本信息</w:t>
      </w:r>
      <w:bookmarkEnd w:id="0"/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35"/>
        <w:gridCol w:w="3439"/>
        <w:gridCol w:w="3402"/>
      </w:tblGrid>
      <w:tr w:rsidR="00B329F4">
        <w:trPr>
          <w:jc w:val="center"/>
        </w:trPr>
        <w:tc>
          <w:tcPr>
            <w:tcW w:w="2935" w:type="dxa"/>
          </w:tcPr>
          <w:p w:rsidR="00B329F4" w:rsidRDefault="003E031C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  <w:highlight w:val="cyan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6841" w:type="dxa"/>
            <w:gridSpan w:val="2"/>
            <w:vAlign w:val="center"/>
          </w:tcPr>
          <w:p w:rsidR="00B329F4" w:rsidRDefault="003E031C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海富通精选证券投资基金</w:t>
            </w:r>
          </w:p>
        </w:tc>
      </w:tr>
      <w:tr w:rsidR="00B329F4">
        <w:trPr>
          <w:jc w:val="center"/>
        </w:trPr>
        <w:tc>
          <w:tcPr>
            <w:tcW w:w="2935" w:type="dxa"/>
          </w:tcPr>
          <w:p w:rsidR="00B329F4" w:rsidRDefault="003E031C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6841" w:type="dxa"/>
            <w:gridSpan w:val="2"/>
            <w:vAlign w:val="center"/>
          </w:tcPr>
          <w:p w:rsidR="00B329F4" w:rsidRDefault="003E031C">
            <w:pPr>
              <w:pStyle w:val="1"/>
              <w:widowControl/>
              <w:shd w:val="clear" w:color="auto" w:fill="FFFFFF"/>
              <w:spacing w:beforeAutospacing="0" w:afterAutospacing="0"/>
              <w:textAlignment w:val="baseline"/>
              <w:rPr>
                <w:rFonts w:eastAsiaTheme="minorEastAsia" w:hint="default"/>
                <w:sz w:val="24"/>
                <w:szCs w:val="24"/>
              </w:rPr>
            </w:pPr>
            <w:r>
              <w:rPr>
                <w:rFonts w:ascii="Times New Roman" w:eastAsiaTheme="minorEastAsia" w:hAnsi="Times New Roman" w:hint="default"/>
                <w:b w:val="0"/>
                <w:bCs w:val="0"/>
                <w:kern w:val="2"/>
                <w:sz w:val="24"/>
                <w:szCs w:val="24"/>
              </w:rPr>
              <w:t>海富通精选混合</w:t>
            </w:r>
          </w:p>
        </w:tc>
      </w:tr>
      <w:tr w:rsidR="00B329F4">
        <w:trPr>
          <w:jc w:val="center"/>
        </w:trPr>
        <w:tc>
          <w:tcPr>
            <w:tcW w:w="2935" w:type="dxa"/>
            <w:vAlign w:val="center"/>
          </w:tcPr>
          <w:p w:rsidR="00B329F4" w:rsidRDefault="003E031C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6841" w:type="dxa"/>
            <w:gridSpan w:val="2"/>
            <w:vAlign w:val="center"/>
          </w:tcPr>
          <w:p w:rsidR="00B329F4" w:rsidRDefault="003E031C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519011</w:t>
            </w:r>
          </w:p>
        </w:tc>
      </w:tr>
      <w:tr w:rsidR="00B329F4">
        <w:trPr>
          <w:jc w:val="center"/>
        </w:trPr>
        <w:tc>
          <w:tcPr>
            <w:tcW w:w="2935" w:type="dxa"/>
          </w:tcPr>
          <w:p w:rsidR="00B329F4" w:rsidRDefault="003E031C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6841" w:type="dxa"/>
            <w:gridSpan w:val="2"/>
            <w:vAlign w:val="center"/>
          </w:tcPr>
          <w:p w:rsidR="00B329F4" w:rsidRDefault="003E031C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海富通基金管理有限公司</w:t>
            </w:r>
          </w:p>
        </w:tc>
      </w:tr>
      <w:tr w:rsidR="00B329F4">
        <w:trPr>
          <w:jc w:val="center"/>
        </w:trPr>
        <w:tc>
          <w:tcPr>
            <w:tcW w:w="2935" w:type="dxa"/>
          </w:tcPr>
          <w:p w:rsidR="00B329F4" w:rsidRDefault="003E031C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6841" w:type="dxa"/>
            <w:gridSpan w:val="2"/>
            <w:vAlign w:val="center"/>
          </w:tcPr>
          <w:p w:rsidR="00B329F4" w:rsidRDefault="003E031C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根据《公开募集证券投资基金信息披露管理办法》等法律法规规定及《海富通</w:t>
            </w:r>
            <w:r>
              <w:rPr>
                <w:rFonts w:eastAsiaTheme="minorEastAsia" w:hint="eastAsia"/>
                <w:sz w:val="24"/>
                <w:szCs w:val="24"/>
              </w:rPr>
              <w:t>精选证券投资基金</w:t>
            </w:r>
            <w:r>
              <w:rPr>
                <w:rFonts w:eastAsiaTheme="minorEastAsia"/>
                <w:sz w:val="24"/>
                <w:szCs w:val="24"/>
              </w:rPr>
              <w:t>基金合同》和《海富通</w:t>
            </w:r>
            <w:r>
              <w:rPr>
                <w:rFonts w:eastAsiaTheme="minorEastAsia" w:hint="eastAsia"/>
                <w:sz w:val="24"/>
                <w:szCs w:val="24"/>
              </w:rPr>
              <w:t>精选证券</w:t>
            </w:r>
            <w:r>
              <w:rPr>
                <w:rFonts w:eastAsiaTheme="minorEastAsia"/>
                <w:sz w:val="24"/>
                <w:szCs w:val="24"/>
              </w:rPr>
              <w:t>投资基金招募说明书》的约定</w:t>
            </w:r>
          </w:p>
        </w:tc>
      </w:tr>
      <w:tr w:rsidR="00B329F4">
        <w:trPr>
          <w:jc w:val="center"/>
        </w:trPr>
        <w:tc>
          <w:tcPr>
            <w:tcW w:w="2935" w:type="dxa"/>
            <w:vMerge w:val="restart"/>
            <w:vAlign w:val="center"/>
          </w:tcPr>
          <w:p w:rsidR="00B329F4" w:rsidRDefault="003E031C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恢复相关业务的日期及原因说明</w:t>
            </w:r>
          </w:p>
        </w:tc>
        <w:tc>
          <w:tcPr>
            <w:tcW w:w="3439" w:type="dxa"/>
          </w:tcPr>
          <w:p w:rsidR="00B329F4" w:rsidRDefault="003E031C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恢复大额申购日</w:t>
            </w:r>
          </w:p>
        </w:tc>
        <w:tc>
          <w:tcPr>
            <w:tcW w:w="3402" w:type="dxa"/>
            <w:vAlign w:val="center"/>
          </w:tcPr>
          <w:p w:rsidR="00B329F4" w:rsidRDefault="003E031C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202</w:t>
            </w:r>
            <w:r>
              <w:rPr>
                <w:rFonts w:eastAsiaTheme="minorEastAsia" w:hint="eastAsia"/>
                <w:sz w:val="24"/>
                <w:szCs w:val="24"/>
              </w:rPr>
              <w:t>6</w:t>
            </w:r>
            <w:r>
              <w:rPr>
                <w:rFonts w:eastAsiaTheme="minorEastAsia"/>
                <w:sz w:val="24"/>
                <w:szCs w:val="24"/>
              </w:rPr>
              <w:t>年</w:t>
            </w:r>
            <w:r>
              <w:rPr>
                <w:rFonts w:eastAsiaTheme="minorEastAsia" w:hint="eastAsia"/>
                <w:sz w:val="24"/>
                <w:szCs w:val="24"/>
              </w:rPr>
              <w:t>1</w:t>
            </w:r>
            <w:r>
              <w:rPr>
                <w:rFonts w:eastAsiaTheme="minorEastAsia"/>
                <w:sz w:val="24"/>
                <w:szCs w:val="24"/>
              </w:rPr>
              <w:t>月</w:t>
            </w:r>
            <w:r>
              <w:rPr>
                <w:rFonts w:eastAsiaTheme="minorEastAsia" w:hint="eastAsia"/>
                <w:sz w:val="24"/>
                <w:szCs w:val="24"/>
              </w:rPr>
              <w:t>29</w:t>
            </w:r>
            <w:r>
              <w:rPr>
                <w:rFonts w:eastAsiaTheme="minorEastAsia"/>
                <w:sz w:val="24"/>
                <w:szCs w:val="24"/>
              </w:rPr>
              <w:t>日</w:t>
            </w:r>
          </w:p>
        </w:tc>
      </w:tr>
      <w:tr w:rsidR="00B329F4">
        <w:trPr>
          <w:jc w:val="center"/>
        </w:trPr>
        <w:tc>
          <w:tcPr>
            <w:tcW w:w="2935" w:type="dxa"/>
            <w:vMerge/>
            <w:vAlign w:val="center"/>
          </w:tcPr>
          <w:p w:rsidR="00B329F4" w:rsidRDefault="00B329F4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3439" w:type="dxa"/>
          </w:tcPr>
          <w:p w:rsidR="00B329F4" w:rsidRDefault="003E031C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 w:hint="eastAsia"/>
                <w:color w:val="000000"/>
                <w:sz w:val="24"/>
                <w:szCs w:val="24"/>
              </w:rPr>
              <w:t>恢复</w:t>
            </w:r>
            <w:r>
              <w:rPr>
                <w:rFonts w:eastAsiaTheme="minorEastAsia"/>
                <w:color w:val="000000"/>
                <w:sz w:val="24"/>
                <w:szCs w:val="24"/>
              </w:rPr>
              <w:t>大额</w:t>
            </w:r>
            <w:r>
              <w:rPr>
                <w:rFonts w:eastAsiaTheme="minorEastAsia" w:hint="eastAsia"/>
                <w:color w:val="000000"/>
                <w:sz w:val="24"/>
                <w:szCs w:val="24"/>
              </w:rPr>
              <w:t>转换转入日</w:t>
            </w:r>
          </w:p>
        </w:tc>
        <w:tc>
          <w:tcPr>
            <w:tcW w:w="3402" w:type="dxa"/>
            <w:vAlign w:val="center"/>
          </w:tcPr>
          <w:p w:rsidR="00B329F4" w:rsidRDefault="003E031C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202</w:t>
            </w:r>
            <w:r>
              <w:rPr>
                <w:rFonts w:eastAsiaTheme="minorEastAsia" w:hint="eastAsia"/>
                <w:sz w:val="24"/>
                <w:szCs w:val="24"/>
              </w:rPr>
              <w:t>6</w:t>
            </w:r>
            <w:r>
              <w:rPr>
                <w:rFonts w:eastAsiaTheme="minorEastAsia"/>
                <w:sz w:val="24"/>
                <w:szCs w:val="24"/>
              </w:rPr>
              <w:t>年</w:t>
            </w:r>
            <w:r>
              <w:rPr>
                <w:rFonts w:eastAsiaTheme="minorEastAsia" w:hint="eastAsia"/>
                <w:sz w:val="24"/>
                <w:szCs w:val="24"/>
              </w:rPr>
              <w:t>1</w:t>
            </w:r>
            <w:r>
              <w:rPr>
                <w:rFonts w:eastAsiaTheme="minorEastAsia"/>
                <w:sz w:val="24"/>
                <w:szCs w:val="24"/>
              </w:rPr>
              <w:t>月</w:t>
            </w:r>
            <w:r>
              <w:rPr>
                <w:rFonts w:eastAsiaTheme="minorEastAsia" w:hint="eastAsia"/>
                <w:sz w:val="24"/>
                <w:szCs w:val="24"/>
              </w:rPr>
              <w:t>29</w:t>
            </w:r>
            <w:r>
              <w:rPr>
                <w:rFonts w:eastAsiaTheme="minorEastAsia"/>
                <w:sz w:val="24"/>
                <w:szCs w:val="24"/>
              </w:rPr>
              <w:t>日</w:t>
            </w:r>
          </w:p>
        </w:tc>
      </w:tr>
      <w:tr w:rsidR="00B329F4">
        <w:trPr>
          <w:jc w:val="center"/>
        </w:trPr>
        <w:tc>
          <w:tcPr>
            <w:tcW w:w="2935" w:type="dxa"/>
            <w:vMerge/>
          </w:tcPr>
          <w:p w:rsidR="00B329F4" w:rsidRDefault="00B329F4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3439" w:type="dxa"/>
          </w:tcPr>
          <w:p w:rsidR="00B329F4" w:rsidRDefault="003E031C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恢复大额申购</w:t>
            </w:r>
            <w:r>
              <w:rPr>
                <w:rFonts w:eastAsiaTheme="minorEastAsia" w:hint="eastAsia"/>
                <w:color w:val="000000"/>
                <w:sz w:val="24"/>
                <w:szCs w:val="24"/>
              </w:rPr>
              <w:t>（</w:t>
            </w:r>
            <w:r>
              <w:rPr>
                <w:rFonts w:eastAsiaTheme="minorEastAsia"/>
                <w:color w:val="000000"/>
                <w:sz w:val="24"/>
                <w:szCs w:val="24"/>
              </w:rPr>
              <w:t>转换转入</w:t>
            </w:r>
            <w:r>
              <w:rPr>
                <w:rFonts w:eastAsiaTheme="minorEastAsia" w:hint="eastAsia"/>
                <w:color w:val="000000"/>
                <w:sz w:val="24"/>
                <w:szCs w:val="24"/>
              </w:rPr>
              <w:t>、定期定投）</w:t>
            </w:r>
            <w:r>
              <w:rPr>
                <w:rFonts w:eastAsiaTheme="minorEastAsia"/>
                <w:color w:val="000000"/>
                <w:sz w:val="24"/>
                <w:szCs w:val="24"/>
              </w:rPr>
              <w:t>的原因说明</w:t>
            </w:r>
          </w:p>
        </w:tc>
        <w:tc>
          <w:tcPr>
            <w:tcW w:w="3402" w:type="dxa"/>
            <w:vAlign w:val="center"/>
          </w:tcPr>
          <w:p w:rsidR="00B329F4" w:rsidRDefault="003E031C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为满足广大投资者的投资需求</w:t>
            </w:r>
          </w:p>
        </w:tc>
      </w:tr>
    </w:tbl>
    <w:p w:rsidR="00B329F4" w:rsidRDefault="003E031C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bookmarkStart w:id="1" w:name="_Toc275961406"/>
      <w:r>
        <w:rPr>
          <w:rFonts w:ascii="Times New Roman" w:eastAsiaTheme="minorEastAsia" w:hAnsi="Times New Roman"/>
          <w:bCs w:val="0"/>
          <w:color w:val="000000"/>
          <w:sz w:val="24"/>
          <w:szCs w:val="24"/>
        </w:rPr>
        <w:t xml:space="preserve">2 </w:t>
      </w:r>
      <w:r>
        <w:rPr>
          <w:rFonts w:ascii="Times New Roman" w:eastAsiaTheme="minorEastAsia" w:hAnsi="Times New Roman"/>
          <w:bCs w:val="0"/>
          <w:color w:val="000000"/>
          <w:sz w:val="24"/>
          <w:szCs w:val="24"/>
        </w:rPr>
        <w:t>其他需要提示的事项</w:t>
      </w:r>
      <w:bookmarkEnd w:id="1"/>
    </w:p>
    <w:p w:rsidR="00B329F4" w:rsidRDefault="003E031C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  <w:r>
        <w:rPr>
          <w:rFonts w:eastAsiaTheme="minorEastAsia" w:hint="eastAsia"/>
          <w:sz w:val="24"/>
          <w:szCs w:val="24"/>
        </w:rPr>
        <w:t>为满足广大投资者的需求，本基金管理人决定从</w:t>
      </w:r>
      <w:r>
        <w:rPr>
          <w:rFonts w:eastAsiaTheme="minorEastAsia" w:hint="eastAsia"/>
          <w:sz w:val="24"/>
          <w:szCs w:val="24"/>
        </w:rPr>
        <w:t>202</w:t>
      </w:r>
      <w:r>
        <w:rPr>
          <w:rFonts w:eastAsiaTheme="minorEastAsia" w:hint="eastAsia"/>
          <w:sz w:val="24"/>
          <w:szCs w:val="24"/>
        </w:rPr>
        <w:t>6</w:t>
      </w:r>
      <w:r>
        <w:rPr>
          <w:rFonts w:eastAsiaTheme="minorEastAsia" w:hint="eastAsia"/>
          <w:sz w:val="24"/>
          <w:szCs w:val="24"/>
        </w:rPr>
        <w:t>年</w:t>
      </w:r>
      <w:r>
        <w:rPr>
          <w:rFonts w:eastAsiaTheme="minorEastAsia" w:hint="eastAsia"/>
          <w:sz w:val="24"/>
          <w:szCs w:val="24"/>
        </w:rPr>
        <w:t>1</w:t>
      </w:r>
      <w:r>
        <w:rPr>
          <w:rFonts w:eastAsiaTheme="minorEastAsia" w:hint="eastAsia"/>
          <w:sz w:val="24"/>
          <w:szCs w:val="24"/>
        </w:rPr>
        <w:t>月</w:t>
      </w:r>
      <w:r>
        <w:rPr>
          <w:rFonts w:eastAsiaTheme="minorEastAsia" w:hint="eastAsia"/>
          <w:sz w:val="24"/>
          <w:szCs w:val="24"/>
        </w:rPr>
        <w:t>29</w:t>
      </w:r>
      <w:r>
        <w:rPr>
          <w:rFonts w:eastAsiaTheme="minorEastAsia" w:hint="eastAsia"/>
          <w:sz w:val="24"/>
          <w:szCs w:val="24"/>
        </w:rPr>
        <w:t>日起恢复接受对本基金单笔金额</w:t>
      </w:r>
      <w:r>
        <w:rPr>
          <w:rFonts w:eastAsiaTheme="minorEastAsia" w:hint="eastAsia"/>
          <w:sz w:val="24"/>
          <w:szCs w:val="24"/>
        </w:rPr>
        <w:t>100</w:t>
      </w:r>
      <w:r>
        <w:rPr>
          <w:rFonts w:eastAsiaTheme="minorEastAsia" w:hint="eastAsia"/>
          <w:sz w:val="24"/>
          <w:szCs w:val="24"/>
        </w:rPr>
        <w:t>0</w:t>
      </w:r>
      <w:r>
        <w:rPr>
          <w:rFonts w:eastAsiaTheme="minorEastAsia" w:hint="eastAsia"/>
          <w:sz w:val="24"/>
          <w:szCs w:val="24"/>
        </w:rPr>
        <w:t>万元以上的申购（含定期定额申购）及转换转入申请，且对单个基金账户单日累计申购（含定期定额申购）及转换转入金额不做限制。</w:t>
      </w:r>
    </w:p>
    <w:p w:rsidR="00B329F4" w:rsidRDefault="003E031C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  <w:r>
        <w:rPr>
          <w:rFonts w:eastAsiaTheme="minorEastAsia" w:hint="eastAsia"/>
          <w:sz w:val="24"/>
          <w:szCs w:val="24"/>
        </w:rPr>
        <w:t> </w:t>
      </w:r>
    </w:p>
    <w:p w:rsidR="00B329F4" w:rsidRDefault="003E031C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  <w:r>
        <w:rPr>
          <w:rFonts w:eastAsiaTheme="minorEastAsia" w:hint="eastAsia"/>
          <w:sz w:val="24"/>
          <w:szCs w:val="24"/>
        </w:rPr>
        <w:t>本公告解释权归海富通基金管理有限公司。</w:t>
      </w:r>
    </w:p>
    <w:p w:rsidR="00B329F4" w:rsidRDefault="003E031C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  <w:r>
        <w:rPr>
          <w:rFonts w:eastAsiaTheme="minorEastAsia" w:hint="eastAsia"/>
          <w:sz w:val="24"/>
          <w:szCs w:val="24"/>
        </w:rPr>
        <w:t> </w:t>
      </w:r>
    </w:p>
    <w:p w:rsidR="00B329F4" w:rsidRDefault="003E031C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  <w:r>
        <w:rPr>
          <w:rFonts w:eastAsiaTheme="minorEastAsia" w:hint="eastAsia"/>
          <w:sz w:val="24"/>
          <w:szCs w:val="24"/>
        </w:rPr>
        <w:t>投资者可访问本公司网站</w:t>
      </w:r>
      <w:r>
        <w:rPr>
          <w:rFonts w:eastAsiaTheme="minorEastAsia" w:hint="eastAsia"/>
          <w:sz w:val="24"/>
          <w:szCs w:val="24"/>
        </w:rPr>
        <w:t>(www.hftfund.com)</w:t>
      </w:r>
      <w:r>
        <w:rPr>
          <w:rFonts w:eastAsiaTheme="minorEastAsia" w:hint="eastAsia"/>
          <w:sz w:val="24"/>
          <w:szCs w:val="24"/>
        </w:rPr>
        <w:t>或拨打客户服务电话</w:t>
      </w:r>
      <w:r>
        <w:rPr>
          <w:rFonts w:eastAsiaTheme="minorEastAsia" w:hint="eastAsia"/>
          <w:sz w:val="24"/>
          <w:szCs w:val="24"/>
        </w:rPr>
        <w:t>40088-40099</w:t>
      </w:r>
      <w:r>
        <w:rPr>
          <w:rFonts w:eastAsiaTheme="minorEastAsia" w:hint="eastAsia"/>
          <w:sz w:val="24"/>
          <w:szCs w:val="24"/>
        </w:rPr>
        <w:t>（免长途话费）咨询相关情况。</w:t>
      </w:r>
    </w:p>
    <w:p w:rsidR="00B329F4" w:rsidRDefault="003E031C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  <w:r>
        <w:rPr>
          <w:rFonts w:eastAsiaTheme="minorEastAsia" w:hint="eastAsia"/>
          <w:sz w:val="24"/>
          <w:szCs w:val="24"/>
        </w:rPr>
        <w:t> </w:t>
      </w:r>
    </w:p>
    <w:p w:rsidR="00B329F4" w:rsidRDefault="003E031C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  <w:r>
        <w:rPr>
          <w:rFonts w:eastAsiaTheme="minorEastAsia" w:hint="eastAsia"/>
          <w:sz w:val="24"/>
          <w:szCs w:val="24"/>
        </w:rPr>
        <w:lastRenderedPageBreak/>
        <w:t>特此公告。</w:t>
      </w:r>
    </w:p>
    <w:p w:rsidR="00B329F4" w:rsidRDefault="00B329F4"/>
    <w:p w:rsidR="00B329F4" w:rsidRDefault="00B329F4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</w:p>
    <w:p w:rsidR="00B329F4" w:rsidRDefault="00B329F4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</w:p>
    <w:p w:rsidR="00B329F4" w:rsidRDefault="00B329F4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</w:p>
    <w:p w:rsidR="00B329F4" w:rsidRDefault="003E031C">
      <w:pPr>
        <w:tabs>
          <w:tab w:val="left" w:pos="426"/>
        </w:tabs>
        <w:spacing w:before="29" w:line="288" w:lineRule="auto"/>
        <w:ind w:firstLineChars="200" w:firstLine="480"/>
        <w:jc w:val="right"/>
        <w:rPr>
          <w:kern w:val="0"/>
          <w:sz w:val="24"/>
        </w:rPr>
      </w:pPr>
      <w:r>
        <w:rPr>
          <w:kern w:val="0"/>
          <w:sz w:val="24"/>
        </w:rPr>
        <w:t>海富通基金管理有限公司</w:t>
      </w:r>
    </w:p>
    <w:p w:rsidR="00B329F4" w:rsidRDefault="003E031C">
      <w:pPr>
        <w:tabs>
          <w:tab w:val="left" w:pos="426"/>
        </w:tabs>
        <w:spacing w:before="29" w:line="288" w:lineRule="auto"/>
        <w:ind w:firstLineChars="200" w:firstLine="480"/>
        <w:jc w:val="right"/>
        <w:rPr>
          <w:kern w:val="0"/>
          <w:sz w:val="24"/>
        </w:rPr>
      </w:pPr>
      <w:r>
        <w:rPr>
          <w:kern w:val="0"/>
          <w:sz w:val="24"/>
        </w:rPr>
        <w:t>202</w:t>
      </w:r>
      <w:r>
        <w:rPr>
          <w:rFonts w:hint="eastAsia"/>
          <w:kern w:val="0"/>
          <w:sz w:val="24"/>
        </w:rPr>
        <w:t>6</w:t>
      </w:r>
      <w:r>
        <w:rPr>
          <w:kern w:val="0"/>
          <w:sz w:val="24"/>
        </w:rPr>
        <w:t>年</w:t>
      </w:r>
      <w:r>
        <w:rPr>
          <w:rFonts w:eastAsiaTheme="minorEastAsia" w:hint="eastAsia"/>
          <w:sz w:val="24"/>
          <w:szCs w:val="24"/>
        </w:rPr>
        <w:t>1</w:t>
      </w:r>
      <w:r>
        <w:rPr>
          <w:rFonts w:eastAsiaTheme="minorEastAsia"/>
          <w:sz w:val="24"/>
          <w:szCs w:val="24"/>
        </w:rPr>
        <w:t>月</w:t>
      </w:r>
      <w:r>
        <w:rPr>
          <w:rFonts w:eastAsiaTheme="minorEastAsia" w:hint="eastAsia"/>
          <w:sz w:val="24"/>
          <w:szCs w:val="24"/>
        </w:rPr>
        <w:t>29</w:t>
      </w:r>
      <w:bookmarkStart w:id="2" w:name="_GoBack"/>
      <w:bookmarkEnd w:id="2"/>
      <w:r>
        <w:rPr>
          <w:rFonts w:eastAsiaTheme="minorEastAsia"/>
          <w:sz w:val="24"/>
          <w:szCs w:val="24"/>
        </w:rPr>
        <w:t>日</w:t>
      </w:r>
    </w:p>
    <w:p w:rsidR="00B329F4" w:rsidRDefault="00B329F4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</w:p>
    <w:sectPr w:rsidR="00B329F4" w:rsidSect="00B329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354944"/>
    <w:rsid w:val="0000642D"/>
    <w:rsid w:val="00041353"/>
    <w:rsid w:val="000D3850"/>
    <w:rsid w:val="001A7B2D"/>
    <w:rsid w:val="001D786A"/>
    <w:rsid w:val="001E0B06"/>
    <w:rsid w:val="001E5C6F"/>
    <w:rsid w:val="00201B9E"/>
    <w:rsid w:val="00213038"/>
    <w:rsid w:val="0023305B"/>
    <w:rsid w:val="0024721A"/>
    <w:rsid w:val="00250161"/>
    <w:rsid w:val="0025017B"/>
    <w:rsid w:val="002556B3"/>
    <w:rsid w:val="002800BA"/>
    <w:rsid w:val="002834C9"/>
    <w:rsid w:val="00283FAE"/>
    <w:rsid w:val="002B31C8"/>
    <w:rsid w:val="002C0753"/>
    <w:rsid w:val="002C49BE"/>
    <w:rsid w:val="00354944"/>
    <w:rsid w:val="00390AE9"/>
    <w:rsid w:val="00395A1D"/>
    <w:rsid w:val="003E031C"/>
    <w:rsid w:val="0042173A"/>
    <w:rsid w:val="00445330"/>
    <w:rsid w:val="004966BA"/>
    <w:rsid w:val="004E02A3"/>
    <w:rsid w:val="005634A1"/>
    <w:rsid w:val="00577236"/>
    <w:rsid w:val="00582B4E"/>
    <w:rsid w:val="005C51AD"/>
    <w:rsid w:val="005D0E59"/>
    <w:rsid w:val="006069E4"/>
    <w:rsid w:val="00620B93"/>
    <w:rsid w:val="006D2C30"/>
    <w:rsid w:val="00753665"/>
    <w:rsid w:val="007746E8"/>
    <w:rsid w:val="007B0A30"/>
    <w:rsid w:val="007F2D2A"/>
    <w:rsid w:val="00842476"/>
    <w:rsid w:val="008A1732"/>
    <w:rsid w:val="00935A9D"/>
    <w:rsid w:val="00945D1C"/>
    <w:rsid w:val="00954092"/>
    <w:rsid w:val="00970A64"/>
    <w:rsid w:val="0099630D"/>
    <w:rsid w:val="009B45C8"/>
    <w:rsid w:val="009D18EA"/>
    <w:rsid w:val="009E21D7"/>
    <w:rsid w:val="009E7D6B"/>
    <w:rsid w:val="00A244E5"/>
    <w:rsid w:val="00A2791F"/>
    <w:rsid w:val="00A528B2"/>
    <w:rsid w:val="00A60807"/>
    <w:rsid w:val="00AA74F5"/>
    <w:rsid w:val="00AC4909"/>
    <w:rsid w:val="00AD6968"/>
    <w:rsid w:val="00B22139"/>
    <w:rsid w:val="00B329F4"/>
    <w:rsid w:val="00B65860"/>
    <w:rsid w:val="00B91220"/>
    <w:rsid w:val="00BB33A8"/>
    <w:rsid w:val="00BC210A"/>
    <w:rsid w:val="00BD5220"/>
    <w:rsid w:val="00BE1B54"/>
    <w:rsid w:val="00C2066C"/>
    <w:rsid w:val="00C540E8"/>
    <w:rsid w:val="00C55D15"/>
    <w:rsid w:val="00C8549B"/>
    <w:rsid w:val="00CA742F"/>
    <w:rsid w:val="00CF4998"/>
    <w:rsid w:val="00D01B69"/>
    <w:rsid w:val="00D04E3A"/>
    <w:rsid w:val="00D330A0"/>
    <w:rsid w:val="00D7558F"/>
    <w:rsid w:val="00D87E55"/>
    <w:rsid w:val="00DB5FB1"/>
    <w:rsid w:val="00DC0EEA"/>
    <w:rsid w:val="00E05CA0"/>
    <w:rsid w:val="00E12AC5"/>
    <w:rsid w:val="00E16A08"/>
    <w:rsid w:val="00E43F25"/>
    <w:rsid w:val="00E618DC"/>
    <w:rsid w:val="00E6324D"/>
    <w:rsid w:val="00E76644"/>
    <w:rsid w:val="00EF57EA"/>
    <w:rsid w:val="00F30C13"/>
    <w:rsid w:val="00FD38CF"/>
    <w:rsid w:val="03B866B6"/>
    <w:rsid w:val="0AA12B98"/>
    <w:rsid w:val="0B3E5A91"/>
    <w:rsid w:val="0D7B2511"/>
    <w:rsid w:val="264D0660"/>
    <w:rsid w:val="2DA35343"/>
    <w:rsid w:val="3D87287F"/>
    <w:rsid w:val="3E730118"/>
    <w:rsid w:val="40F135DC"/>
    <w:rsid w:val="4F624D5E"/>
    <w:rsid w:val="57525D1D"/>
    <w:rsid w:val="6D632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9F4"/>
    <w:pPr>
      <w:widowControl w:val="0"/>
      <w:jc w:val="both"/>
    </w:pPr>
    <w:rPr>
      <w:rFonts w:eastAsia="方正仿宋简体"/>
      <w:kern w:val="2"/>
      <w:sz w:val="32"/>
    </w:rPr>
  </w:style>
  <w:style w:type="paragraph" w:styleId="1">
    <w:name w:val="heading 1"/>
    <w:basedOn w:val="a"/>
    <w:next w:val="a"/>
    <w:uiPriority w:val="9"/>
    <w:qFormat/>
    <w:rsid w:val="00B329F4"/>
    <w:pPr>
      <w:spacing w:beforeAutospacing="1" w:afterAutospacing="1"/>
      <w:jc w:val="left"/>
      <w:outlineLvl w:val="0"/>
    </w:pPr>
    <w:rPr>
      <w:rFonts w:ascii="宋体" w:eastAsia="宋体" w:hAnsi="宋体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link w:val="2Char"/>
    <w:qFormat/>
    <w:rsid w:val="00B329F4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B329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329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B329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B329F4"/>
    <w:rPr>
      <w:rFonts w:ascii="Arial" w:eastAsia="黑体" w:hAnsi="Arial" w:cs="Times New Roman"/>
      <w:b/>
      <w:bCs/>
      <w:sz w:val="32"/>
      <w:szCs w:val="32"/>
    </w:rPr>
  </w:style>
  <w:style w:type="character" w:customStyle="1" w:styleId="Char1">
    <w:name w:val="页眉 Char"/>
    <w:basedOn w:val="a0"/>
    <w:link w:val="a5"/>
    <w:uiPriority w:val="99"/>
    <w:qFormat/>
    <w:rsid w:val="00B329F4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B329F4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B329F4"/>
    <w:rPr>
      <w:rFonts w:ascii="Times New Roman" w:eastAsia="方正仿宋简体" w:hAnsi="Times New Roman" w:cs="Times New Roman"/>
      <w:sz w:val="18"/>
      <w:szCs w:val="18"/>
    </w:rPr>
  </w:style>
  <w:style w:type="paragraph" w:customStyle="1" w:styleId="10">
    <w:name w:val="修订1"/>
    <w:hidden/>
    <w:uiPriority w:val="99"/>
    <w:unhideWhenUsed/>
    <w:qFormat/>
    <w:rsid w:val="00B329F4"/>
    <w:rPr>
      <w:rFonts w:eastAsia="方正仿宋简体"/>
      <w:kern w:val="2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459</Characters>
  <Application>Microsoft Office Word</Application>
  <DocSecurity>4</DocSecurity>
  <Lines>3</Lines>
  <Paragraphs>1</Paragraphs>
  <ScaleCrop>false</ScaleCrop>
  <Company>微软中国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ZHONGM</cp:lastModifiedBy>
  <cp:revision>2</cp:revision>
  <dcterms:created xsi:type="dcterms:W3CDTF">2026-01-28T16:01:00Z</dcterms:created>
  <dcterms:modified xsi:type="dcterms:W3CDTF">2026-01-28T16:01:00Z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76FDC81578944558895556FB6FFBC3B1</vt:lpwstr>
  </property>
</Properties>
</file>