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FB" w:rsidRDefault="002E56FC">
      <w:pPr>
        <w:spacing w:line="360" w:lineRule="auto"/>
        <w:jc w:val="center"/>
        <w:rPr>
          <w:rFonts w:ascii="宋体" w:hAnsi="宋体" w:cs="宋体"/>
          <w:b/>
          <w:bCs/>
          <w:sz w:val="30"/>
          <w:szCs w:val="30"/>
        </w:rPr>
      </w:pPr>
      <w:r>
        <w:rPr>
          <w:rFonts w:ascii="宋体" w:hAnsi="宋体" w:cs="宋体" w:hint="eastAsia"/>
          <w:b/>
          <w:bCs/>
          <w:sz w:val="30"/>
          <w:szCs w:val="30"/>
        </w:rPr>
        <w:t>关于调整中泰锦泉汇金货币市场基金管理费适用费率的公告</w:t>
      </w:r>
    </w:p>
    <w:p w:rsidR="002148FB" w:rsidRDefault="002148FB">
      <w:pPr>
        <w:spacing w:line="360" w:lineRule="auto"/>
        <w:ind w:firstLineChars="200" w:firstLine="480"/>
        <w:rPr>
          <w:rFonts w:ascii="宋体" w:hAnsi="宋体" w:cs="宋体"/>
          <w:sz w:val="24"/>
        </w:rPr>
      </w:pPr>
      <w:bookmarkStart w:id="0" w:name="_GoBack"/>
      <w:bookmarkEnd w:id="0"/>
    </w:p>
    <w:p w:rsidR="002148FB" w:rsidRDefault="002E56FC">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 xml:space="preserve"> </w:t>
      </w:r>
      <w:r>
        <w:rPr>
          <w:rFonts w:ascii="宋体" w:hAnsi="宋体" w:cs="宋体" w:hint="eastAsia"/>
          <w:b/>
          <w:bCs/>
          <w:szCs w:val="21"/>
        </w:rPr>
        <w:t>基金基本信息及管理费调整方案</w:t>
      </w:r>
    </w:p>
    <w:tbl>
      <w:tblPr>
        <w:tblStyle w:val="a5"/>
        <w:tblW w:w="0" w:type="auto"/>
        <w:jc w:val="center"/>
        <w:tblLook w:val="04A0"/>
      </w:tblPr>
      <w:tblGrid>
        <w:gridCol w:w="1735"/>
        <w:gridCol w:w="6787"/>
      </w:tblGrid>
      <w:tr w:rsidR="002148FB">
        <w:trPr>
          <w:trHeight w:val="350"/>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基金名称</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w:t>
            </w:r>
          </w:p>
        </w:tc>
      </w:tr>
      <w:tr w:rsidR="002148FB">
        <w:trPr>
          <w:trHeight w:val="289"/>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基金简称</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基金主代码</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014822</w:t>
            </w:r>
          </w:p>
        </w:tc>
      </w:tr>
      <w:tr w:rsidR="002148FB">
        <w:trPr>
          <w:trHeight w:val="296"/>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基金合同生效日</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2022</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28</w:t>
            </w:r>
            <w:r>
              <w:rPr>
                <w:rFonts w:asciiTheme="minorEastAsia" w:eastAsia="宋体" w:hAnsiTheme="minorEastAsia" w:cstheme="minorEastAsia" w:hint="eastAsia"/>
                <w:szCs w:val="21"/>
              </w:rPr>
              <w:t>日</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基金管理人名称</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中泰证券（上海）资产管理有限公司</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基金托管人名称</w:t>
            </w:r>
          </w:p>
        </w:tc>
        <w:tc>
          <w:tcPr>
            <w:tcW w:w="6787" w:type="dxa"/>
            <w:vAlign w:val="bottom"/>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中国证券登记结算有限责任公司</w:t>
            </w:r>
          </w:p>
        </w:tc>
      </w:tr>
      <w:tr w:rsidR="002148FB">
        <w:trPr>
          <w:trHeight w:val="614"/>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公告依据</w:t>
            </w:r>
          </w:p>
        </w:tc>
        <w:tc>
          <w:tcPr>
            <w:tcW w:w="6787" w:type="dxa"/>
            <w:vAlign w:val="center"/>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《公开募集证券投资基金信息披露管理办法》、《中泰锦泉汇金货币市场基金基金合同》、《中泰锦泉汇金货币市场基金招募说明书》</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管理费下调起始日期</w:t>
            </w:r>
          </w:p>
        </w:tc>
        <w:tc>
          <w:tcPr>
            <w:tcW w:w="6787" w:type="dxa"/>
            <w:vAlign w:val="center"/>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2026</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01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26</w:t>
            </w:r>
            <w:r>
              <w:rPr>
                <w:rFonts w:asciiTheme="minorEastAsia" w:eastAsia="宋体" w:hAnsiTheme="minorEastAsia" w:cstheme="minorEastAsia" w:hint="eastAsia"/>
                <w:szCs w:val="21"/>
              </w:rPr>
              <w:t>日</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管理费恢复起始日期</w:t>
            </w:r>
          </w:p>
        </w:tc>
        <w:tc>
          <w:tcPr>
            <w:tcW w:w="6787" w:type="dxa"/>
            <w:vAlign w:val="center"/>
          </w:tcPr>
          <w:p w:rsidR="002148FB" w:rsidRDefault="002E56FC">
            <w:pPr>
              <w:widowControl/>
              <w:ind w:firstLineChars="200" w:firstLine="420"/>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2026</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01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27</w:t>
            </w:r>
            <w:r>
              <w:rPr>
                <w:rFonts w:asciiTheme="minorEastAsia" w:eastAsia="宋体" w:hAnsiTheme="minorEastAsia" w:cstheme="minorEastAsia" w:hint="eastAsia"/>
                <w:szCs w:val="21"/>
              </w:rPr>
              <w:t>日</w:t>
            </w:r>
          </w:p>
        </w:tc>
      </w:tr>
      <w:tr w:rsidR="002148FB">
        <w:trPr>
          <w:jc w:val="center"/>
        </w:trPr>
        <w:tc>
          <w:tcPr>
            <w:tcW w:w="1735" w:type="dxa"/>
            <w:vAlign w:val="center"/>
          </w:tcPr>
          <w:p w:rsidR="002148FB" w:rsidRDefault="002E56FC">
            <w:pPr>
              <w:widowControl/>
              <w:jc w:val="left"/>
              <w:textAlignment w:val="bottom"/>
              <w:rPr>
                <w:rFonts w:asciiTheme="minorEastAsia" w:eastAsia="宋体" w:hAnsiTheme="minorEastAsia" w:cstheme="minorEastAsia"/>
                <w:szCs w:val="21"/>
              </w:rPr>
            </w:pPr>
            <w:r>
              <w:rPr>
                <w:rFonts w:asciiTheme="minorEastAsia" w:eastAsia="宋体" w:hAnsiTheme="minorEastAsia" w:cstheme="minorEastAsia" w:hint="eastAsia"/>
                <w:szCs w:val="21"/>
              </w:rPr>
              <w:t>调整原因</w:t>
            </w:r>
          </w:p>
        </w:tc>
        <w:tc>
          <w:tcPr>
            <w:tcW w:w="6787" w:type="dxa"/>
            <w:vAlign w:val="bottom"/>
          </w:tcPr>
          <w:p w:rsidR="002148FB" w:rsidRDefault="002E56FC">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《中泰锦泉汇金货币市场基金基金合同》及《中泰锦泉汇金货币市场基金招募说明书》约定：“如果以</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的管理费计算的七日年化暂估收益率小于或等于</w:t>
            </w:r>
            <w:r>
              <w:rPr>
                <w:rFonts w:asciiTheme="minorEastAsia" w:eastAsia="宋体" w:hAnsiTheme="minorEastAsia" w:cstheme="minorEastAsia" w:hint="eastAsia"/>
                <w:szCs w:val="21"/>
              </w:rPr>
              <w:t>2</w:t>
            </w:r>
            <w:r>
              <w:rPr>
                <w:rFonts w:asciiTheme="minorEastAsia" w:eastAsia="宋体" w:hAnsiTheme="minorEastAsia" w:cstheme="minorEastAsia" w:hint="eastAsia"/>
                <w:szCs w:val="21"/>
              </w:rPr>
              <w:t>倍活期存款利率，基金管理人将调整管理费为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，以降低每万份基金暂估净收益为负并引发销售机构交收透支的风险，直至该类风险消除，基金管理人方可恢复计提</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的管理费。基金管理人应在费率调整后依照《信息披露办法》的有关规定在规定媒介上公告。”</w:t>
            </w:r>
          </w:p>
          <w:p w:rsidR="002148FB" w:rsidRDefault="002E56FC">
            <w:pPr>
              <w:spacing w:line="360" w:lineRule="auto"/>
              <w:ind w:firstLineChars="200" w:firstLine="420"/>
              <w:rPr>
                <w:rFonts w:asciiTheme="minorEastAsia" w:eastAsia="宋体" w:hAnsiTheme="minorEastAsia" w:cstheme="minorEastAsia"/>
                <w:szCs w:val="21"/>
              </w:rPr>
            </w:pPr>
            <w:r>
              <w:rPr>
                <w:rFonts w:asciiTheme="minorEastAsia" w:eastAsia="宋体" w:hAnsiTheme="minorEastAsia" w:cstheme="minorEastAsia" w:hint="eastAsia"/>
                <w:szCs w:val="21"/>
              </w:rPr>
              <w:t>因触发上述管理费调整情形，基金管理人决定自</w:t>
            </w:r>
            <w:r>
              <w:rPr>
                <w:rFonts w:asciiTheme="minorEastAsia" w:eastAsia="宋体" w:hAnsiTheme="minorEastAsia" w:cstheme="minorEastAsia" w:hint="eastAsia"/>
                <w:szCs w:val="21"/>
              </w:rPr>
              <w:t>2026</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01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26</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起将本基金管理费率调整为</w:t>
            </w:r>
            <w:r>
              <w:rPr>
                <w:rFonts w:asciiTheme="minorEastAsia" w:eastAsia="宋体" w:hAnsiTheme="minorEastAsia" w:cstheme="minorEastAsia" w:hint="eastAsia"/>
                <w:szCs w:val="21"/>
              </w:rPr>
              <w:t>0.25%/</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2026</w:t>
            </w:r>
            <w:r>
              <w:rPr>
                <w:rFonts w:asciiTheme="minorEastAsia" w:eastAsia="宋体" w:hAnsiTheme="minorEastAsia" w:cstheme="minorEastAsia" w:hint="eastAsia"/>
                <w:szCs w:val="21"/>
              </w:rPr>
              <w:t>年</w:t>
            </w:r>
            <w:r>
              <w:rPr>
                <w:rFonts w:asciiTheme="minorEastAsia" w:eastAsia="宋体" w:hAnsiTheme="minorEastAsia" w:cstheme="minorEastAsia" w:hint="eastAsia"/>
                <w:szCs w:val="21"/>
              </w:rPr>
              <w:t>01</w:t>
            </w:r>
            <w:r>
              <w:rPr>
                <w:rFonts w:asciiTheme="minorEastAsia" w:eastAsia="宋体" w:hAnsiTheme="minorEastAsia" w:cstheme="minorEastAsia" w:hint="eastAsia"/>
                <w:szCs w:val="21"/>
              </w:rPr>
              <w:t>月</w:t>
            </w:r>
            <w:r>
              <w:rPr>
                <w:rFonts w:asciiTheme="minorEastAsia" w:eastAsia="宋体" w:hAnsiTheme="minorEastAsia" w:cstheme="minorEastAsia" w:hint="eastAsia"/>
                <w:szCs w:val="21"/>
              </w:rPr>
              <w:t>27</w:t>
            </w:r>
            <w:r>
              <w:rPr>
                <w:rFonts w:asciiTheme="minorEastAsia" w:eastAsia="宋体" w:hAnsiTheme="minorEastAsia" w:cstheme="minorEastAsia" w:hint="eastAsia"/>
                <w:szCs w:val="21"/>
              </w:rPr>
              <w:t>日</w:t>
            </w:r>
            <w:r>
              <w:rPr>
                <w:rFonts w:asciiTheme="minorEastAsia" w:eastAsia="宋体" w:hAnsiTheme="minorEastAsia" w:cstheme="minorEastAsia" w:hint="eastAsia"/>
                <w:szCs w:val="21"/>
              </w:rPr>
              <w:t>，前述风险已消除，本基金管理费率恢复至</w:t>
            </w:r>
            <w:r>
              <w:rPr>
                <w:rFonts w:asciiTheme="minorEastAsia" w:eastAsia="宋体" w:hAnsiTheme="minorEastAsia" w:cstheme="minorEastAsia" w:hint="eastAsia"/>
                <w:szCs w:val="21"/>
              </w:rPr>
              <w:t>0.90%/</w:t>
            </w:r>
            <w:r>
              <w:rPr>
                <w:rFonts w:asciiTheme="minorEastAsia" w:eastAsia="宋体" w:hAnsiTheme="minorEastAsia" w:cstheme="minorEastAsia" w:hint="eastAsia"/>
                <w:szCs w:val="21"/>
              </w:rPr>
              <w:t>年。</w:t>
            </w:r>
          </w:p>
        </w:tc>
      </w:tr>
    </w:tbl>
    <w:p w:rsidR="002148FB" w:rsidRDefault="002148FB">
      <w:pPr>
        <w:spacing w:line="360" w:lineRule="auto"/>
        <w:ind w:firstLineChars="200" w:firstLine="420"/>
        <w:rPr>
          <w:rFonts w:ascii="宋体" w:hAnsi="宋体" w:cs="宋体"/>
          <w:szCs w:val="21"/>
        </w:rPr>
      </w:pPr>
    </w:p>
    <w:p w:rsidR="002148FB" w:rsidRDefault="002E56FC">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、其他需要提示的事项</w:t>
      </w:r>
    </w:p>
    <w:p w:rsidR="002148FB" w:rsidRDefault="002E56FC">
      <w:pPr>
        <w:numPr>
          <w:ilvl w:val="0"/>
          <w:numId w:val="1"/>
        </w:numPr>
        <w:spacing w:line="360" w:lineRule="auto"/>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rPr>
        <w:t>投资者可通过下列渠道了解相关信息：</w:t>
      </w:r>
    </w:p>
    <w:p w:rsidR="002148FB" w:rsidRDefault="002E56FC">
      <w:pPr>
        <w:numPr>
          <w:ilvl w:val="0"/>
          <w:numId w:val="2"/>
        </w:numPr>
        <w:spacing w:line="360" w:lineRule="auto"/>
        <w:rPr>
          <w:rFonts w:asciiTheme="majorEastAsia" w:eastAsiaTheme="majorEastAsia" w:hAnsiTheme="majorEastAsia" w:cstheme="majorEastAsia"/>
        </w:rPr>
      </w:pPr>
      <w:r>
        <w:rPr>
          <w:rFonts w:asciiTheme="majorEastAsia" w:eastAsiaTheme="majorEastAsia" w:hAnsiTheme="majorEastAsia" w:cstheme="majorEastAsia" w:hint="eastAsia"/>
        </w:rPr>
        <w:t>中泰证券（上海）资产管理有限公司客户服务电话：</w:t>
      </w:r>
      <w:r>
        <w:rPr>
          <w:rFonts w:asciiTheme="majorEastAsia" w:eastAsiaTheme="majorEastAsia" w:hAnsiTheme="majorEastAsia" w:cstheme="majorEastAsia" w:hint="eastAsia"/>
        </w:rPr>
        <w:t>400-821-0808</w:t>
      </w:r>
      <w:r>
        <w:rPr>
          <w:rFonts w:asciiTheme="majorEastAsia" w:eastAsiaTheme="majorEastAsia" w:hAnsiTheme="majorEastAsia" w:cstheme="majorEastAsia" w:hint="eastAsia"/>
        </w:rPr>
        <w:t>；</w:t>
      </w:r>
    </w:p>
    <w:p w:rsidR="002148FB" w:rsidRDefault="002E56FC">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中泰证券（上海）资产管理有限公司网站：</w:t>
      </w:r>
      <w:r>
        <w:rPr>
          <w:rFonts w:asciiTheme="majorEastAsia" w:eastAsiaTheme="majorEastAsia" w:hAnsiTheme="majorEastAsia" w:cstheme="majorEastAsia" w:hint="eastAsia"/>
        </w:rPr>
        <w:t>www.ztzqzg.com</w:t>
      </w:r>
      <w:r>
        <w:rPr>
          <w:rFonts w:asciiTheme="majorEastAsia" w:eastAsiaTheme="majorEastAsia" w:hAnsiTheme="majorEastAsia" w:cstheme="majorEastAsia" w:hint="eastAsia"/>
        </w:rPr>
        <w:t>；</w:t>
      </w:r>
    </w:p>
    <w:p w:rsidR="002148FB" w:rsidRDefault="002E56FC">
      <w:pPr>
        <w:numPr>
          <w:ilvl w:val="0"/>
          <w:numId w:val="2"/>
        </w:num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rPr>
        <w:t>本基金销售机构：中泰证券股份有限公司</w:t>
      </w:r>
    </w:p>
    <w:p w:rsidR="002148FB" w:rsidRDefault="002E56FC">
      <w:pPr>
        <w:numPr>
          <w:ilvl w:val="0"/>
          <w:numId w:val="1"/>
        </w:numPr>
        <w:spacing w:line="360" w:lineRule="auto"/>
        <w:ind w:firstLineChars="200" w:firstLine="420"/>
        <w:rPr>
          <w:rFonts w:ascii="宋体" w:hAnsi="宋体" w:cs="宋体"/>
          <w:szCs w:val="21"/>
        </w:rPr>
      </w:pPr>
      <w:r>
        <w:rPr>
          <w:rFonts w:hint="eastAsia"/>
        </w:rPr>
        <w:t>  </w:t>
      </w:r>
      <w:r>
        <w:rPr>
          <w:rFonts w:hint="eastAsia"/>
        </w:rPr>
        <w:t>风险提示</w:t>
      </w:r>
    </w:p>
    <w:p w:rsidR="002148FB" w:rsidRDefault="002E56FC">
      <w:pPr>
        <w:spacing w:line="360" w:lineRule="auto"/>
        <w:ind w:firstLineChars="200" w:firstLine="420"/>
      </w:pPr>
      <w:r>
        <w:rPr>
          <w:rFonts w:hint="eastAsia"/>
        </w:rPr>
        <w:t>基金管理人承诺以诚实信用、勤勉尽责的原则管理和运用基金资产，但不保证基金一定</w:t>
      </w:r>
      <w:r>
        <w:rPr>
          <w:rFonts w:hint="eastAsia"/>
        </w:rPr>
        <w:lastRenderedPageBreak/>
        <w:t>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w:t>
      </w:r>
      <w:r>
        <w:rPr>
          <w:rFonts w:hint="eastAsia"/>
        </w:rPr>
        <w:t>"</w:t>
      </w:r>
      <w:r>
        <w:rPr>
          <w:rFonts w:hint="eastAsia"/>
        </w:rPr>
        <w:t>买者自负</w:t>
      </w:r>
      <w:r>
        <w:rPr>
          <w:rFonts w:hint="eastAsia"/>
        </w:rPr>
        <w:t>"</w:t>
      </w:r>
      <w:r>
        <w:rPr>
          <w:rFonts w:hint="eastAsia"/>
        </w:rPr>
        <w:t>原则，请投资者根据自身的风险承受能力选择适合自己的基金产品。</w:t>
      </w:r>
    </w:p>
    <w:p w:rsidR="002148FB" w:rsidRDefault="002E56FC">
      <w:pPr>
        <w:spacing w:line="360" w:lineRule="auto"/>
        <w:ind w:firstLineChars="200" w:firstLine="420"/>
        <w:rPr>
          <w:rFonts w:ascii="宋体" w:hAnsi="宋体" w:cs="宋体"/>
          <w:szCs w:val="21"/>
        </w:rPr>
      </w:pPr>
      <w:r>
        <w:rPr>
          <w:rFonts w:hint="eastAsia"/>
        </w:rPr>
        <w:t>本基金是以投资者交易结算资金为管理对象的货币市场基金，购买货币市场基金并不等于将资金作为存款存放在银行或者存款类金融</w:t>
      </w:r>
      <w:r>
        <w:rPr>
          <w:rFonts w:hint="eastAsia"/>
        </w:rPr>
        <w:t>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p>
    <w:p w:rsidR="002148FB" w:rsidRDefault="002148FB">
      <w:pPr>
        <w:spacing w:line="360" w:lineRule="auto"/>
        <w:rPr>
          <w:rFonts w:ascii="宋体" w:hAnsi="宋体" w:cs="宋体"/>
          <w:szCs w:val="21"/>
        </w:rPr>
      </w:pPr>
    </w:p>
    <w:p w:rsidR="002148FB" w:rsidRDefault="002E56FC">
      <w:pPr>
        <w:spacing w:line="360" w:lineRule="auto"/>
        <w:jc w:val="right"/>
        <w:rPr>
          <w:rFonts w:asciiTheme="minorEastAsia" w:eastAsia="宋体" w:hAnsiTheme="minorEastAsia" w:cstheme="minorEastAsia"/>
          <w:b/>
          <w:bCs/>
          <w:szCs w:val="21"/>
        </w:rPr>
      </w:pPr>
      <w:r>
        <w:rPr>
          <w:rFonts w:asciiTheme="minorEastAsia" w:eastAsia="宋体" w:hAnsiTheme="minorEastAsia" w:cstheme="minorEastAsia" w:hint="eastAsia"/>
          <w:b/>
          <w:bCs/>
          <w:szCs w:val="21"/>
        </w:rPr>
        <w:t>中泰证券（上海）资产管理有限公司</w:t>
      </w:r>
    </w:p>
    <w:p w:rsidR="002148FB" w:rsidRDefault="002E56FC">
      <w:pPr>
        <w:wordWrap w:val="0"/>
        <w:spacing w:line="360" w:lineRule="auto"/>
        <w:jc w:val="right"/>
        <w:rPr>
          <w:rFonts w:ascii="宋体" w:hAnsi="宋体" w:cs="宋体"/>
          <w:b/>
          <w:bCs/>
          <w:szCs w:val="21"/>
        </w:rPr>
      </w:pPr>
      <w:r>
        <w:rPr>
          <w:rFonts w:ascii="宋体" w:hAnsi="宋体" w:cs="宋体" w:hint="eastAsia"/>
          <w:b/>
          <w:bCs/>
          <w:szCs w:val="21"/>
        </w:rPr>
        <w:t>2026</w:t>
      </w:r>
      <w:r>
        <w:rPr>
          <w:rFonts w:ascii="宋体" w:hAnsi="宋体" w:cs="宋体" w:hint="eastAsia"/>
          <w:b/>
          <w:bCs/>
          <w:szCs w:val="21"/>
        </w:rPr>
        <w:t>年</w:t>
      </w:r>
      <w:r>
        <w:rPr>
          <w:rFonts w:ascii="宋体" w:hAnsi="宋体" w:cs="宋体" w:hint="eastAsia"/>
          <w:b/>
          <w:bCs/>
          <w:szCs w:val="21"/>
        </w:rPr>
        <w:t>01</w:t>
      </w:r>
      <w:r>
        <w:rPr>
          <w:rFonts w:ascii="宋体" w:hAnsi="宋体" w:cs="宋体" w:hint="eastAsia"/>
          <w:b/>
          <w:bCs/>
          <w:szCs w:val="21"/>
        </w:rPr>
        <w:t>月</w:t>
      </w:r>
      <w:r>
        <w:rPr>
          <w:rFonts w:ascii="宋体" w:hAnsi="宋体" w:cs="宋体" w:hint="eastAsia"/>
          <w:b/>
          <w:bCs/>
          <w:szCs w:val="21"/>
        </w:rPr>
        <w:t>28</w:t>
      </w:r>
      <w:r>
        <w:rPr>
          <w:rFonts w:ascii="宋体" w:hAnsi="宋体" w:cs="宋体" w:hint="eastAsia"/>
          <w:b/>
          <w:bCs/>
          <w:szCs w:val="21"/>
        </w:rPr>
        <w:t>日</w:t>
      </w:r>
    </w:p>
    <w:p w:rsidR="002148FB" w:rsidRDefault="002148FB">
      <w:pPr>
        <w:spacing w:line="360" w:lineRule="auto"/>
        <w:jc w:val="center"/>
        <w:rPr>
          <w:rFonts w:ascii="宋体" w:hAnsi="宋体" w:cs="宋体"/>
          <w:szCs w:val="21"/>
        </w:rPr>
      </w:pPr>
    </w:p>
    <w:sectPr w:rsidR="002148FB" w:rsidSect="002148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A51ACC"/>
    <w:multiLevelType w:val="singleLevel"/>
    <w:tmpl w:val="B1A51ACC"/>
    <w:lvl w:ilvl="0">
      <w:start w:val="1"/>
      <w:numFmt w:val="decimal"/>
      <w:lvlText w:val="%1)"/>
      <w:lvlJc w:val="left"/>
      <w:pPr>
        <w:tabs>
          <w:tab w:val="left" w:pos="312"/>
        </w:tabs>
        <w:ind w:left="514" w:firstLine="0"/>
      </w:pPr>
    </w:lvl>
  </w:abstractNum>
  <w:abstractNum w:abstractNumId="1">
    <w:nsid w:val="26582FE8"/>
    <w:multiLevelType w:val="singleLevel"/>
    <w:tmpl w:val="26582FE8"/>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802CA7"/>
    <w:rsid w:val="002148FB"/>
    <w:rsid w:val="002E56FC"/>
    <w:rsid w:val="004D53DC"/>
    <w:rsid w:val="006B0A6F"/>
    <w:rsid w:val="006E3665"/>
    <w:rsid w:val="00795CF9"/>
    <w:rsid w:val="007A23A4"/>
    <w:rsid w:val="007E1471"/>
    <w:rsid w:val="00802CA7"/>
    <w:rsid w:val="009661BF"/>
    <w:rsid w:val="00D026AE"/>
    <w:rsid w:val="00D02D71"/>
    <w:rsid w:val="00D83EA1"/>
    <w:rsid w:val="00FD0620"/>
    <w:rsid w:val="098D2289"/>
    <w:rsid w:val="14403C27"/>
    <w:rsid w:val="1821536A"/>
    <w:rsid w:val="199C048A"/>
    <w:rsid w:val="1C150072"/>
    <w:rsid w:val="28382BD7"/>
    <w:rsid w:val="2A436478"/>
    <w:rsid w:val="367D667D"/>
    <w:rsid w:val="375D2AD7"/>
    <w:rsid w:val="39062151"/>
    <w:rsid w:val="3EB62A83"/>
    <w:rsid w:val="4764184A"/>
    <w:rsid w:val="4BFB58D4"/>
    <w:rsid w:val="4D74698C"/>
    <w:rsid w:val="4FB425C0"/>
    <w:rsid w:val="50A51D3B"/>
    <w:rsid w:val="515E246E"/>
    <w:rsid w:val="54E933CE"/>
    <w:rsid w:val="55BD1E4A"/>
    <w:rsid w:val="572D51F9"/>
    <w:rsid w:val="5CD53A4D"/>
    <w:rsid w:val="5CEB1A3E"/>
    <w:rsid w:val="61415711"/>
    <w:rsid w:val="64850BC1"/>
    <w:rsid w:val="69C505E6"/>
    <w:rsid w:val="6C712C96"/>
    <w:rsid w:val="6E233564"/>
    <w:rsid w:val="6ED3771E"/>
    <w:rsid w:val="71DA44EA"/>
    <w:rsid w:val="72463DF8"/>
    <w:rsid w:val="750061AF"/>
    <w:rsid w:val="7BF96D55"/>
    <w:rsid w:val="7D9622F5"/>
    <w:rsid w:val="7F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8F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148FB"/>
    <w:pPr>
      <w:tabs>
        <w:tab w:val="center" w:pos="4153"/>
        <w:tab w:val="right" w:pos="8306"/>
      </w:tabs>
      <w:snapToGrid w:val="0"/>
      <w:jc w:val="left"/>
    </w:pPr>
    <w:rPr>
      <w:sz w:val="18"/>
      <w:szCs w:val="18"/>
    </w:rPr>
  </w:style>
  <w:style w:type="paragraph" w:styleId="a4">
    <w:name w:val="header"/>
    <w:basedOn w:val="a"/>
    <w:link w:val="Char0"/>
    <w:qFormat/>
    <w:rsid w:val="002148FB"/>
    <w:pPr>
      <w:tabs>
        <w:tab w:val="center" w:pos="4153"/>
        <w:tab w:val="right" w:pos="8306"/>
      </w:tabs>
      <w:snapToGrid w:val="0"/>
      <w:jc w:val="center"/>
    </w:pPr>
    <w:rPr>
      <w:sz w:val="18"/>
      <w:szCs w:val="18"/>
    </w:rPr>
  </w:style>
  <w:style w:type="table" w:styleId="a5">
    <w:name w:val="Table Grid"/>
    <w:basedOn w:val="a1"/>
    <w:qFormat/>
    <w:rsid w:val="002148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148FB"/>
    <w:rPr>
      <w:color w:val="0000FF"/>
      <w:u w:val="single"/>
    </w:rPr>
  </w:style>
  <w:style w:type="character" w:customStyle="1" w:styleId="Char0">
    <w:name w:val="页眉 Char"/>
    <w:basedOn w:val="a0"/>
    <w:link w:val="a4"/>
    <w:qFormat/>
    <w:rsid w:val="002148FB"/>
    <w:rPr>
      <w:rFonts w:asciiTheme="minorHAnsi" w:eastAsiaTheme="minorEastAsia" w:hAnsiTheme="minorHAnsi" w:cstheme="minorBidi"/>
      <w:kern w:val="2"/>
      <w:sz w:val="18"/>
      <w:szCs w:val="18"/>
    </w:rPr>
  </w:style>
  <w:style w:type="character" w:customStyle="1" w:styleId="Char">
    <w:name w:val="页脚 Char"/>
    <w:basedOn w:val="a0"/>
    <w:link w:val="a3"/>
    <w:qFormat/>
    <w:rsid w:val="002148FB"/>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2148FB"/>
    <w:rPr>
      <w:rFonts w:asciiTheme="minorHAnsi" w:eastAsiaTheme="minorEastAsia" w:hAnsiTheme="minorHAnsi" w:cstheme="minorBidi"/>
      <w:kern w:val="2"/>
      <w:sz w:val="21"/>
      <w:szCs w:val="24"/>
    </w:rPr>
  </w:style>
  <w:style w:type="paragraph" w:customStyle="1" w:styleId="2">
    <w:name w:val="修订2"/>
    <w:hidden/>
    <w:uiPriority w:val="99"/>
    <w:unhideWhenUsed/>
    <w:qFormat/>
    <w:rsid w:val="002148FB"/>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4</DocSecurity>
  <Lines>7</Lines>
  <Paragraphs>2</Paragraphs>
  <ScaleCrop>false</ScaleCrop>
  <Company>CNSTOCK</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2026-01-27T16:00:00Z</dcterms:created>
  <dcterms:modified xsi:type="dcterms:W3CDTF">2026-01-27T16:00:00Z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62102DC8C56E4E2285566AAA6B02445D</vt:lpwstr>
  </property>
</Properties>
</file>