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AF" w:rsidRDefault="00882AAF" w:rsidP="00882AAF">
      <w:pPr>
        <w:widowControl/>
        <w:snapToGrid w:val="0"/>
        <w:spacing w:line="360" w:lineRule="auto"/>
        <w:jc w:val="left"/>
        <w:rPr>
          <w:rFonts w:ascii="楷体" w:eastAsia="楷体" w:hAnsi="楷体"/>
          <w:kern w:val="0"/>
          <w:sz w:val="24"/>
          <w:szCs w:val="24"/>
        </w:rPr>
      </w:pPr>
    </w:p>
    <w:p w:rsidR="00882AAF" w:rsidRPr="00875BFC" w:rsidRDefault="005409D0" w:rsidP="00A84B8E">
      <w:pPr>
        <w:jc w:val="center"/>
        <w:rPr>
          <w:rFonts w:ascii="黑体" w:eastAsia="黑体" w:hAnsi="黑体"/>
          <w:b/>
          <w:sz w:val="30"/>
          <w:szCs w:val="30"/>
        </w:rPr>
      </w:pPr>
      <w:r w:rsidRPr="005409D0">
        <w:rPr>
          <w:rFonts w:ascii="黑体" w:eastAsia="黑体" w:hAnsi="黑体" w:hint="eastAsia"/>
          <w:b/>
          <w:sz w:val="30"/>
          <w:szCs w:val="30"/>
        </w:rPr>
        <w:t>天弘基金管理有限公司</w:t>
      </w:r>
      <w:r w:rsidR="00882AAF" w:rsidRPr="00875BFC">
        <w:rPr>
          <w:rFonts w:ascii="黑体" w:eastAsia="黑体" w:hAnsi="黑体" w:hint="eastAsia"/>
          <w:b/>
          <w:sz w:val="30"/>
          <w:szCs w:val="30"/>
        </w:rPr>
        <w:t>关于</w:t>
      </w:r>
      <w:r>
        <w:rPr>
          <w:rFonts w:ascii="黑体" w:eastAsia="黑体" w:hAnsi="黑体" w:hint="eastAsia"/>
          <w:b/>
          <w:sz w:val="30"/>
          <w:szCs w:val="30"/>
        </w:rPr>
        <w:t>旗下部分基金</w:t>
      </w:r>
      <w:r w:rsidR="00882AAF" w:rsidRPr="00875BFC">
        <w:rPr>
          <w:rFonts w:ascii="黑体" w:eastAsia="黑体" w:hAnsi="黑体" w:hint="eastAsia"/>
          <w:b/>
          <w:sz w:val="30"/>
          <w:szCs w:val="30"/>
        </w:rPr>
        <w:t>流动性服务商</w:t>
      </w:r>
      <w:r w:rsidR="007D74C1">
        <w:rPr>
          <w:rFonts w:ascii="黑体" w:eastAsia="黑体" w:hAnsi="黑体" w:hint="eastAsia"/>
          <w:b/>
          <w:sz w:val="30"/>
          <w:szCs w:val="30"/>
        </w:rPr>
        <w:t>终止</w:t>
      </w:r>
      <w:r w:rsidR="00882AAF" w:rsidRPr="00875BFC">
        <w:rPr>
          <w:rFonts w:ascii="黑体" w:eastAsia="黑体" w:hAnsi="黑体" w:hint="eastAsia"/>
          <w:b/>
          <w:sz w:val="30"/>
          <w:szCs w:val="30"/>
        </w:rPr>
        <w:t>的公告</w:t>
      </w:r>
    </w:p>
    <w:p w:rsidR="00882AAF" w:rsidRPr="00FC2A28" w:rsidRDefault="00882AAF" w:rsidP="00722913">
      <w:pPr>
        <w:spacing w:line="360" w:lineRule="auto"/>
      </w:pPr>
      <w:r w:rsidRPr="00FC2A28">
        <w:t xml:space="preserve"> </w:t>
      </w:r>
    </w:p>
    <w:p w:rsidR="00882AAF" w:rsidRPr="005409D0" w:rsidRDefault="00882AAF" w:rsidP="00722913">
      <w:pPr>
        <w:spacing w:line="360" w:lineRule="auto"/>
        <w:rPr>
          <w:rFonts w:ascii="仿宋" w:eastAsia="仿宋" w:hAnsi="仿宋"/>
          <w:sz w:val="24"/>
        </w:rPr>
      </w:pPr>
      <w:r w:rsidRPr="0099351A">
        <w:rPr>
          <w:rFonts w:hint="eastAsia"/>
          <w:sz w:val="24"/>
        </w:rPr>
        <w:t xml:space="preserve">　</w:t>
      </w:r>
      <w:r w:rsidRPr="005409D0">
        <w:rPr>
          <w:rFonts w:ascii="仿宋" w:eastAsia="仿宋" w:hAnsi="仿宋" w:hint="eastAsia"/>
          <w:sz w:val="24"/>
        </w:rPr>
        <w:t xml:space="preserve">　</w:t>
      </w:r>
      <w:r w:rsidRPr="005409D0">
        <w:rPr>
          <w:rFonts w:ascii="仿宋" w:eastAsia="仿宋" w:hAnsi="仿宋" w:hint="eastAsia"/>
          <w:sz w:val="24"/>
          <w:szCs w:val="24"/>
        </w:rPr>
        <w:t>根据《</w:t>
      </w:r>
      <w:r w:rsidR="00B60988" w:rsidRPr="005409D0">
        <w:rPr>
          <w:rFonts w:ascii="仿宋" w:eastAsia="仿宋" w:hAnsi="仿宋" w:hint="eastAsia"/>
          <w:sz w:val="24"/>
          <w:szCs w:val="24"/>
        </w:rPr>
        <w:t>深圳证券交易所证券投资基金业务指引第2号——流动性服务</w:t>
      </w:r>
      <w:r w:rsidRPr="005409D0">
        <w:rPr>
          <w:rFonts w:ascii="仿宋" w:eastAsia="仿宋" w:hAnsi="仿宋" w:hint="eastAsia"/>
          <w:sz w:val="24"/>
          <w:szCs w:val="24"/>
        </w:rPr>
        <w:t>》等有关规定，自</w:t>
      </w:r>
      <w:r w:rsidR="005240B2" w:rsidRPr="005409D0">
        <w:rPr>
          <w:rFonts w:ascii="仿宋" w:eastAsia="仿宋" w:hAnsi="仿宋" w:hint="eastAsia"/>
          <w:sz w:val="24"/>
          <w:szCs w:val="24"/>
        </w:rPr>
        <w:t>202</w:t>
      </w:r>
      <w:r w:rsidR="005409D0">
        <w:rPr>
          <w:rFonts w:ascii="仿宋" w:eastAsia="仿宋" w:hAnsi="仿宋"/>
          <w:sz w:val="24"/>
          <w:szCs w:val="24"/>
        </w:rPr>
        <w:t>6</w:t>
      </w:r>
      <w:r w:rsidRPr="005409D0">
        <w:rPr>
          <w:rFonts w:ascii="仿宋" w:eastAsia="仿宋" w:hAnsi="仿宋" w:hint="eastAsia"/>
          <w:sz w:val="24"/>
          <w:szCs w:val="24"/>
        </w:rPr>
        <w:t>年</w:t>
      </w:r>
      <w:r w:rsidR="005409D0">
        <w:rPr>
          <w:rFonts w:ascii="仿宋" w:eastAsia="仿宋" w:hAnsi="仿宋"/>
          <w:sz w:val="24"/>
          <w:szCs w:val="24"/>
        </w:rPr>
        <w:t>1</w:t>
      </w:r>
      <w:r w:rsidRPr="005409D0">
        <w:rPr>
          <w:rFonts w:ascii="仿宋" w:eastAsia="仿宋" w:hAnsi="仿宋" w:hint="eastAsia"/>
          <w:sz w:val="24"/>
          <w:szCs w:val="24"/>
        </w:rPr>
        <w:t>月</w:t>
      </w:r>
      <w:r w:rsidR="00B10875">
        <w:rPr>
          <w:rFonts w:ascii="仿宋" w:eastAsia="仿宋" w:hAnsi="仿宋"/>
          <w:sz w:val="24"/>
          <w:szCs w:val="24"/>
        </w:rPr>
        <w:t>27</w:t>
      </w:r>
      <w:bookmarkStart w:id="0" w:name="_GoBack"/>
      <w:bookmarkEnd w:id="0"/>
      <w:r w:rsidRPr="005409D0">
        <w:rPr>
          <w:rFonts w:ascii="仿宋" w:eastAsia="仿宋" w:hAnsi="仿宋" w:hint="eastAsia"/>
          <w:sz w:val="24"/>
          <w:szCs w:val="24"/>
        </w:rPr>
        <w:t>日起，本公司</w:t>
      </w:r>
      <w:r w:rsidR="001D46AB" w:rsidRPr="005409D0">
        <w:rPr>
          <w:rFonts w:ascii="仿宋" w:eastAsia="仿宋" w:hAnsi="仿宋" w:hint="eastAsia"/>
          <w:sz w:val="24"/>
          <w:szCs w:val="24"/>
        </w:rPr>
        <w:t>终止</w:t>
      </w:r>
      <w:r w:rsidR="005409D0" w:rsidRPr="005409D0">
        <w:rPr>
          <w:rFonts w:ascii="仿宋" w:eastAsia="仿宋" w:hAnsi="仿宋" w:hint="eastAsia"/>
          <w:sz w:val="24"/>
          <w:szCs w:val="24"/>
        </w:rPr>
        <w:t>长江证券股份有限公司</w:t>
      </w:r>
      <w:r w:rsidR="005409D0">
        <w:rPr>
          <w:rFonts w:ascii="仿宋" w:eastAsia="仿宋" w:hAnsi="仿宋" w:hint="eastAsia"/>
          <w:sz w:val="24"/>
          <w:szCs w:val="24"/>
        </w:rPr>
        <w:t>为</w:t>
      </w:r>
      <w:r w:rsidR="005409D0" w:rsidRPr="005409D0">
        <w:rPr>
          <w:rFonts w:ascii="仿宋" w:eastAsia="仿宋" w:hAnsi="仿宋" w:hint="eastAsia"/>
          <w:sz w:val="24"/>
          <w:szCs w:val="24"/>
        </w:rPr>
        <w:t>天弘中证计算机主题交易型开放式指数证券投资基金</w:t>
      </w:r>
      <w:r w:rsidR="005240B2" w:rsidRPr="005409D0">
        <w:rPr>
          <w:rFonts w:ascii="仿宋" w:eastAsia="仿宋" w:hAnsi="仿宋" w:hint="eastAsia"/>
          <w:sz w:val="24"/>
        </w:rPr>
        <w:t>（场内简称：</w:t>
      </w:r>
      <w:r w:rsidR="005409D0" w:rsidRPr="005409D0">
        <w:rPr>
          <w:rFonts w:ascii="仿宋" w:eastAsia="仿宋" w:hAnsi="仿宋" w:hint="eastAsia"/>
          <w:sz w:val="24"/>
        </w:rPr>
        <w:t>计算机ETF</w:t>
      </w:r>
      <w:r w:rsidR="007E1450" w:rsidRPr="005409D0">
        <w:rPr>
          <w:rFonts w:ascii="仿宋" w:eastAsia="仿宋" w:hAnsi="仿宋"/>
          <w:sz w:val="24"/>
        </w:rPr>
        <w:t>，</w:t>
      </w:r>
      <w:r w:rsidR="005240B2" w:rsidRPr="005409D0">
        <w:rPr>
          <w:rFonts w:ascii="仿宋" w:eastAsia="仿宋" w:hAnsi="仿宋" w:hint="eastAsia"/>
          <w:sz w:val="24"/>
        </w:rPr>
        <w:t>代码：</w:t>
      </w:r>
      <w:r w:rsidR="005409D0">
        <w:rPr>
          <w:rFonts w:ascii="仿宋" w:eastAsia="仿宋" w:hAnsi="仿宋"/>
          <w:sz w:val="24"/>
        </w:rPr>
        <w:t>159998</w:t>
      </w:r>
      <w:r w:rsidR="005240B2" w:rsidRPr="005409D0">
        <w:rPr>
          <w:rFonts w:ascii="仿宋" w:eastAsia="仿宋" w:hAnsi="仿宋" w:hint="eastAsia"/>
          <w:sz w:val="24"/>
        </w:rPr>
        <w:t>）</w:t>
      </w:r>
      <w:r w:rsidR="005409D0">
        <w:rPr>
          <w:rFonts w:ascii="仿宋" w:eastAsia="仿宋" w:hAnsi="仿宋" w:hint="eastAsia"/>
          <w:sz w:val="24"/>
        </w:rPr>
        <w:t>、</w:t>
      </w:r>
      <w:r w:rsidR="005409D0" w:rsidRPr="005409D0">
        <w:rPr>
          <w:rFonts w:ascii="仿宋" w:eastAsia="仿宋" w:hAnsi="仿宋" w:hint="eastAsia"/>
          <w:sz w:val="24"/>
          <w:szCs w:val="24"/>
        </w:rPr>
        <w:t>天弘中证电子交易型开放式指数证券投资基金</w:t>
      </w:r>
      <w:r w:rsidR="005409D0" w:rsidRPr="005409D0">
        <w:rPr>
          <w:rFonts w:ascii="仿宋" w:eastAsia="仿宋" w:hAnsi="仿宋" w:hint="eastAsia"/>
          <w:sz w:val="24"/>
        </w:rPr>
        <w:t>（场内简称：电子ETF</w:t>
      </w:r>
      <w:r w:rsidR="005409D0" w:rsidRPr="005409D0">
        <w:rPr>
          <w:rFonts w:ascii="仿宋" w:eastAsia="仿宋" w:hAnsi="仿宋"/>
          <w:sz w:val="24"/>
        </w:rPr>
        <w:t>，</w:t>
      </w:r>
      <w:r w:rsidR="005409D0" w:rsidRPr="005409D0">
        <w:rPr>
          <w:rFonts w:ascii="仿宋" w:eastAsia="仿宋" w:hAnsi="仿宋" w:hint="eastAsia"/>
          <w:sz w:val="24"/>
        </w:rPr>
        <w:t>代码：</w:t>
      </w:r>
      <w:r w:rsidR="005409D0" w:rsidRPr="005409D0">
        <w:rPr>
          <w:rFonts w:ascii="仿宋" w:eastAsia="仿宋" w:hAnsi="仿宋"/>
          <w:sz w:val="24"/>
        </w:rPr>
        <w:t>159997</w:t>
      </w:r>
      <w:r w:rsidR="005409D0" w:rsidRPr="005409D0">
        <w:rPr>
          <w:rFonts w:ascii="仿宋" w:eastAsia="仿宋" w:hAnsi="仿宋" w:hint="eastAsia"/>
          <w:sz w:val="24"/>
        </w:rPr>
        <w:t>）</w:t>
      </w:r>
      <w:r w:rsidR="002250A4" w:rsidRPr="005409D0">
        <w:rPr>
          <w:rFonts w:ascii="仿宋" w:eastAsia="仿宋" w:hAnsi="仿宋" w:hint="eastAsia"/>
          <w:sz w:val="24"/>
        </w:rPr>
        <w:t>提供流动性服务</w:t>
      </w:r>
      <w:r w:rsidRPr="005409D0">
        <w:rPr>
          <w:rFonts w:ascii="仿宋" w:eastAsia="仿宋" w:hAnsi="仿宋" w:hint="eastAsia"/>
          <w:sz w:val="24"/>
        </w:rPr>
        <w:t>。</w:t>
      </w:r>
    </w:p>
    <w:p w:rsidR="00882AAF" w:rsidRPr="005409D0" w:rsidRDefault="00882AAF" w:rsidP="00722913">
      <w:pPr>
        <w:spacing w:line="360" w:lineRule="auto"/>
        <w:jc w:val="right"/>
        <w:rPr>
          <w:rFonts w:ascii="仿宋" w:eastAsia="仿宋" w:hAnsi="仿宋"/>
          <w:sz w:val="24"/>
        </w:rPr>
      </w:pPr>
      <w:r w:rsidRPr="005409D0">
        <w:rPr>
          <w:rFonts w:ascii="仿宋" w:eastAsia="仿宋" w:hAnsi="仿宋"/>
          <w:sz w:val="24"/>
        </w:rPr>
        <w:t xml:space="preserve"> </w:t>
      </w:r>
    </w:p>
    <w:p w:rsidR="00882AAF" w:rsidRPr="005409D0" w:rsidRDefault="00882AAF" w:rsidP="00722913">
      <w:pPr>
        <w:spacing w:line="360" w:lineRule="auto"/>
        <w:jc w:val="left"/>
        <w:rPr>
          <w:rFonts w:ascii="仿宋" w:eastAsia="仿宋" w:hAnsi="仿宋"/>
          <w:sz w:val="24"/>
        </w:rPr>
      </w:pPr>
      <w:r w:rsidRPr="005409D0">
        <w:rPr>
          <w:rFonts w:ascii="仿宋" w:eastAsia="仿宋" w:hAnsi="仿宋" w:hint="eastAsia"/>
          <w:sz w:val="24"/>
        </w:rPr>
        <w:t xml:space="preserve">　　特此公告。</w:t>
      </w:r>
    </w:p>
    <w:p w:rsidR="00882AAF" w:rsidRPr="005409D0" w:rsidRDefault="00882AAF" w:rsidP="00722913">
      <w:pPr>
        <w:spacing w:line="360" w:lineRule="auto"/>
        <w:jc w:val="right"/>
        <w:rPr>
          <w:rFonts w:ascii="仿宋" w:eastAsia="仿宋" w:hAnsi="仿宋"/>
          <w:sz w:val="24"/>
        </w:rPr>
      </w:pPr>
      <w:r w:rsidRPr="005409D0">
        <w:rPr>
          <w:rFonts w:ascii="仿宋" w:eastAsia="仿宋" w:hAnsi="仿宋"/>
          <w:sz w:val="24"/>
        </w:rPr>
        <w:t xml:space="preserve"> </w:t>
      </w:r>
    </w:p>
    <w:p w:rsidR="00882AAF" w:rsidRPr="005409D0" w:rsidRDefault="005240B2" w:rsidP="005240B2">
      <w:pPr>
        <w:spacing w:line="360" w:lineRule="auto"/>
        <w:ind w:firstLine="420"/>
        <w:jc w:val="right"/>
        <w:rPr>
          <w:rFonts w:ascii="仿宋" w:eastAsia="仿宋" w:hAnsi="仿宋"/>
          <w:sz w:val="24"/>
        </w:rPr>
      </w:pPr>
      <w:r w:rsidRPr="005409D0">
        <w:rPr>
          <w:rFonts w:ascii="仿宋" w:eastAsia="仿宋" w:hAnsi="仿宋" w:hint="eastAsia"/>
          <w:sz w:val="24"/>
        </w:rPr>
        <w:t>天弘基金管理有限公司</w:t>
      </w:r>
    </w:p>
    <w:p w:rsidR="00882AAF" w:rsidRPr="005409D0" w:rsidRDefault="00B633BF" w:rsidP="00433577">
      <w:pPr>
        <w:widowControl/>
        <w:snapToGrid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二〇二六年一月二十七</w:t>
      </w:r>
      <w:r w:rsidR="005409D0" w:rsidRPr="00877AB5">
        <w:rPr>
          <w:rFonts w:ascii="仿宋" w:eastAsia="仿宋" w:hAnsi="仿宋" w:hint="eastAsia"/>
          <w:sz w:val="24"/>
          <w:szCs w:val="24"/>
        </w:rPr>
        <w:t>日</w:t>
      </w:r>
    </w:p>
    <w:p w:rsidR="00882AAF" w:rsidRPr="00921D93" w:rsidRDefault="00882AAF" w:rsidP="00882AAF">
      <w:pPr>
        <w:widowControl/>
        <w:snapToGrid w:val="0"/>
        <w:spacing w:line="360" w:lineRule="auto"/>
        <w:jc w:val="left"/>
        <w:rPr>
          <w:rFonts w:ascii="楷体" w:eastAsia="楷体" w:hAnsi="楷体"/>
          <w:kern w:val="0"/>
          <w:sz w:val="24"/>
          <w:szCs w:val="24"/>
        </w:rPr>
      </w:pPr>
    </w:p>
    <w:p w:rsidR="00882AAF" w:rsidRDefault="00882AAF"/>
    <w:sectPr w:rsidR="00882AAF" w:rsidSect="00830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0FA" w:rsidRDefault="006860FA" w:rsidP="00AD5951">
      <w:r>
        <w:separator/>
      </w:r>
    </w:p>
  </w:endnote>
  <w:endnote w:type="continuationSeparator" w:id="0">
    <w:p w:rsidR="006860FA" w:rsidRDefault="006860FA" w:rsidP="00AD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0FA" w:rsidRDefault="006860FA" w:rsidP="00AD5951">
      <w:r>
        <w:separator/>
      </w:r>
    </w:p>
  </w:footnote>
  <w:footnote w:type="continuationSeparator" w:id="0">
    <w:p w:rsidR="006860FA" w:rsidRDefault="006860FA" w:rsidP="00AD5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AAF"/>
    <w:rsid w:val="000139FC"/>
    <w:rsid w:val="00026693"/>
    <w:rsid w:val="00042AC2"/>
    <w:rsid w:val="00043D9B"/>
    <w:rsid w:val="00045266"/>
    <w:rsid w:val="00075007"/>
    <w:rsid w:val="000C0F95"/>
    <w:rsid w:val="0017345E"/>
    <w:rsid w:val="001B03E6"/>
    <w:rsid w:val="001C0ED1"/>
    <w:rsid w:val="001D46AB"/>
    <w:rsid w:val="002250A4"/>
    <w:rsid w:val="00240E1A"/>
    <w:rsid w:val="00241069"/>
    <w:rsid w:val="00287961"/>
    <w:rsid w:val="00297B80"/>
    <w:rsid w:val="002E11B1"/>
    <w:rsid w:val="003165FE"/>
    <w:rsid w:val="00352B89"/>
    <w:rsid w:val="003B1F2A"/>
    <w:rsid w:val="003C26CD"/>
    <w:rsid w:val="00404219"/>
    <w:rsid w:val="004262E9"/>
    <w:rsid w:val="00433577"/>
    <w:rsid w:val="0047215C"/>
    <w:rsid w:val="004C3D17"/>
    <w:rsid w:val="005000AF"/>
    <w:rsid w:val="00507C93"/>
    <w:rsid w:val="005154F7"/>
    <w:rsid w:val="005240B2"/>
    <w:rsid w:val="005409D0"/>
    <w:rsid w:val="005556CF"/>
    <w:rsid w:val="005908CC"/>
    <w:rsid w:val="005B0A80"/>
    <w:rsid w:val="005F0C83"/>
    <w:rsid w:val="006359E5"/>
    <w:rsid w:val="006860FA"/>
    <w:rsid w:val="006A1D04"/>
    <w:rsid w:val="006C15F5"/>
    <w:rsid w:val="006D3BE2"/>
    <w:rsid w:val="006F6E3E"/>
    <w:rsid w:val="00722913"/>
    <w:rsid w:val="00727E66"/>
    <w:rsid w:val="007426CE"/>
    <w:rsid w:val="00746AC9"/>
    <w:rsid w:val="0076133C"/>
    <w:rsid w:val="0078000A"/>
    <w:rsid w:val="0078727C"/>
    <w:rsid w:val="007900B7"/>
    <w:rsid w:val="007A20F5"/>
    <w:rsid w:val="007D74C1"/>
    <w:rsid w:val="007E1450"/>
    <w:rsid w:val="007F55FD"/>
    <w:rsid w:val="00803ECB"/>
    <w:rsid w:val="00811B7F"/>
    <w:rsid w:val="008148B4"/>
    <w:rsid w:val="00822428"/>
    <w:rsid w:val="00830DE3"/>
    <w:rsid w:val="00865FA8"/>
    <w:rsid w:val="00875BFC"/>
    <w:rsid w:val="00882AAF"/>
    <w:rsid w:val="008907BB"/>
    <w:rsid w:val="008969AE"/>
    <w:rsid w:val="008D122A"/>
    <w:rsid w:val="008E21D4"/>
    <w:rsid w:val="00922B5B"/>
    <w:rsid w:val="00947A5B"/>
    <w:rsid w:val="009519EC"/>
    <w:rsid w:val="00956D22"/>
    <w:rsid w:val="0099351A"/>
    <w:rsid w:val="009B3403"/>
    <w:rsid w:val="009F2A6C"/>
    <w:rsid w:val="00A07836"/>
    <w:rsid w:val="00A215F9"/>
    <w:rsid w:val="00A2429E"/>
    <w:rsid w:val="00A34311"/>
    <w:rsid w:val="00A711C3"/>
    <w:rsid w:val="00A84B8E"/>
    <w:rsid w:val="00AC3685"/>
    <w:rsid w:val="00AD5951"/>
    <w:rsid w:val="00B10875"/>
    <w:rsid w:val="00B15332"/>
    <w:rsid w:val="00B60988"/>
    <w:rsid w:val="00B633BF"/>
    <w:rsid w:val="00B74380"/>
    <w:rsid w:val="00B80528"/>
    <w:rsid w:val="00B85ECC"/>
    <w:rsid w:val="00BE0597"/>
    <w:rsid w:val="00BE7436"/>
    <w:rsid w:val="00C37908"/>
    <w:rsid w:val="00C600E0"/>
    <w:rsid w:val="00CA13EF"/>
    <w:rsid w:val="00CC3C49"/>
    <w:rsid w:val="00CD4BC2"/>
    <w:rsid w:val="00D01D02"/>
    <w:rsid w:val="00D572EE"/>
    <w:rsid w:val="00D77BE9"/>
    <w:rsid w:val="00D912E1"/>
    <w:rsid w:val="00DA1E19"/>
    <w:rsid w:val="00DD1723"/>
    <w:rsid w:val="00E031B1"/>
    <w:rsid w:val="00E123E4"/>
    <w:rsid w:val="00E3167A"/>
    <w:rsid w:val="00E44273"/>
    <w:rsid w:val="00E56AE6"/>
    <w:rsid w:val="00E81FBA"/>
    <w:rsid w:val="00F73853"/>
    <w:rsid w:val="00FA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9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95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23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2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Company>Harvest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周宇航</dc:creator>
  <cp:lastModifiedBy>ZHONGM</cp:lastModifiedBy>
  <cp:revision>2</cp:revision>
  <dcterms:created xsi:type="dcterms:W3CDTF">2026-01-26T16:01:00Z</dcterms:created>
  <dcterms:modified xsi:type="dcterms:W3CDTF">2026-01-26T16:01:00Z</dcterms:modified>
</cp:coreProperties>
</file>