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4104C">
      <w:pPr>
        <w:pStyle w:val="XBRL2"/>
        <w:spacing w:before="156"/>
        <w:rPr>
          <w:rFonts w:eastAsia="Cambria" w:cs="Cambria"/>
        </w:rPr>
      </w:pPr>
      <w:r>
        <w:rPr>
          <w:rFonts w:eastAsia="Cambria" w:cs="Cambria"/>
        </w:rPr>
        <w:t xml:space="preserve">  </w:t>
      </w:r>
    </w:p>
    <w:p w:rsidR="00000000" w:rsidRDefault="00A4104C">
      <w:pPr>
        <w:jc w:val="center"/>
        <w:rPr>
          <w:rFonts w:cs="宋体"/>
        </w:rPr>
      </w:pPr>
      <w:r>
        <w:rPr>
          <w:rFonts w:cs="宋体"/>
          <w:b/>
          <w:color w:val="000000"/>
          <w:sz w:val="48"/>
          <w:szCs w:val="48"/>
        </w:rPr>
        <w:t>关于</w:t>
      </w:r>
      <w:r>
        <w:rPr>
          <w:rFonts w:cs="宋体"/>
          <w:b/>
          <w:color w:val="000000"/>
          <w:sz w:val="48"/>
          <w:szCs w:val="48"/>
        </w:rPr>
        <w:t>调整</w:t>
      </w:r>
      <w:r>
        <w:rPr>
          <w:rFonts w:cs="宋体"/>
          <w:b/>
          <w:color w:val="000000"/>
          <w:sz w:val="48"/>
          <w:szCs w:val="48"/>
        </w:rPr>
        <w:t>安信价值成长混合型证券投资基金大额申购、大额转换转入及大额定期定额投资</w:t>
      </w:r>
      <w:r>
        <w:rPr>
          <w:rFonts w:cs="宋体"/>
          <w:b/>
          <w:color w:val="000000"/>
          <w:sz w:val="48"/>
          <w:szCs w:val="48"/>
        </w:rPr>
        <w:t>限额</w:t>
      </w:r>
      <w:r>
        <w:rPr>
          <w:rFonts w:cs="宋体"/>
          <w:b/>
          <w:color w:val="000000"/>
          <w:sz w:val="48"/>
          <w:szCs w:val="48"/>
        </w:rPr>
        <w:t>的公告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560" w:lineRule="exact"/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 xml:space="preserve">  </w:t>
      </w:r>
    </w:p>
    <w:p w:rsidR="00000000" w:rsidRDefault="00A4104C">
      <w:pPr>
        <w:spacing w:line="360" w:lineRule="auto"/>
        <w:jc w:val="center"/>
        <w:rPr>
          <w:rFonts w:cs="宋体"/>
        </w:rPr>
      </w:pPr>
      <w:r>
        <w:rPr>
          <w:rFonts w:cs="宋体"/>
          <w:b/>
          <w:bCs/>
          <w:sz w:val="24"/>
          <w:szCs w:val="24"/>
        </w:rPr>
        <w:t>公告送出日期：</w:t>
      </w:r>
      <w:r>
        <w:rPr>
          <w:rFonts w:cs="宋体"/>
          <w:b/>
          <w:bCs/>
          <w:sz w:val="24"/>
          <w:szCs w:val="24"/>
        </w:rPr>
        <w:t>202</w:t>
      </w:r>
      <w:r>
        <w:rPr>
          <w:rFonts w:cs="宋体"/>
          <w:b/>
          <w:bCs/>
          <w:sz w:val="24"/>
          <w:szCs w:val="24"/>
        </w:rPr>
        <w:t>6</w:t>
      </w:r>
      <w:r>
        <w:rPr>
          <w:rFonts w:cs="宋体"/>
          <w:b/>
          <w:bCs/>
          <w:sz w:val="24"/>
          <w:szCs w:val="24"/>
        </w:rPr>
        <w:t>年</w:t>
      </w:r>
      <w:r>
        <w:rPr>
          <w:rFonts w:cs="宋体"/>
          <w:b/>
          <w:bCs/>
          <w:sz w:val="24"/>
          <w:szCs w:val="24"/>
        </w:rPr>
        <w:t>1</w:t>
      </w:r>
      <w:r>
        <w:rPr>
          <w:rFonts w:cs="宋体"/>
          <w:b/>
          <w:bCs/>
          <w:sz w:val="24"/>
          <w:szCs w:val="24"/>
        </w:rPr>
        <w:t>月</w:t>
      </w:r>
      <w:r>
        <w:rPr>
          <w:rFonts w:cs="宋体"/>
          <w:b/>
          <w:bCs/>
          <w:sz w:val="24"/>
          <w:szCs w:val="24"/>
        </w:rPr>
        <w:t>27</w:t>
      </w:r>
      <w:r>
        <w:rPr>
          <w:rFonts w:cs="宋体"/>
          <w:b/>
          <w:bCs/>
          <w:sz w:val="24"/>
          <w:szCs w:val="24"/>
        </w:rPr>
        <w:t>日</w:t>
      </w:r>
    </w:p>
    <w:p w:rsidR="00000000" w:rsidRDefault="00A4104C">
      <w:pPr>
        <w:pStyle w:val="XBRLTitle1"/>
        <w:numPr>
          <w:ilvl w:val="0"/>
          <w:numId w:val="1"/>
        </w:numPr>
        <w:tabs>
          <w:tab w:val="left" w:pos="0"/>
        </w:tabs>
        <w:spacing w:before="156"/>
        <w:jc w:val="left"/>
        <w:rPr>
          <w:rFonts w:cs="宋体"/>
        </w:rPr>
      </w:pPr>
      <w:r>
        <w:rPr>
          <w:rFonts w:cs="宋体"/>
          <w:color w:val="404040"/>
        </w:rPr>
        <w:br w:type="page"/>
      </w:r>
      <w:r>
        <w:rPr>
          <w:rFonts w:hAnsi="宋体" w:cs="宋体"/>
        </w:rPr>
        <w:lastRenderedPageBreak/>
        <w:t>公告基本信息</w:t>
      </w:r>
      <w:r>
        <w:rPr>
          <w:rFonts w:cs="宋体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7"/>
        <w:gridCol w:w="2748"/>
        <w:gridCol w:w="2352"/>
        <w:gridCol w:w="2272"/>
      </w:tblGrid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基金名称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安信价值成长混合型证券投资基金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基金简称</w:t>
            </w:r>
            <w: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安信价值成长混合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基金主代码</w:t>
            </w:r>
            <w: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008891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基金管理人名称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安信基金管理有限责任公司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公告依据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《中华人民共和国证券投资基金法》、《公开募集证券投资基金运作管理办法》、《公开募集证券投资基金信息披露管理办</w:t>
            </w:r>
            <w:r>
              <w:t>法》等法律法规及《安信价值成长混合型证券投资基金基金合同》、《安信价值成长混合型证券投资基金招募说明书》及相关公告。</w:t>
            </w:r>
          </w:p>
        </w:tc>
      </w:tr>
      <w:tr w:rsidR="00000000">
        <w:trPr>
          <w:trHeight w:val="510"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暂停相关业务的起始日、金额及原因说明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暂停大额申购起始日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2026</w:t>
            </w:r>
            <w:r>
              <w:t>年</w:t>
            </w:r>
            <w:r>
              <w:t>1</w:t>
            </w:r>
            <w:r>
              <w:t>月</w:t>
            </w:r>
            <w:r>
              <w:t>28</w:t>
            </w:r>
            <w:r>
              <w:t>日</w:t>
            </w:r>
          </w:p>
        </w:tc>
      </w:tr>
      <w:tr w:rsidR="00000000">
        <w:trPr>
          <w:trHeight w:val="510"/>
        </w:trPr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暂停大额转换转入起始日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2026</w:t>
            </w:r>
            <w:r>
              <w:t>年</w:t>
            </w:r>
            <w:r>
              <w:t>1</w:t>
            </w:r>
            <w:r>
              <w:t>月</w:t>
            </w:r>
            <w:r>
              <w:t>28</w:t>
            </w:r>
            <w:r>
              <w:t>日</w:t>
            </w:r>
          </w:p>
        </w:tc>
      </w:tr>
      <w:tr w:rsidR="00000000">
        <w:trPr>
          <w:trHeight w:val="510"/>
        </w:trPr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暂停</w:t>
            </w:r>
            <w:r>
              <w:t>大额</w:t>
            </w:r>
            <w:r>
              <w:t>定期定额投资起始日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2026</w:t>
            </w:r>
            <w:r>
              <w:t>年</w:t>
            </w:r>
            <w:r>
              <w:t>1</w:t>
            </w:r>
            <w:r>
              <w:t>月</w:t>
            </w:r>
            <w:r>
              <w:t>28</w:t>
            </w:r>
            <w:r>
              <w:t>日</w:t>
            </w:r>
          </w:p>
        </w:tc>
      </w:tr>
      <w:tr w:rsidR="00000000"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限制申购金额（单位：人民币元</w:t>
            </w:r>
            <w:r>
              <w:t xml:space="preserve"> </w:t>
            </w:r>
            <w:r>
              <w:t>）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500,000.00</w:t>
            </w:r>
          </w:p>
        </w:tc>
      </w:tr>
      <w:tr w:rsidR="00000000"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限制转换转入金额（单位：人民币元</w:t>
            </w:r>
            <w:r>
              <w:t xml:space="preserve"> </w:t>
            </w:r>
            <w:r>
              <w:t>）</w:t>
            </w:r>
            <w: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500,000.00</w:t>
            </w:r>
          </w:p>
        </w:tc>
      </w:tr>
      <w:tr w:rsidR="00000000"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限制定期定额投资金额（单位：人民币元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t>）</w:t>
            </w:r>
            <w: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500,000.00</w:t>
            </w:r>
          </w:p>
        </w:tc>
      </w:tr>
      <w:tr w:rsidR="00000000"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暂停大额</w:t>
            </w:r>
            <w:r>
              <w:t>申购、大额转换转入、大额定期定额投资的原因说明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inset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满足广大投资者的投资需求</w:t>
            </w:r>
            <w:r>
              <w:t>。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下属分级基金的基金简称</w:t>
            </w:r>
          </w:p>
        </w:tc>
        <w:tc>
          <w:tcPr>
            <w:tcW w:w="2352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安信价值成长混合</w:t>
            </w:r>
            <w:r>
              <w:t>A</w:t>
            </w:r>
          </w:p>
        </w:tc>
        <w:tc>
          <w:tcPr>
            <w:tcW w:w="2272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安信价值成长混合</w:t>
            </w:r>
            <w:r>
              <w:t>C</w:t>
            </w:r>
          </w:p>
        </w:tc>
      </w:tr>
      <w:tr w:rsidR="00000000">
        <w:trPr>
          <w:trHeight w:val="510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下属分级基金的交易代码</w:t>
            </w:r>
          </w:p>
        </w:tc>
        <w:tc>
          <w:tcPr>
            <w:tcW w:w="2352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008891</w:t>
            </w:r>
          </w:p>
        </w:tc>
        <w:tc>
          <w:tcPr>
            <w:tcW w:w="2272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008892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该分级基金是否暂停大额申购、大额转换转入、大额定期定额投资</w:t>
            </w:r>
          </w:p>
        </w:tc>
        <w:tc>
          <w:tcPr>
            <w:tcW w:w="2352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是</w:t>
            </w:r>
          </w:p>
        </w:tc>
        <w:tc>
          <w:tcPr>
            <w:tcW w:w="2272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是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下属分级基金的限制申购金额（单位：人民币元）</w:t>
            </w:r>
          </w:p>
        </w:tc>
        <w:tc>
          <w:tcPr>
            <w:tcW w:w="2352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500,000.00</w:t>
            </w:r>
          </w:p>
        </w:tc>
        <w:tc>
          <w:tcPr>
            <w:tcW w:w="2272" w:type="dxa"/>
            <w:tcBorders>
              <w:top w:val="inset" w:sz="4" w:space="0" w:color="000000"/>
              <w:left w:val="nil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500,000.00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下属分级基金的限制转换转入金额（单位：人民币元）</w:t>
            </w:r>
            <w:r>
              <w:t xml:space="preserve"> </w:t>
            </w:r>
          </w:p>
        </w:tc>
        <w:tc>
          <w:tcPr>
            <w:tcW w:w="2352" w:type="dxa"/>
            <w:tcBorders>
              <w:top w:val="in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500,000.00</w:t>
            </w:r>
          </w:p>
        </w:tc>
        <w:tc>
          <w:tcPr>
            <w:tcW w:w="2272" w:type="dxa"/>
            <w:tcBorders>
              <w:top w:val="inset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500,000.00</w:t>
            </w:r>
          </w:p>
        </w:tc>
      </w:tr>
      <w:tr w:rsidR="00000000"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4104C">
            <w:r>
              <w:t>下属分级基金的限制大额定期定额投资金额（单位：人民币元</w:t>
            </w:r>
            <w:r>
              <w:t>）</w:t>
            </w:r>
          </w:p>
        </w:tc>
        <w:tc>
          <w:tcPr>
            <w:tcW w:w="2352" w:type="dxa"/>
            <w:tcBorders>
              <w:top w:val="inset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500,000.00</w:t>
            </w:r>
          </w:p>
        </w:tc>
        <w:tc>
          <w:tcPr>
            <w:tcW w:w="2272" w:type="dxa"/>
            <w:tcBorders>
              <w:top w:val="inset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4104C">
            <w:r>
              <w:t>500,000.00</w:t>
            </w:r>
          </w:p>
        </w:tc>
      </w:tr>
    </w:tbl>
    <w:p w:rsidR="00000000" w:rsidRDefault="00A4104C">
      <w:pPr>
        <w:adjustRightInd w:val="0"/>
        <w:snapToGrid w:val="0"/>
        <w:spacing w:line="360" w:lineRule="auto"/>
        <w:jc w:val="left"/>
        <w:rPr>
          <w:rFonts w:cs="宋体"/>
        </w:rPr>
      </w:pPr>
      <w:r>
        <w:rPr>
          <w:rFonts w:cs="宋体"/>
        </w:rPr>
        <w:t>注</w:t>
      </w:r>
      <w:r>
        <w:rPr>
          <w:rFonts w:cs="宋体"/>
        </w:rPr>
        <w:t>:</w:t>
      </w: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）安信价值成长混合型证券投资基金（以下简称“本基金”）限制大额申购、大额转换转入、大额定期定额投资金额为：不超过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（含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）。</w:t>
      </w:r>
      <w:r>
        <w:rPr>
          <w:rFonts w:cs="宋体"/>
        </w:rPr>
        <w:br/>
      </w:r>
      <w:r>
        <w:rPr>
          <w:rFonts w:cs="宋体"/>
        </w:rPr>
        <w:t xml:space="preserve">  </w:t>
      </w: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）申购、转换转入及定期定额投资的大额交易限制按照</w:t>
      </w:r>
      <w:r>
        <w:rPr>
          <w:rFonts w:cs="宋体"/>
        </w:rPr>
        <w:t xml:space="preserve"> A</w:t>
      </w:r>
      <w:r>
        <w:rPr>
          <w:rFonts w:cs="宋体"/>
        </w:rPr>
        <w:t>、</w:t>
      </w:r>
      <w:r>
        <w:rPr>
          <w:rFonts w:cs="宋体"/>
        </w:rPr>
        <w:t xml:space="preserve">C </w:t>
      </w:r>
      <w:r>
        <w:rPr>
          <w:rFonts w:cs="宋体"/>
        </w:rPr>
        <w:t>两类份额单独判断。</w:t>
      </w:r>
      <w:r>
        <w:rPr>
          <w:rFonts w:cs="宋体"/>
        </w:rPr>
        <w:br/>
      </w:r>
      <w:r>
        <w:rPr>
          <w:rFonts w:cs="宋体"/>
        </w:rPr>
        <w:lastRenderedPageBreak/>
        <w:t xml:space="preserve">  </w:t>
      </w:r>
      <w:r>
        <w:rPr>
          <w:rFonts w:cs="宋体"/>
        </w:rPr>
        <w:t>（</w:t>
      </w:r>
      <w:r>
        <w:rPr>
          <w:rFonts w:cs="宋体"/>
        </w:rPr>
        <w:t>3</w:t>
      </w:r>
      <w:r>
        <w:rPr>
          <w:rFonts w:cs="宋体"/>
        </w:rPr>
        <w:t>）本基金大额申购、大额转换转入及大额定期定额申购交易申请，限制起始日为</w:t>
      </w:r>
      <w:r>
        <w:rPr>
          <w:rFonts w:cs="宋体"/>
        </w:rPr>
        <w:t>2026</w:t>
      </w:r>
      <w:r>
        <w:rPr>
          <w:rFonts w:cs="宋体"/>
        </w:rPr>
        <w:t>年</w:t>
      </w:r>
      <w:r>
        <w:rPr>
          <w:rFonts w:cs="宋体"/>
        </w:rPr>
        <w:t>1</w:t>
      </w:r>
      <w:r>
        <w:rPr>
          <w:rFonts w:cs="宋体"/>
        </w:rPr>
        <w:t>月</w:t>
      </w:r>
      <w:r>
        <w:rPr>
          <w:rFonts w:cs="宋体"/>
        </w:rPr>
        <w:t>28</w:t>
      </w:r>
      <w:r>
        <w:rPr>
          <w:rFonts w:cs="宋体"/>
        </w:rPr>
        <w:t>日</w:t>
      </w:r>
      <w:r>
        <w:rPr>
          <w:rFonts w:cs="宋体"/>
        </w:rPr>
        <w:t>，需要注意的是</w:t>
      </w:r>
      <w:r>
        <w:rPr>
          <w:rFonts w:cs="宋体"/>
        </w:rPr>
        <w:t>202</w:t>
      </w:r>
      <w:r>
        <w:rPr>
          <w:rFonts w:cs="宋体"/>
        </w:rPr>
        <w:t>6</w:t>
      </w:r>
      <w:r>
        <w:rPr>
          <w:rFonts w:cs="宋体"/>
        </w:rPr>
        <w:t>年</w:t>
      </w:r>
      <w:r>
        <w:rPr>
          <w:rFonts w:cs="宋体"/>
        </w:rPr>
        <w:t>1</w:t>
      </w:r>
      <w:r>
        <w:rPr>
          <w:rFonts w:cs="宋体"/>
        </w:rPr>
        <w:t>月</w:t>
      </w:r>
      <w:r>
        <w:rPr>
          <w:rFonts w:cs="宋体"/>
        </w:rPr>
        <w:t>27</w:t>
      </w:r>
      <w:r>
        <w:rPr>
          <w:rFonts w:cs="宋体"/>
        </w:rPr>
        <w:t>日</w:t>
      </w:r>
      <w:r>
        <w:rPr>
          <w:rFonts w:cs="宋体"/>
        </w:rPr>
        <w:t>15:00</w:t>
      </w:r>
      <w:r>
        <w:rPr>
          <w:rFonts w:cs="宋体"/>
        </w:rPr>
        <w:t>后提交的基金交易申请将视为</w:t>
      </w:r>
      <w:r>
        <w:rPr>
          <w:rFonts w:cs="宋体"/>
        </w:rPr>
        <w:t>2026</w:t>
      </w:r>
      <w:r>
        <w:rPr>
          <w:rFonts w:cs="宋体"/>
        </w:rPr>
        <w:t>年</w:t>
      </w:r>
      <w:r>
        <w:rPr>
          <w:rFonts w:cs="宋体"/>
        </w:rPr>
        <w:t>1</w:t>
      </w:r>
      <w:r>
        <w:rPr>
          <w:rFonts w:cs="宋体"/>
        </w:rPr>
        <w:t>月</w:t>
      </w:r>
      <w:r>
        <w:rPr>
          <w:rFonts w:cs="宋体"/>
        </w:rPr>
        <w:t>28</w:t>
      </w:r>
      <w:r>
        <w:rPr>
          <w:rFonts w:cs="宋体"/>
        </w:rPr>
        <w:t>日</w:t>
      </w:r>
      <w:r>
        <w:rPr>
          <w:rFonts w:cs="宋体"/>
        </w:rPr>
        <w:t>的交易申请，同样受上述限制</w:t>
      </w:r>
      <w:r>
        <w:rPr>
          <w:rFonts w:cs="宋体"/>
        </w:rPr>
        <w:t>。投资者成功提交申请的时间以安信基金管理有限责任公司（以下简称“本公司”）系统自动记录的时间为准。</w:t>
      </w:r>
      <w:r>
        <w:rPr>
          <w:rFonts w:cs="宋体"/>
        </w:rPr>
        <w:t xml:space="preserve"> </w:t>
      </w:r>
    </w:p>
    <w:p w:rsidR="00000000" w:rsidRDefault="00A4104C">
      <w:pPr>
        <w:pStyle w:val="XBRLTitle1"/>
        <w:numPr>
          <w:ilvl w:val="0"/>
          <w:numId w:val="1"/>
        </w:numPr>
        <w:tabs>
          <w:tab w:val="left" w:pos="0"/>
        </w:tabs>
        <w:spacing w:before="156" w:line="360" w:lineRule="auto"/>
        <w:jc w:val="left"/>
        <w:rPr>
          <w:rFonts w:cs="宋体"/>
        </w:rPr>
      </w:pPr>
      <w:r>
        <w:rPr>
          <w:rFonts w:hAnsi="宋体" w:cs="宋体"/>
        </w:rPr>
        <w:t>其他需要提示的事项</w:t>
      </w:r>
      <w:r>
        <w:rPr>
          <w:rFonts w:hAnsi="宋体" w:cs="宋体"/>
        </w:rPr>
        <w:t xml:space="preserve"> </w:t>
      </w:r>
    </w:p>
    <w:p w:rsidR="00000000" w:rsidRDefault="00A4104C">
      <w:pPr>
        <w:spacing w:line="360" w:lineRule="auto"/>
        <w:ind w:firstLineChars="200" w:firstLine="420"/>
        <w:jc w:val="left"/>
        <w:rPr>
          <w:rFonts w:cs="宋体"/>
        </w:rPr>
      </w:pPr>
      <w:r>
        <w:rPr>
          <w:rFonts w:cs="宋体"/>
        </w:rPr>
        <w:t>（</w:t>
      </w:r>
      <w:r>
        <w:rPr>
          <w:rFonts w:cs="宋体"/>
        </w:rPr>
        <w:t>1</w:t>
      </w:r>
      <w:r>
        <w:rPr>
          <w:rFonts w:cs="宋体"/>
        </w:rPr>
        <w:t>）本基金已于</w:t>
      </w:r>
      <w:r>
        <w:rPr>
          <w:rFonts w:cs="宋体"/>
        </w:rPr>
        <w:t>2025</w:t>
      </w:r>
      <w:r>
        <w:rPr>
          <w:rFonts w:cs="宋体"/>
        </w:rPr>
        <w:t>年</w:t>
      </w:r>
      <w:r>
        <w:rPr>
          <w:rFonts w:cs="宋体"/>
        </w:rPr>
        <w:t>10</w:t>
      </w:r>
      <w:r>
        <w:rPr>
          <w:rFonts w:cs="宋体"/>
        </w:rPr>
        <w:t>月</w:t>
      </w:r>
      <w:r>
        <w:rPr>
          <w:rFonts w:cs="宋体"/>
        </w:rPr>
        <w:t>10</w:t>
      </w:r>
      <w:r>
        <w:rPr>
          <w:rFonts w:cs="宋体"/>
        </w:rPr>
        <w:t>日暂停了大额申购、大额转换转入、大额定期定额投资业务，限制金额为不超过</w:t>
      </w:r>
      <w:r>
        <w:rPr>
          <w:rFonts w:cs="宋体"/>
        </w:rPr>
        <w:t>1</w:t>
      </w:r>
      <w:r>
        <w:rPr>
          <w:rFonts w:cs="宋体"/>
        </w:rPr>
        <w:t>0</w:t>
      </w:r>
      <w:r>
        <w:rPr>
          <w:rFonts w:cs="宋体"/>
        </w:rPr>
        <w:t>,000</w:t>
      </w:r>
      <w:r>
        <w:rPr>
          <w:rFonts w:cs="宋体"/>
        </w:rPr>
        <w:t>元（含</w:t>
      </w:r>
      <w:r>
        <w:rPr>
          <w:rFonts w:cs="宋体"/>
        </w:rPr>
        <w:t>1</w:t>
      </w:r>
      <w:r>
        <w:rPr>
          <w:rFonts w:cs="宋体"/>
        </w:rPr>
        <w:t>0</w:t>
      </w:r>
      <w:r>
        <w:rPr>
          <w:rFonts w:cs="宋体"/>
        </w:rPr>
        <w:t xml:space="preserve">,000 </w:t>
      </w:r>
      <w:r>
        <w:rPr>
          <w:rFonts w:cs="宋体"/>
        </w:rPr>
        <w:t>元），详见</w:t>
      </w:r>
      <w:r>
        <w:rPr>
          <w:rFonts w:cs="宋体"/>
        </w:rPr>
        <w:t>2025</w:t>
      </w:r>
      <w:r>
        <w:rPr>
          <w:rFonts w:cs="宋体"/>
        </w:rPr>
        <w:t>年</w:t>
      </w:r>
      <w:r>
        <w:rPr>
          <w:rFonts w:cs="宋体"/>
        </w:rPr>
        <w:t>10</w:t>
      </w:r>
      <w:r>
        <w:rPr>
          <w:rFonts w:cs="宋体"/>
        </w:rPr>
        <w:t>月</w:t>
      </w:r>
      <w:r>
        <w:rPr>
          <w:rFonts w:cs="宋体"/>
        </w:rPr>
        <w:t>10</w:t>
      </w:r>
      <w:r>
        <w:rPr>
          <w:rFonts w:cs="宋体"/>
        </w:rPr>
        <w:t>日公告。为</w:t>
      </w:r>
      <w:r>
        <w:t>满足广大投资者的投资需求</w:t>
      </w:r>
      <w:r>
        <w:rPr>
          <w:rFonts w:cs="宋体"/>
        </w:rPr>
        <w:t>，本公司决定自</w:t>
      </w:r>
      <w:r>
        <w:rPr>
          <w:rFonts w:cs="宋体"/>
        </w:rPr>
        <w:t>2026</w:t>
      </w:r>
      <w:r>
        <w:rPr>
          <w:rFonts w:cs="宋体"/>
        </w:rPr>
        <w:t>年</w:t>
      </w:r>
      <w:r>
        <w:rPr>
          <w:rFonts w:cs="宋体"/>
        </w:rPr>
        <w:t>1</w:t>
      </w:r>
      <w:r>
        <w:rPr>
          <w:rFonts w:cs="宋体"/>
        </w:rPr>
        <w:t>月</w:t>
      </w:r>
      <w:r>
        <w:rPr>
          <w:rFonts w:cs="宋体"/>
        </w:rPr>
        <w:t>28</w:t>
      </w:r>
      <w:r>
        <w:rPr>
          <w:rFonts w:cs="宋体"/>
        </w:rPr>
        <w:t>日</w:t>
      </w:r>
      <w:r>
        <w:rPr>
          <w:rFonts w:cs="宋体"/>
        </w:rPr>
        <w:t>起，</w:t>
      </w:r>
      <w:r>
        <w:rPr>
          <w:rFonts w:cs="宋体"/>
        </w:rPr>
        <w:t>调整</w:t>
      </w:r>
      <w:r>
        <w:rPr>
          <w:rFonts w:cs="宋体"/>
        </w:rPr>
        <w:t>本基金大额申购、大额转换转入及大额定期定额投资限额，限额为不超过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（含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），如单日单个账户单笔申请金额高于</w:t>
      </w:r>
      <w:r>
        <w:rPr>
          <w:rFonts w:cs="宋体"/>
        </w:rPr>
        <w:t>500,0</w:t>
      </w:r>
      <w:r>
        <w:rPr>
          <w:rFonts w:cs="宋体"/>
        </w:rPr>
        <w:t>00</w:t>
      </w:r>
      <w:r>
        <w:rPr>
          <w:rFonts w:cs="宋体"/>
        </w:rPr>
        <w:t>元</w:t>
      </w:r>
      <w:r>
        <w:rPr>
          <w:rFonts w:cs="宋体"/>
        </w:rPr>
        <w:t>（不含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）的，本基金管理人有权将不超过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限额的申请部分确认成功，超过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限额的申请部分确认失败；如单日单个账户多笔累计申请金额高于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（不含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）的，则对申请按照申请金额从大到小排序，逐笔累加至符合不超过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限额的申请确认成功，对于超过临界限额的单笔委托，将对其中不超过</w:t>
      </w:r>
      <w:r>
        <w:rPr>
          <w:rFonts w:cs="宋体"/>
        </w:rPr>
        <w:t>500,000</w:t>
      </w:r>
      <w:r>
        <w:rPr>
          <w:rFonts w:cs="宋体"/>
        </w:rPr>
        <w:t>元</w:t>
      </w:r>
      <w:r>
        <w:rPr>
          <w:rFonts w:cs="宋体"/>
        </w:rPr>
        <w:t>限额的申请部分确认成功，该笔委托的其余部分本基金管理人有权确认失败。</w:t>
      </w:r>
    </w:p>
    <w:p w:rsidR="00000000" w:rsidRDefault="00A4104C">
      <w:pPr>
        <w:spacing w:line="360" w:lineRule="auto"/>
        <w:ind w:firstLineChars="200" w:firstLine="420"/>
        <w:jc w:val="left"/>
        <w:rPr>
          <w:rFonts w:cs="宋体"/>
        </w:rPr>
      </w:pPr>
      <w:r>
        <w:rPr>
          <w:rFonts w:cs="宋体"/>
        </w:rPr>
        <w:t>（</w:t>
      </w:r>
      <w:r>
        <w:rPr>
          <w:rFonts w:cs="宋体"/>
        </w:rPr>
        <w:t>2</w:t>
      </w:r>
      <w:r>
        <w:rPr>
          <w:rFonts w:cs="宋体"/>
        </w:rPr>
        <w:t>）在上述期间的交易日，本基金作为转出方的转换业务、赎回业务仍照常办理。</w:t>
      </w:r>
      <w:r>
        <w:rPr>
          <w:rFonts w:cs="宋体"/>
        </w:rPr>
        <w:t>本基金恢复正常申购、转换转入及定期定额投资业务的具体时间将另行公告。</w:t>
      </w:r>
    </w:p>
    <w:p w:rsidR="00000000" w:rsidRDefault="00A4104C">
      <w:pPr>
        <w:spacing w:line="360" w:lineRule="auto"/>
        <w:ind w:firstLineChars="200" w:firstLine="420"/>
        <w:jc w:val="left"/>
        <w:rPr>
          <w:rFonts w:cs="宋体"/>
        </w:rPr>
      </w:pPr>
      <w:r>
        <w:rPr>
          <w:rFonts w:cs="宋体"/>
        </w:rPr>
        <w:t>如有疑问，请拨打客户服务热线：</w:t>
      </w:r>
      <w:r>
        <w:rPr>
          <w:rFonts w:cs="宋体"/>
        </w:rPr>
        <w:t>4008-088-088</w:t>
      </w:r>
      <w:r>
        <w:rPr>
          <w:rFonts w:cs="宋体"/>
        </w:rPr>
        <w:t>（免长途话费），或登录网站</w:t>
      </w:r>
      <w:r>
        <w:rPr>
          <w:rFonts w:cs="宋体"/>
        </w:rPr>
        <w:t>www.essencefund.com</w:t>
      </w:r>
      <w:r>
        <w:rPr>
          <w:rFonts w:cs="宋体"/>
        </w:rPr>
        <w:t>获取相关信息。</w:t>
      </w:r>
    </w:p>
    <w:p w:rsidR="00000000" w:rsidRDefault="00A4104C">
      <w:pPr>
        <w:spacing w:line="360" w:lineRule="auto"/>
        <w:ind w:firstLineChars="200" w:firstLine="420"/>
        <w:jc w:val="left"/>
        <w:rPr>
          <w:rFonts w:cs="宋体"/>
        </w:rPr>
      </w:pPr>
      <w:r>
        <w:rPr>
          <w:rFonts w:cs="宋体"/>
        </w:rPr>
        <w:t>风险提示：基金管理人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</w:t>
      </w:r>
      <w:r>
        <w:rPr>
          <w:rFonts w:cs="宋体"/>
        </w:rPr>
        <w:t>阅读基金的相关法律文件，并选择适合自身风险承受能力的投资品种进行投资。</w:t>
      </w:r>
    </w:p>
    <w:p w:rsidR="00000000" w:rsidRDefault="00A4104C">
      <w:pPr>
        <w:spacing w:line="360" w:lineRule="auto"/>
        <w:ind w:firstLineChars="200" w:firstLine="420"/>
        <w:jc w:val="left"/>
        <w:rPr>
          <w:rFonts w:cs="宋体"/>
        </w:rPr>
      </w:pPr>
      <w:r>
        <w:rPr>
          <w:rFonts w:cs="宋体"/>
        </w:rPr>
        <w:t xml:space="preserve"> </w:t>
      </w:r>
    </w:p>
    <w:p w:rsidR="00000000" w:rsidRDefault="00A4104C">
      <w:pPr>
        <w:spacing w:line="360" w:lineRule="auto"/>
        <w:ind w:firstLineChars="200" w:firstLine="420"/>
        <w:jc w:val="left"/>
        <w:rPr>
          <w:rFonts w:cs="宋体"/>
        </w:rPr>
      </w:pPr>
      <w:r>
        <w:rPr>
          <w:rFonts w:cs="宋体"/>
        </w:rPr>
        <w:t>特此公告。</w:t>
      </w:r>
    </w:p>
    <w:p w:rsidR="00000000" w:rsidRDefault="00A4104C">
      <w:pPr>
        <w:spacing w:line="360" w:lineRule="auto"/>
        <w:ind w:firstLineChars="600" w:firstLine="1446"/>
        <w:jc w:val="right"/>
        <w:rPr>
          <w:rFonts w:cs="宋体"/>
          <w:b/>
          <w:bCs/>
          <w:sz w:val="24"/>
          <w:szCs w:val="24"/>
        </w:rPr>
      </w:pPr>
      <w:r>
        <w:rPr>
          <w:rFonts w:cs="宋体"/>
          <w:b/>
          <w:bCs/>
          <w:sz w:val="24"/>
          <w:szCs w:val="24"/>
        </w:rPr>
        <w:t xml:space="preserve">  </w:t>
      </w:r>
    </w:p>
    <w:p w:rsidR="00000000" w:rsidRDefault="00A4104C">
      <w:pPr>
        <w:spacing w:line="360" w:lineRule="auto"/>
        <w:ind w:firstLineChars="600" w:firstLine="1446"/>
        <w:jc w:val="right"/>
        <w:rPr>
          <w:rFonts w:cs="宋体"/>
          <w:b/>
          <w:bCs/>
          <w:sz w:val="24"/>
          <w:szCs w:val="24"/>
        </w:rPr>
      </w:pPr>
      <w:r>
        <w:rPr>
          <w:rFonts w:cs="宋体"/>
          <w:b/>
          <w:bCs/>
          <w:sz w:val="24"/>
          <w:szCs w:val="24"/>
        </w:rPr>
        <w:t xml:space="preserve">  </w:t>
      </w:r>
    </w:p>
    <w:p w:rsidR="00000000" w:rsidRDefault="00A4104C">
      <w:pPr>
        <w:spacing w:line="360" w:lineRule="auto"/>
        <w:ind w:firstLineChars="200" w:firstLine="420"/>
        <w:jc w:val="right"/>
        <w:rPr>
          <w:rFonts w:cs="宋体"/>
        </w:rPr>
      </w:pPr>
      <w:r>
        <w:rPr>
          <w:rFonts w:cs="宋体"/>
        </w:rPr>
        <w:t>安信基金管理有限责任公司</w:t>
      </w:r>
    </w:p>
    <w:p w:rsidR="00000000" w:rsidRDefault="00A4104C">
      <w:pPr>
        <w:spacing w:line="360" w:lineRule="auto"/>
        <w:ind w:firstLineChars="200" w:firstLine="420"/>
        <w:jc w:val="right"/>
        <w:rPr>
          <w:rFonts w:cs="宋体"/>
        </w:rPr>
      </w:pPr>
      <w:r>
        <w:rPr>
          <w:rFonts w:cs="宋体"/>
        </w:rPr>
        <w:t>2026</w:t>
      </w:r>
      <w:r>
        <w:rPr>
          <w:rFonts w:cs="宋体"/>
        </w:rPr>
        <w:t>年</w:t>
      </w:r>
      <w:r>
        <w:rPr>
          <w:rFonts w:cs="宋体"/>
        </w:rPr>
        <w:t>1</w:t>
      </w:r>
      <w:r>
        <w:rPr>
          <w:rFonts w:cs="宋体"/>
        </w:rPr>
        <w:t>月</w:t>
      </w:r>
      <w:r>
        <w:rPr>
          <w:rFonts w:cs="宋体"/>
        </w:rPr>
        <w:t>2</w:t>
      </w:r>
      <w:r>
        <w:rPr>
          <w:rFonts w:cs="宋体"/>
        </w:rPr>
        <w:t>7</w:t>
      </w:r>
      <w:r>
        <w:rPr>
          <w:rFonts w:cs="宋体"/>
        </w:rPr>
        <w:t>日</w:t>
      </w:r>
      <w:r>
        <w:rPr>
          <w:rFonts w:cs="宋体"/>
          <w:b/>
          <w:bCs/>
          <w:sz w:val="24"/>
          <w:szCs w:val="24"/>
        </w:rPr>
        <w:t xml:space="preserve"> 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15" w:h="16839"/>
      <w:pgMar w:top="1440" w:right="1531" w:bottom="113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4104C">
      <w:r>
        <w:separator/>
      </w:r>
    </w:p>
  </w:endnote>
  <w:endnote w:type="continuationSeparator" w:id="0">
    <w:p w:rsidR="00000000" w:rsidRDefault="00A41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">
    <w:charset w:val="86"/>
    <w:family w:val="auto"/>
    <w:pitch w:val="default"/>
    <w:sig w:usb0="80000287" w:usb1="2ACF3C50" w:usb2="00000016" w:usb3="00000000" w:csb0="0004001F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04C">
    <w:pPr>
      <w:jc w:val="center"/>
      <w:rPr>
        <w:rFonts w:cs="宋体"/>
      </w:rPr>
    </w:pPr>
    <w:r>
      <w:rPr>
        <w:rFonts w:cs="宋体"/>
        <w:sz w:val="18"/>
        <w:szCs w:val="18"/>
      </w:rPr>
      <w:t>第</w:t>
    </w:r>
    <w:r>
      <w:rPr>
        <w:rFonts w:cs="宋体"/>
      </w:rPr>
      <w:t xml:space="preserve"> </w:t>
    </w:r>
    <w:r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PAGE </w:instrText>
    </w:r>
    <w:r>
      <w:rPr>
        <w:rFonts w:cs="宋体"/>
        <w:sz w:val="18"/>
        <w:szCs w:val="18"/>
      </w:rPr>
      <w:fldChar w:fldCharType="separate"/>
    </w:r>
    <w:r>
      <w:rPr>
        <w:rFonts w:cs="宋体" w:hint="default"/>
        <w:noProof/>
        <w:sz w:val="18"/>
        <w:szCs w:val="18"/>
      </w:rPr>
      <w:t>1</w:t>
    </w:r>
    <w:r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  <w:sz w:val="18"/>
        <w:szCs w:val="18"/>
      </w:rPr>
      <w:t xml:space="preserve"> </w:t>
    </w:r>
    <w:r>
      <w:rPr>
        <w:rFonts w:cs="宋体"/>
        <w:sz w:val="18"/>
        <w:szCs w:val="18"/>
      </w:rPr>
      <w:t>共</w:t>
    </w:r>
    <w:r>
      <w:rPr>
        <w:rFonts w:cs="宋体"/>
      </w:rPr>
      <w:t xml:space="preserve"> </w:t>
    </w:r>
    <w:r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NUMPAGES  </w:instrText>
    </w:r>
    <w:r>
      <w:rPr>
        <w:rFonts w:cs="宋体"/>
        <w:sz w:val="18"/>
        <w:szCs w:val="18"/>
      </w:rPr>
      <w:fldChar w:fldCharType="separate"/>
    </w:r>
    <w:r>
      <w:rPr>
        <w:rFonts w:cs="宋体" w:hint="default"/>
        <w:noProof/>
        <w:sz w:val="18"/>
        <w:szCs w:val="18"/>
      </w:rPr>
      <w:t>3</w:t>
    </w:r>
    <w:r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04C">
    <w:pPr>
      <w:pStyle w:val="a7"/>
      <w:rPr>
        <w:rFonts w:cs="宋体"/>
      </w:rPr>
    </w:pPr>
    <w:r>
      <w:rPr>
        <w:rFonts w:cs="宋体"/>
      </w:rPr>
      <w:t xml:space="preserve"> </w:t>
    </w:r>
  </w:p>
  <w:p w:rsidR="00000000" w:rsidRDefault="00A4104C">
    <w:pPr>
      <w:jc w:val="center"/>
      <w:rPr>
        <w:rFonts w:cs="宋体"/>
      </w:rPr>
    </w:pPr>
    <w:r>
      <w:rPr>
        <w:rFonts w:cs="宋体"/>
        <w:sz w:val="18"/>
        <w:szCs w:val="18"/>
      </w:rPr>
      <w:t>第</w:t>
    </w:r>
    <w:r>
      <w:rPr>
        <w:rFonts w:cs="宋体"/>
      </w:rPr>
      <w:t xml:space="preserve"> </w:t>
    </w:r>
    <w:r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PAGE </w:instrText>
    </w:r>
    <w:r>
      <w:rPr>
        <w:rFonts w:cs="宋体"/>
        <w:sz w:val="18"/>
        <w:szCs w:val="18"/>
      </w:rPr>
      <w:fldChar w:fldCharType="separate"/>
    </w:r>
    <w:r>
      <w:rPr>
        <w:rFonts w:cs="宋体"/>
        <w:sz w:val="18"/>
        <w:szCs w:val="18"/>
      </w:rPr>
      <w:t>1</w:t>
    </w:r>
    <w:r>
      <w:rPr>
        <w:rFonts w:cs="宋体"/>
      </w:rPr>
      <w:t xml:space="preserve"> </w:t>
    </w:r>
    <w:r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  <w:sz w:val="18"/>
        <w:szCs w:val="18"/>
      </w:rPr>
      <w:t xml:space="preserve"> </w:t>
    </w:r>
    <w:r>
      <w:rPr>
        <w:rFonts w:cs="宋体"/>
        <w:sz w:val="18"/>
        <w:szCs w:val="18"/>
      </w:rPr>
      <w:t>共</w:t>
    </w:r>
    <w:r>
      <w:rPr>
        <w:rFonts w:cs="宋体"/>
      </w:rPr>
      <w:t xml:space="preserve"> </w:t>
    </w:r>
    <w:r>
      <w:rPr>
        <w:rFonts w:cs="宋体"/>
        <w:sz w:val="18"/>
        <w:szCs w:val="18"/>
      </w:rPr>
      <w:fldChar w:fldCharType="begin"/>
    </w:r>
    <w:r>
      <w:rPr>
        <w:rFonts w:cs="宋体"/>
        <w:sz w:val="18"/>
        <w:szCs w:val="18"/>
      </w:rPr>
      <w:instrText xml:space="preserve">NUMPAGES  </w:instrText>
    </w:r>
    <w:r>
      <w:rPr>
        <w:rFonts w:cs="宋体"/>
        <w:sz w:val="18"/>
        <w:szCs w:val="18"/>
      </w:rPr>
      <w:fldChar w:fldCharType="separate"/>
    </w:r>
    <w:r>
      <w:rPr>
        <w:rFonts w:cs="宋体"/>
        <w:sz w:val="18"/>
        <w:szCs w:val="18"/>
      </w:rPr>
      <w:t>2</w:t>
    </w:r>
    <w:r>
      <w:rPr>
        <w:rFonts w:cs="宋体"/>
      </w:rPr>
      <w:t xml:space="preserve"> </w:t>
    </w:r>
    <w:r>
      <w:rPr>
        <w:rFonts w:cs="宋体"/>
        <w:sz w:val="18"/>
        <w:szCs w:val="18"/>
      </w:rPr>
      <w:fldChar w:fldCharType="end"/>
    </w:r>
    <w:r>
      <w:rPr>
        <w:rFonts w:cs="宋体"/>
        <w:sz w:val="18"/>
        <w:szCs w:val="18"/>
      </w:rPr>
      <w:t>页</w:t>
    </w:r>
    <w:r>
      <w:rPr>
        <w:rFonts w:cs="宋体"/>
      </w:rPr>
      <w:t xml:space="preserve"> </w:t>
    </w:r>
  </w:p>
  <w:p w:rsidR="00000000" w:rsidRDefault="00A4104C">
    <w:pPr>
      <w:pStyle w:val="a7"/>
      <w:rPr>
        <w:rFonts w:cs="宋体"/>
      </w:rPr>
    </w:pPr>
    <w:r>
      <w:rPr>
        <w:rFonts w:cs="宋体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4104C">
      <w:r>
        <w:separator/>
      </w:r>
    </w:p>
  </w:footnote>
  <w:footnote w:type="continuationSeparator" w:id="0">
    <w:p w:rsidR="00000000" w:rsidRDefault="00A41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04C">
    <w:pPr>
      <w:pStyle w:val="a8"/>
      <w:jc w:val="right"/>
      <w:rPr>
        <w:rFonts w:cs="宋体"/>
      </w:rPr>
    </w:pPr>
    <w:r>
      <w:rPr>
        <w:rFonts w:cs="宋体"/>
      </w:rPr>
      <w:t>关于</w:t>
    </w:r>
    <w:r>
      <w:rPr>
        <w:rFonts w:cs="宋体"/>
      </w:rPr>
      <w:t>调整</w:t>
    </w:r>
    <w:r>
      <w:rPr>
        <w:rFonts w:cs="宋体"/>
      </w:rPr>
      <w:t>安信价值成长混合型证券投资基金大额申购、大额转换转入及大额定期定额投资</w:t>
    </w:r>
    <w:r>
      <w:rPr>
        <w:rFonts w:cs="宋体"/>
      </w:rPr>
      <w:t>限额</w:t>
    </w:r>
    <w:r>
      <w:rPr>
        <w:rFonts w:cs="宋体"/>
      </w:rPr>
      <w:t>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04C">
    <w:pPr>
      <w:pStyle w:val="a8"/>
      <w:jc w:val="right"/>
      <w:rPr>
        <w:rFonts w:cs="宋体"/>
      </w:rPr>
    </w:pPr>
    <w:r>
      <w:rPr>
        <w:rFonts w:cs="宋体"/>
      </w:rPr>
      <w:t>关于</w:t>
    </w:r>
    <w:r>
      <w:rPr>
        <w:rFonts w:cs="宋体"/>
      </w:rPr>
      <w:t>调整</w:t>
    </w:r>
    <w:r>
      <w:rPr>
        <w:rFonts w:cs="宋体"/>
      </w:rPr>
      <w:t>安信价值成长混合型证券投资基金大额申购、大额转换转入及大额定期定额投资业务的公告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A6904B"/>
    <w:multiLevelType w:val="multilevel"/>
    <w:tmpl w:val="A9A6904B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3148" w:hanging="454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50" w:hanging="62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94" w:hanging="794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oNotTrackMoves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04C"/>
    <w:rsid w:val="00A4104C"/>
    <w:rsid w:val="184C6FDF"/>
    <w:rsid w:val="25291BAF"/>
    <w:rsid w:val="2E653CB5"/>
    <w:rsid w:val="37A367C3"/>
    <w:rsid w:val="384B13ED"/>
    <w:rsid w:val="39463C3B"/>
    <w:rsid w:val="471937E6"/>
    <w:rsid w:val="4CBA156D"/>
    <w:rsid w:val="5DEA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semiHidden="0" w:uiPriority="0" w:unhideWhenUsed="0"/>
    <w:lsdException w:name="annotation text" w:semiHidden="0" w:unhideWhenUsed="0"/>
    <w:lsdException w:name="header" w:semiHidden="0" w:uiPriority="0" w:unhideWhenUsed="0"/>
    <w:lsdException w:name="footer" w:semiHidden="0" w:uiPriority="0" w:unhideWhenUsed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iPriority="0" w:unhideWhenUsed="0"/>
    <w:lsdException w:name="annotation reference" w:semiHidden="0" w:unhideWhenUsed="0"/>
    <w:lsdException w:name="line number" w:semiHidden="0" w:unhideWhenUsed="0"/>
    <w:lsdException w:name="page number" w:semiHidden="0" w:uiPriority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semiHidden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0" w:unhideWhenUsed="0" w:qFormat="1"/>
    <w:lsdException w:name="Salutation" w:semiHidden="0" w:unhideWhenUsed="0"/>
    <w:lsdException w:name="Date" w:semiHidden="0" w:uiPriority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nhideWhenUsed="0"/>
    <w:lsdException w:name="Normal (Web)" w:semiHidden="0" w:uiPriority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/>
    <w:lsdException w:name="annotation subject" w:semiHidden="0" w:unhideWhenUsed="0"/>
    <w:lsdException w:name="Balloon Text" w:semiHidden="0" w:unhideWhenUsed="0"/>
    <w:lsdException w:name="Table Grid" w:semiHidden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jc w:val="both"/>
    </w:pPr>
    <w:rPr>
      <w:rFonts w:ascii="宋体" w:hAnsi="宋体" w:hint="eastAsia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08" w:lineRule="auto"/>
      <w:outlineLvl w:val="1"/>
    </w:pPr>
    <w:rPr>
      <w:rFonts w:ascii="Cambria" w:eastAsia="Cambria" w:hAnsi="Cambria" w:hint="default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40" w:after="290" w:line="372" w:lineRule="auto"/>
      <w:outlineLvl w:val="3"/>
    </w:pPr>
    <w:rPr>
      <w:rFonts w:ascii="Cambria" w:eastAsia="Cambria" w:hAnsi="Cambria" w:hint="default"/>
      <w:b/>
      <w:bCs/>
      <w:kern w:val="0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hint="default"/>
      <w:b/>
      <w:bCs/>
      <w:sz w:val="24"/>
      <w:szCs w:val="24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unhideWhenUsed/>
    <w:rPr>
      <w:rFonts w:ascii="宋体" w:hAnsi="宋体" w:cs="宋体"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uiPriority w:val="99"/>
    <w:pPr>
      <w:jc w:val="left"/>
    </w:pPr>
  </w:style>
  <w:style w:type="paragraph" w:styleId="30">
    <w:name w:val="toc 3"/>
    <w:basedOn w:val="a"/>
    <w:next w:val="a"/>
    <w:uiPriority w:val="39"/>
  </w:style>
  <w:style w:type="paragraph" w:styleId="a5">
    <w:name w:val="Date"/>
    <w:basedOn w:val="a"/>
    <w:next w:val="a"/>
    <w:rPr>
      <w:sz w:val="32"/>
      <w:szCs w:val="32"/>
    </w:rPr>
  </w:style>
  <w:style w:type="paragraph" w:styleId="a6">
    <w:name w:val="Balloon Text"/>
    <w:basedOn w:val="a"/>
    <w:uiPriority w:val="99"/>
    <w:rPr>
      <w:sz w:val="18"/>
      <w:szCs w:val="18"/>
    </w:rPr>
  </w:style>
  <w:style w:type="paragraph" w:styleId="a7">
    <w:name w:val="footer"/>
    <w:basedOn w:val="a"/>
    <w:pPr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</w:style>
  <w:style w:type="paragraph" w:styleId="a9">
    <w:name w:val="Subtitle"/>
    <w:basedOn w:val="2"/>
    <w:next w:val="3"/>
    <w:qFormat/>
    <w:pPr>
      <w:spacing w:before="240" w:after="60" w:line="312" w:lineRule="auto"/>
      <w:jc w:val="left"/>
    </w:pPr>
    <w:rPr>
      <w:rFonts w:eastAsia="宋体"/>
      <w:bCs w:val="0"/>
      <w:kern w:val="24"/>
      <w:sz w:val="24"/>
      <w:szCs w:val="24"/>
    </w:rPr>
  </w:style>
  <w:style w:type="paragraph" w:styleId="aa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HTML">
    <w:name w:val="HTML Preformatted"/>
    <w:basedOn w:val="a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c">
    <w:name w:val="Title"/>
    <w:basedOn w:val="1"/>
    <w:next w:val="2"/>
    <w:uiPriority w:val="10"/>
    <w:qFormat/>
    <w:pPr>
      <w:keepNext w:val="0"/>
      <w:keepLines w:val="0"/>
      <w:spacing w:before="240" w:after="60"/>
      <w:jc w:val="center"/>
    </w:pPr>
    <w:rPr>
      <w:rFonts w:ascii="Cambria" w:hAnsi="Cambria" w:hint="default"/>
      <w:kern w:val="0"/>
      <w:sz w:val="32"/>
      <w:szCs w:val="32"/>
    </w:rPr>
  </w:style>
  <w:style w:type="table" w:styleId="ad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37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16">
    <w:name w:val="16"/>
    <w:basedOn w:val="a0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46">
    <w:name w:val="46"/>
    <w:basedOn w:val="a0"/>
    <w:rPr>
      <w:rFonts w:ascii="Cambria" w:eastAsia="宋体" w:hAnsi="Cambria" w:cs="宋体" w:hint="default"/>
      <w:b/>
      <w:bCs w:val="0"/>
      <w:kern w:val="24"/>
      <w:sz w:val="24"/>
      <w:szCs w:val="24"/>
    </w:rPr>
  </w:style>
  <w:style w:type="character" w:customStyle="1" w:styleId="19">
    <w:name w:val="19"/>
    <w:basedOn w:val="a0"/>
    <w:rPr>
      <w:rFonts w:ascii="宋体" w:eastAsia="宋体" w:hAnsi="宋体" w:cs="宋体" w:hint="eastAsia"/>
      <w:kern w:val="2"/>
      <w:sz w:val="21"/>
      <w:szCs w:val="21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character" w:customStyle="1" w:styleId="53">
    <w:name w:val="53"/>
    <w:basedOn w:val="a0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42">
    <w:name w:val="42"/>
    <w:basedOn w:val="a0"/>
    <w:rPr>
      <w:rFonts w:ascii="宋体" w:eastAsia="宋体" w:hAnsi="宋体" w:cs="宋体" w:hint="eastAsia"/>
      <w:kern w:val="2"/>
      <w:sz w:val="18"/>
      <w:szCs w:val="18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hint="default"/>
      <w:kern w:val="0"/>
      <w:sz w:val="24"/>
      <w:szCs w:val="24"/>
    </w:rPr>
  </w:style>
  <w:style w:type="character" w:customStyle="1" w:styleId="34">
    <w:name w:val="34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200">
    <w:name w:val="20"/>
    <w:basedOn w:val="a0"/>
    <w:rPr>
      <w:rFonts w:ascii="Microsoft YaHei UI" w:eastAsia="Microsoft YaHei UI" w:hAnsi="Microsoft YaHei UI" w:cs="Microsoft YaHei UI" w:hint="eastAsia"/>
      <w:kern w:val="2"/>
      <w:sz w:val="18"/>
      <w:szCs w:val="18"/>
    </w:rPr>
  </w:style>
  <w:style w:type="character" w:customStyle="1" w:styleId="38">
    <w:name w:val="38"/>
    <w:basedOn w:val="a0"/>
    <w:rPr>
      <w:rFonts w:ascii="Cambria" w:eastAsia="Cambria" w:hAnsi="Cambria" w:cs="Times New Roman" w:hint="default"/>
      <w:b/>
      <w:bCs/>
      <w:kern w:val="2"/>
      <w:sz w:val="32"/>
      <w:szCs w:val="32"/>
    </w:rPr>
  </w:style>
  <w:style w:type="paragraph" w:customStyle="1" w:styleId="XBRL1">
    <w:name w:val="XBRL标题1"/>
    <w:basedOn w:val="1"/>
    <w:next w:val="2"/>
    <w:pPr>
      <w:spacing w:beforeLines="50" w:after="0"/>
      <w:jc w:val="center"/>
    </w:pPr>
    <w:rPr>
      <w:rFonts w:ascii="Cambria" w:hAnsi="Cambria" w:hint="default"/>
      <w:sz w:val="24"/>
      <w:szCs w:val="24"/>
    </w:rPr>
  </w:style>
  <w:style w:type="character" w:customStyle="1" w:styleId="51">
    <w:name w:val="51"/>
    <w:basedOn w:val="a0"/>
    <w:rPr>
      <w:rFonts w:ascii="Cambria" w:eastAsia="Cambria" w:hAnsi="Cambria" w:cs="Times New Roman" w:hint="default"/>
      <w:b/>
      <w:bCs/>
      <w:kern w:val="24"/>
      <w:sz w:val="32"/>
      <w:szCs w:val="32"/>
    </w:rPr>
  </w:style>
  <w:style w:type="paragraph" w:customStyle="1" w:styleId="XBRLTitle3">
    <w:name w:val="XBRLTitle3"/>
    <w:basedOn w:val="a9"/>
    <w:next w:val="4"/>
    <w:pPr>
      <w:keepNext w:val="0"/>
      <w:keepLines w:val="0"/>
      <w:spacing w:beforeLines="50" w:after="0" w:line="360" w:lineRule="auto"/>
    </w:pPr>
    <w:rPr>
      <w:rFonts w:ascii="宋体" w:hint="eastAsia"/>
      <w:bCs/>
    </w:rPr>
  </w:style>
  <w:style w:type="character" w:customStyle="1" w:styleId="40">
    <w:name w:val="40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33">
    <w:name w:val="33"/>
    <w:basedOn w:val="a0"/>
    <w:rPr>
      <w:rFonts w:ascii="宋体" w:eastAsia="宋体" w:hAnsi="宋体" w:cs="宋体" w:hint="eastAsia"/>
      <w:color w:val="800080"/>
      <w:u w:val="single"/>
    </w:rPr>
  </w:style>
  <w:style w:type="character" w:customStyle="1" w:styleId="35">
    <w:name w:val="35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28">
    <w:name w:val="28"/>
    <w:basedOn w:val="a0"/>
    <w:rPr>
      <w:rFonts w:ascii="宋体" w:eastAsia="宋体" w:hAnsi="宋体" w:cs="宋体" w:hint="eastAsia"/>
      <w:b/>
      <w:bCs/>
      <w:kern w:val="2"/>
      <w:sz w:val="24"/>
      <w:szCs w:val="24"/>
    </w:rPr>
  </w:style>
  <w:style w:type="character" w:customStyle="1" w:styleId="39">
    <w:name w:val="39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15">
    <w:name w:val="15"/>
    <w:basedOn w:val="a0"/>
    <w:rPr>
      <w:rFonts w:ascii="Cambria" w:eastAsia="Cambria" w:hAnsi="Cambria" w:cs="宋体" w:hint="default"/>
      <w:b/>
      <w:bCs/>
      <w:sz w:val="32"/>
      <w:szCs w:val="32"/>
    </w:rPr>
  </w:style>
  <w:style w:type="character" w:customStyle="1" w:styleId="17">
    <w:name w:val="17"/>
    <w:basedOn w:val="a0"/>
    <w:rPr>
      <w:rFonts w:ascii="宋体" w:eastAsia="宋体" w:hAnsi="宋体" w:cs="宋体" w:hint="eastAsia"/>
      <w:vertAlign w:val="superscript"/>
    </w:rPr>
  </w:style>
  <w:style w:type="character" w:customStyle="1" w:styleId="44">
    <w:name w:val="44"/>
    <w:basedOn w:val="a0"/>
    <w:rPr>
      <w:rFonts w:ascii="宋体" w:eastAsia="宋体" w:hAnsi="宋体" w:cs="宋体" w:hint="eastAsia"/>
      <w:b/>
      <w:bCs/>
      <w:kern w:val="2"/>
      <w:sz w:val="32"/>
      <w:szCs w:val="32"/>
    </w:rPr>
  </w:style>
  <w:style w:type="character" w:customStyle="1" w:styleId="18">
    <w:name w:val="18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29">
    <w:name w:val="29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21">
    <w:name w:val="21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25">
    <w:name w:val="25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22">
    <w:name w:val="22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23">
    <w:name w:val="23"/>
    <w:basedOn w:val="a0"/>
    <w:rPr>
      <w:rFonts w:ascii="宋体" w:eastAsia="宋体" w:hAnsi="宋体" w:cs="宋体" w:hint="eastAsia"/>
    </w:rPr>
  </w:style>
  <w:style w:type="character" w:customStyle="1" w:styleId="52">
    <w:name w:val="52"/>
    <w:basedOn w:val="a0"/>
    <w:rPr>
      <w:rFonts w:ascii="宋体" w:eastAsia="宋体" w:hAnsi="宋体" w:cs="宋体" w:hint="eastAsia"/>
      <w:kern w:val="2"/>
      <w:sz w:val="21"/>
      <w:szCs w:val="21"/>
    </w:rPr>
  </w:style>
  <w:style w:type="character" w:customStyle="1" w:styleId="24">
    <w:name w:val="24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57">
    <w:name w:val="57"/>
    <w:basedOn w:val="a0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26">
    <w:name w:val="26"/>
    <w:basedOn w:val="a0"/>
    <w:rPr>
      <w:rFonts w:ascii="宋体" w:eastAsia="宋体" w:hAnsi="宋体" w:cs="宋体" w:hint="eastAsia"/>
      <w:b/>
      <w:bCs/>
      <w:sz w:val="32"/>
      <w:szCs w:val="32"/>
    </w:rPr>
  </w:style>
  <w:style w:type="character" w:customStyle="1" w:styleId="43">
    <w:name w:val="43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27">
    <w:name w:val="27"/>
    <w:basedOn w:val="a0"/>
    <w:rPr>
      <w:rFonts w:ascii="宋体" w:eastAsia="宋体" w:hAnsi="宋体" w:cs="宋体" w:hint="eastAsia"/>
      <w:color w:val="0000FF"/>
      <w:u w:val="single"/>
    </w:rPr>
  </w:style>
  <w:style w:type="character" w:customStyle="1" w:styleId="50">
    <w:name w:val="50"/>
    <w:basedOn w:val="a0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300">
    <w:name w:val="30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31">
    <w:name w:val="31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41">
    <w:name w:val="41"/>
    <w:basedOn w:val="a0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32">
    <w:name w:val="32"/>
    <w:basedOn w:val="a0"/>
    <w:rPr>
      <w:rFonts w:ascii="宋体" w:eastAsia="宋体" w:hAnsi="宋体" w:cs="宋体" w:hint="eastAsia"/>
      <w:b/>
      <w:bCs/>
      <w:kern w:val="2"/>
      <w:sz w:val="32"/>
      <w:szCs w:val="32"/>
    </w:rPr>
  </w:style>
  <w:style w:type="paragraph" w:customStyle="1" w:styleId="HTMLChar">
    <w:name w:val="HTML 预设格式 Char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character" w:customStyle="1" w:styleId="36">
    <w:name w:val="36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55">
    <w:name w:val="55"/>
    <w:basedOn w:val="a0"/>
    <w:rPr>
      <w:rFonts w:ascii="宋体" w:eastAsia="宋体" w:hAnsi="宋体" w:cs="宋体" w:hint="eastAsia"/>
      <w:kern w:val="2"/>
      <w:sz w:val="32"/>
      <w:szCs w:val="32"/>
    </w:rPr>
  </w:style>
  <w:style w:type="character" w:customStyle="1" w:styleId="45">
    <w:name w:val="45"/>
    <w:basedOn w:val="a0"/>
    <w:rPr>
      <w:rFonts w:ascii="宋体" w:eastAsia="宋体" w:hAnsi="宋体" w:cs="宋体" w:hint="eastAsia"/>
      <w:b/>
      <w:bCs/>
      <w:kern w:val="2"/>
      <w:sz w:val="24"/>
      <w:szCs w:val="24"/>
    </w:rPr>
  </w:style>
  <w:style w:type="character" w:customStyle="1" w:styleId="47">
    <w:name w:val="47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48">
    <w:name w:val="48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49">
    <w:name w:val="49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customStyle="1" w:styleId="XBRL5">
    <w:name w:val="XBRL标题5"/>
    <w:basedOn w:val="a9"/>
    <w:next w:val="4"/>
    <w:pPr>
      <w:spacing w:beforeLines="50" w:after="0"/>
    </w:pPr>
    <w:rPr>
      <w:bCs/>
    </w:rPr>
  </w:style>
  <w:style w:type="character" w:customStyle="1" w:styleId="54">
    <w:name w:val="54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56">
    <w:name w:val="56"/>
    <w:basedOn w:val="a0"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58">
    <w:name w:val="58"/>
    <w:basedOn w:val="a0"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59">
    <w:name w:val="59"/>
    <w:basedOn w:val="a0"/>
    <w:rPr>
      <w:rFonts w:ascii="宋体" w:eastAsia="宋体" w:hAnsi="宋体" w:cs="宋体" w:hint="eastAsia"/>
      <w:kern w:val="2"/>
      <w:sz w:val="18"/>
      <w:szCs w:val="18"/>
    </w:rPr>
  </w:style>
  <w:style w:type="paragraph" w:customStyle="1" w:styleId="msonormal1">
    <w:name w:val="msonormal1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Char">
    <w:name w:val="普通(网站) Char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  <w:szCs w:val="21"/>
    </w:rPr>
  </w:style>
  <w:style w:type="paragraph" w:customStyle="1" w:styleId="XBRLTitle5">
    <w:name w:val="XBRLTitle5"/>
    <w:basedOn w:val="a9"/>
    <w:next w:val="4"/>
    <w:pPr>
      <w:spacing w:beforeLines="50" w:after="0"/>
      <w:ind w:left="1021" w:hanging="1021"/>
    </w:pPr>
    <w:rPr>
      <w:bCs/>
    </w:rPr>
  </w:style>
  <w:style w:type="paragraph" w:customStyle="1" w:styleId="XBRL3">
    <w:name w:val="XBRL标题3"/>
    <w:basedOn w:val="a9"/>
    <w:next w:val="4"/>
    <w:pPr>
      <w:spacing w:beforeLines="50" w:after="0"/>
    </w:pPr>
    <w:rPr>
      <w:bCs/>
    </w:rPr>
  </w:style>
  <w:style w:type="paragraph" w:customStyle="1" w:styleId="XBRL6">
    <w:name w:val="XBRL标题6"/>
    <w:basedOn w:val="a9"/>
    <w:next w:val="4"/>
    <w:pPr>
      <w:spacing w:beforeLines="50" w:after="0"/>
    </w:pPr>
    <w:rPr>
      <w:bCs/>
    </w:rPr>
  </w:style>
  <w:style w:type="paragraph" w:customStyle="1" w:styleId="XBRLTitle1">
    <w:name w:val="XBRLTitle1"/>
    <w:basedOn w:val="1"/>
    <w:next w:val="2"/>
    <w:pPr>
      <w:keepNext w:val="0"/>
      <w:keepLines w:val="0"/>
      <w:spacing w:beforeLines="50" w:after="0"/>
      <w:ind w:left="425" w:hanging="425"/>
      <w:jc w:val="center"/>
    </w:pPr>
    <w:rPr>
      <w:rFonts w:hAnsi="Cambria"/>
      <w:sz w:val="24"/>
      <w:szCs w:val="24"/>
    </w:rPr>
  </w:style>
  <w:style w:type="paragraph" w:customStyle="1" w:styleId="msotocheading0">
    <w:name w:val="msotocheading"/>
    <w:basedOn w:val="1"/>
    <w:next w:val="a"/>
    <w:pPr>
      <w:widowControl/>
      <w:spacing w:before="480" w:after="0" w:line="271" w:lineRule="auto"/>
      <w:jc w:val="left"/>
    </w:pPr>
    <w:rPr>
      <w:rFonts w:ascii="Cambria" w:hAnsi="Cambria" w:hint="default"/>
      <w:color w:val="365F91"/>
      <w:kern w:val="0"/>
      <w:sz w:val="24"/>
      <w:szCs w:val="24"/>
    </w:rPr>
  </w:style>
  <w:style w:type="paragraph" w:customStyle="1" w:styleId="XBRLTitle6">
    <w:name w:val="XBRLTitle6"/>
    <w:basedOn w:val="a9"/>
    <w:next w:val="4"/>
    <w:pPr>
      <w:spacing w:beforeLines="50" w:after="0"/>
      <w:ind w:left="1021" w:hanging="1021"/>
    </w:pPr>
    <w:rPr>
      <w:bCs/>
    </w:rPr>
  </w:style>
  <w:style w:type="paragraph" w:customStyle="1" w:styleId="Char0">
    <w:name w:val="Char"/>
    <w:basedOn w:val="a"/>
  </w:style>
  <w:style w:type="paragraph" w:customStyle="1" w:styleId="XBRL2">
    <w:name w:val="XBRL标题2"/>
    <w:basedOn w:val="a9"/>
    <w:next w:val="4"/>
    <w:pPr>
      <w:spacing w:beforeLines="50" w:after="0"/>
    </w:pPr>
    <w:rPr>
      <w:bCs/>
    </w:rPr>
  </w:style>
  <w:style w:type="paragraph" w:customStyle="1" w:styleId="XBRLTitle2">
    <w:name w:val="XBRLTitle2"/>
    <w:basedOn w:val="a9"/>
    <w:next w:val="4"/>
    <w:pPr>
      <w:keepNext w:val="0"/>
      <w:keepLines w:val="0"/>
      <w:spacing w:beforeLines="50" w:after="0"/>
      <w:ind w:left="454" w:hanging="454"/>
    </w:pPr>
    <w:rPr>
      <w:rFonts w:ascii="宋体" w:hint="eastAsia"/>
      <w:bCs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4">
    <w:name w:val="XBRL标题4"/>
    <w:basedOn w:val="a9"/>
    <w:next w:val="4"/>
    <w:pPr>
      <w:spacing w:beforeLines="50" w:after="0"/>
    </w:pPr>
    <w:rPr>
      <w:bCs/>
    </w:rPr>
  </w:style>
  <w:style w:type="paragraph" w:customStyle="1" w:styleId="XBRLTitle4">
    <w:name w:val="XBRLTitle4"/>
    <w:basedOn w:val="a9"/>
    <w:next w:val="4"/>
    <w:pPr>
      <w:spacing w:beforeLines="50" w:after="0"/>
      <w:ind w:left="794" w:hanging="794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1589</Characters>
  <Application>Microsoft Office Word</Application>
  <DocSecurity>4</DocSecurity>
  <Lines>13</Lines>
  <Paragraphs>3</Paragraphs>
  <ScaleCrop>false</ScaleCrop>
  <Company>CNSTOCK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cp:lastModifiedBy>ZHONGM</cp:lastModifiedBy>
  <cp:revision>2</cp:revision>
  <dcterms:created xsi:type="dcterms:W3CDTF">2026-01-26T16:01:00Z</dcterms:created>
  <dcterms:modified xsi:type="dcterms:W3CDTF">2026-01-26T16:01:00Z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A212EBBA68704569BBB76C9B8CDAAC46_13</vt:lpwstr>
  </property>
  <property fmtid="{D5CDD505-2E9C-101B-9397-08002B2CF9AE}" pid="4" name="KSOTemplateDocerSaveRecord">
    <vt:lpwstr>eyJoZGlkIjoiZDNmMWZhYmI3YjY4ZTkzYTkyNmRmZTFjYWVjNzczYmUiLCJ1c2VySWQiOiIxNzI1MDA4MTIyIn0=</vt:lpwstr>
  </property>
</Properties>
</file>