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EA3" w:rsidRDefault="005E255C">
      <w:pPr>
        <w:jc w:val="center"/>
        <w:rPr>
          <w:b/>
          <w:color w:val="000000"/>
          <w:sz w:val="30"/>
          <w:szCs w:val="30"/>
        </w:rPr>
      </w:pPr>
      <w:bookmarkStart w:id="0" w:name="_GoBack"/>
      <w:bookmarkEnd w:id="0"/>
      <w:r>
        <w:rPr>
          <w:rFonts w:ascii="宋体" w:hAnsi="宋体" w:hint="eastAsia"/>
          <w:b/>
          <w:color w:val="000000"/>
          <w:kern w:val="0"/>
          <w:sz w:val="30"/>
          <w:szCs w:val="30"/>
        </w:rPr>
        <w:t>富国智恒稳健</w:t>
      </w:r>
      <w:r>
        <w:rPr>
          <w:rFonts w:ascii="宋体" w:hAnsi="宋体" w:hint="eastAsia"/>
          <w:b/>
          <w:color w:val="000000"/>
          <w:kern w:val="0"/>
          <w:sz w:val="30"/>
          <w:szCs w:val="30"/>
        </w:rPr>
        <w:t>90</w:t>
      </w:r>
      <w:r>
        <w:rPr>
          <w:rFonts w:ascii="宋体" w:hAnsi="宋体" w:hint="eastAsia"/>
          <w:b/>
          <w:color w:val="000000"/>
          <w:kern w:val="0"/>
          <w:sz w:val="30"/>
          <w:szCs w:val="30"/>
        </w:rPr>
        <w:t>天持有期混合型基金中基金（</w:t>
      </w:r>
      <w:r>
        <w:rPr>
          <w:rFonts w:ascii="宋体" w:hAnsi="宋体" w:hint="eastAsia"/>
          <w:b/>
          <w:color w:val="000000"/>
          <w:kern w:val="0"/>
          <w:sz w:val="30"/>
          <w:szCs w:val="30"/>
        </w:rPr>
        <w:t>FOF</w:t>
      </w:r>
      <w:r>
        <w:rPr>
          <w:rFonts w:ascii="宋体" w:hAnsi="宋体" w:hint="eastAsia"/>
          <w:b/>
          <w:color w:val="000000"/>
          <w:kern w:val="0"/>
          <w:sz w:val="30"/>
          <w:szCs w:val="30"/>
        </w:rPr>
        <w:t>）开放申购、赎回和定期定额投资业务的公告</w:t>
      </w:r>
    </w:p>
    <w:p w:rsidR="00035EA3" w:rsidRDefault="00035EA3">
      <w:pPr>
        <w:jc w:val="right"/>
        <w:rPr>
          <w:b/>
          <w:color w:val="000000"/>
          <w:sz w:val="30"/>
          <w:szCs w:val="30"/>
        </w:rPr>
      </w:pPr>
    </w:p>
    <w:p w:rsidR="00035EA3" w:rsidRDefault="005E255C">
      <w:pPr>
        <w:jc w:val="center"/>
        <w:rPr>
          <w:rFonts w:ascii="宋体" w:hAnsi="宋体"/>
          <w:color w:val="000000"/>
          <w:kern w:val="0"/>
          <w:sz w:val="18"/>
          <w:szCs w:val="22"/>
        </w:rPr>
      </w:pPr>
      <w:r>
        <w:rPr>
          <w:rFonts w:ascii="宋体" w:hAnsi="宋体" w:hint="eastAsia"/>
          <w:color w:val="000000"/>
          <w:sz w:val="24"/>
        </w:rPr>
        <w:t>公告送出日期：</w:t>
      </w: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1</w:t>
      </w:r>
      <w:r>
        <w:rPr>
          <w:rFonts w:ascii="宋体" w:hAnsi="宋体" w:hint="eastAsia"/>
          <w:color w:val="000000"/>
          <w:kern w:val="0"/>
          <w:sz w:val="24"/>
        </w:rPr>
        <w:t>月</w:t>
      </w:r>
      <w:r>
        <w:rPr>
          <w:rFonts w:ascii="宋体" w:hAnsi="宋体" w:hint="eastAsia"/>
          <w:color w:val="000000"/>
          <w:kern w:val="0"/>
          <w:sz w:val="24"/>
        </w:rPr>
        <w:t>27</w:t>
      </w:r>
      <w:r>
        <w:rPr>
          <w:rFonts w:ascii="宋体" w:hAnsi="宋体" w:hint="eastAsia"/>
          <w:color w:val="000000"/>
          <w:kern w:val="0"/>
          <w:sz w:val="24"/>
        </w:rPr>
        <w:t>日</w:t>
      </w:r>
    </w:p>
    <w:p w:rsidR="00035EA3" w:rsidRDefault="00035EA3">
      <w:pPr>
        <w:jc w:val="right"/>
        <w:rPr>
          <w:rFonts w:ascii="宋体" w:hAnsi="宋体"/>
          <w:sz w:val="24"/>
        </w:rPr>
      </w:pPr>
    </w:p>
    <w:p w:rsidR="00035EA3" w:rsidRDefault="005E255C">
      <w:pPr>
        <w:pStyle w:val="1"/>
      </w:pPr>
      <w:r>
        <w:rPr>
          <w:rFonts w:hint="eastAsia"/>
        </w:rPr>
        <w:t>公告基本信息</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45"/>
        <w:gridCol w:w="2620"/>
        <w:gridCol w:w="2735"/>
      </w:tblGrid>
      <w:tr w:rsidR="00035EA3">
        <w:trPr>
          <w:cantSplit/>
          <w:jc w:val="center"/>
        </w:trPr>
        <w:tc>
          <w:tcPr>
            <w:tcW w:w="3508" w:type="dxa"/>
          </w:tcPr>
          <w:p w:rsidR="00035EA3" w:rsidRDefault="005E255C">
            <w:pPr>
              <w:rPr>
                <w:rFonts w:ascii="宋体" w:hAnsi="宋体"/>
                <w:color w:val="000000"/>
                <w:sz w:val="24"/>
              </w:rPr>
            </w:pPr>
            <w:r>
              <w:rPr>
                <w:rFonts w:ascii="宋体" w:hAnsi="宋体" w:hint="eastAsia"/>
                <w:color w:val="000000"/>
                <w:sz w:val="24"/>
              </w:rPr>
              <w:t>基金名称</w:t>
            </w:r>
          </w:p>
        </w:tc>
        <w:tc>
          <w:tcPr>
            <w:tcW w:w="5016" w:type="dxa"/>
            <w:gridSpan w:val="2"/>
          </w:tcPr>
          <w:p w:rsidR="00035EA3" w:rsidRDefault="005E255C">
            <w:pPr>
              <w:rPr>
                <w:rFonts w:ascii="宋体" w:hAnsi="宋体"/>
                <w:color w:val="000000"/>
                <w:kern w:val="0"/>
                <w:sz w:val="24"/>
              </w:rPr>
            </w:pPr>
            <w:r>
              <w:rPr>
                <w:rFonts w:ascii="宋体" w:hAnsi="宋体" w:hint="eastAsia"/>
                <w:color w:val="000000"/>
                <w:kern w:val="0"/>
                <w:sz w:val="24"/>
              </w:rPr>
              <w:t>富国智恒稳健</w:t>
            </w:r>
            <w:r>
              <w:rPr>
                <w:rFonts w:ascii="宋体" w:hAnsi="宋体" w:hint="eastAsia"/>
                <w:color w:val="000000"/>
                <w:kern w:val="0"/>
                <w:sz w:val="24"/>
              </w:rPr>
              <w:t>90</w:t>
            </w:r>
            <w:r>
              <w:rPr>
                <w:rFonts w:ascii="宋体" w:hAnsi="宋体" w:hint="eastAsia"/>
                <w:color w:val="000000"/>
                <w:kern w:val="0"/>
                <w:sz w:val="24"/>
              </w:rPr>
              <w:t>天持有期混合型基金中基金（</w:t>
            </w:r>
            <w:r>
              <w:rPr>
                <w:rFonts w:ascii="宋体" w:hAnsi="宋体" w:hint="eastAsia"/>
                <w:color w:val="000000"/>
                <w:kern w:val="0"/>
                <w:sz w:val="24"/>
              </w:rPr>
              <w:t>FOF</w:t>
            </w:r>
            <w:r>
              <w:rPr>
                <w:rFonts w:ascii="宋体" w:hAnsi="宋体" w:hint="eastAsia"/>
                <w:color w:val="000000"/>
                <w:kern w:val="0"/>
                <w:sz w:val="24"/>
              </w:rPr>
              <w:t>）</w:t>
            </w:r>
          </w:p>
        </w:tc>
      </w:tr>
      <w:tr w:rsidR="00035EA3">
        <w:trPr>
          <w:cantSplit/>
          <w:jc w:val="center"/>
        </w:trPr>
        <w:tc>
          <w:tcPr>
            <w:tcW w:w="3508" w:type="dxa"/>
          </w:tcPr>
          <w:p w:rsidR="00035EA3" w:rsidRDefault="005E255C">
            <w:pPr>
              <w:rPr>
                <w:rFonts w:ascii="宋体" w:hAnsi="宋体"/>
                <w:color w:val="000000"/>
                <w:sz w:val="24"/>
              </w:rPr>
            </w:pPr>
            <w:r>
              <w:rPr>
                <w:rFonts w:ascii="宋体" w:hAnsi="宋体" w:hint="eastAsia"/>
                <w:color w:val="000000"/>
                <w:sz w:val="24"/>
              </w:rPr>
              <w:t>基金简称</w:t>
            </w:r>
          </w:p>
        </w:tc>
        <w:tc>
          <w:tcPr>
            <w:tcW w:w="5016" w:type="dxa"/>
            <w:gridSpan w:val="2"/>
          </w:tcPr>
          <w:p w:rsidR="00035EA3" w:rsidRDefault="005E255C">
            <w:pPr>
              <w:rPr>
                <w:rFonts w:ascii="宋体" w:hAnsi="宋体"/>
                <w:color w:val="000000"/>
                <w:kern w:val="0"/>
                <w:sz w:val="24"/>
              </w:rPr>
            </w:pPr>
            <w:r>
              <w:rPr>
                <w:rFonts w:ascii="宋体" w:hAnsi="宋体" w:hint="eastAsia"/>
                <w:color w:val="000000"/>
                <w:kern w:val="0"/>
                <w:sz w:val="24"/>
              </w:rPr>
              <w:t>富国智恒稳健</w:t>
            </w:r>
            <w:r>
              <w:rPr>
                <w:rFonts w:ascii="宋体" w:hAnsi="宋体" w:hint="eastAsia"/>
                <w:color w:val="000000"/>
                <w:kern w:val="0"/>
                <w:sz w:val="24"/>
              </w:rPr>
              <w:t>90</w:t>
            </w:r>
            <w:r>
              <w:rPr>
                <w:rFonts w:ascii="宋体" w:hAnsi="宋体" w:hint="eastAsia"/>
                <w:color w:val="000000"/>
                <w:kern w:val="0"/>
                <w:sz w:val="24"/>
              </w:rPr>
              <w:t>天持有期混合（</w:t>
            </w:r>
            <w:r>
              <w:rPr>
                <w:rFonts w:ascii="宋体" w:hAnsi="宋体" w:hint="eastAsia"/>
                <w:color w:val="000000"/>
                <w:kern w:val="0"/>
                <w:sz w:val="24"/>
              </w:rPr>
              <w:t>FOF</w:t>
            </w:r>
            <w:r>
              <w:rPr>
                <w:rFonts w:ascii="宋体" w:hAnsi="宋体" w:hint="eastAsia"/>
                <w:color w:val="000000"/>
                <w:kern w:val="0"/>
                <w:sz w:val="24"/>
              </w:rPr>
              <w:t>）</w:t>
            </w:r>
          </w:p>
        </w:tc>
      </w:tr>
      <w:tr w:rsidR="00035EA3">
        <w:trPr>
          <w:cantSplit/>
          <w:jc w:val="center"/>
        </w:trPr>
        <w:tc>
          <w:tcPr>
            <w:tcW w:w="3508" w:type="dxa"/>
          </w:tcPr>
          <w:p w:rsidR="00035EA3" w:rsidRDefault="005E255C">
            <w:pPr>
              <w:rPr>
                <w:rFonts w:ascii="宋体" w:hAnsi="宋体"/>
                <w:color w:val="000000"/>
                <w:sz w:val="24"/>
              </w:rPr>
            </w:pPr>
            <w:r>
              <w:rPr>
                <w:rFonts w:ascii="宋体" w:hAnsi="宋体" w:hint="eastAsia"/>
                <w:color w:val="000000"/>
                <w:sz w:val="24"/>
              </w:rPr>
              <w:t>基金主代码</w:t>
            </w:r>
          </w:p>
        </w:tc>
        <w:tc>
          <w:tcPr>
            <w:tcW w:w="5016" w:type="dxa"/>
            <w:gridSpan w:val="2"/>
          </w:tcPr>
          <w:p w:rsidR="00035EA3" w:rsidRDefault="005E255C">
            <w:pPr>
              <w:rPr>
                <w:rFonts w:ascii="宋体" w:hAnsi="宋体"/>
                <w:color w:val="000000"/>
                <w:kern w:val="0"/>
                <w:sz w:val="24"/>
              </w:rPr>
            </w:pPr>
            <w:r>
              <w:rPr>
                <w:rFonts w:ascii="宋体" w:hAnsi="宋体"/>
                <w:color w:val="000000"/>
                <w:kern w:val="0"/>
                <w:sz w:val="24"/>
              </w:rPr>
              <w:t>025812</w:t>
            </w:r>
          </w:p>
        </w:tc>
      </w:tr>
      <w:tr w:rsidR="00035EA3">
        <w:trPr>
          <w:cantSplit/>
          <w:jc w:val="center"/>
        </w:trPr>
        <w:tc>
          <w:tcPr>
            <w:tcW w:w="3508" w:type="dxa"/>
          </w:tcPr>
          <w:p w:rsidR="00035EA3" w:rsidRDefault="005E255C">
            <w:pPr>
              <w:rPr>
                <w:rFonts w:ascii="宋体" w:hAnsi="宋体"/>
                <w:color w:val="000000"/>
                <w:sz w:val="24"/>
              </w:rPr>
            </w:pPr>
            <w:r>
              <w:rPr>
                <w:rFonts w:ascii="宋体" w:hAnsi="宋体" w:hint="eastAsia"/>
                <w:color w:val="000000"/>
                <w:sz w:val="24"/>
              </w:rPr>
              <w:t>基金运作方式</w:t>
            </w:r>
          </w:p>
        </w:tc>
        <w:tc>
          <w:tcPr>
            <w:tcW w:w="5016" w:type="dxa"/>
            <w:gridSpan w:val="2"/>
          </w:tcPr>
          <w:p w:rsidR="00035EA3" w:rsidRDefault="005E255C">
            <w:pPr>
              <w:rPr>
                <w:rFonts w:ascii="宋体" w:hAnsi="宋体"/>
                <w:color w:val="000000"/>
                <w:kern w:val="0"/>
                <w:sz w:val="24"/>
              </w:rPr>
            </w:pPr>
            <w:r>
              <w:rPr>
                <w:rFonts w:ascii="宋体" w:hAnsi="宋体" w:hint="eastAsia"/>
                <w:color w:val="000000"/>
                <w:kern w:val="0"/>
                <w:sz w:val="24"/>
              </w:rPr>
              <w:t>契约型开放式。本基金每个开放日开放申购，本基金对每份基金份额设置</w:t>
            </w:r>
            <w:r>
              <w:rPr>
                <w:rFonts w:ascii="宋体" w:hAnsi="宋体" w:hint="eastAsia"/>
                <w:color w:val="000000"/>
                <w:kern w:val="0"/>
                <w:sz w:val="24"/>
              </w:rPr>
              <w:t>90</w:t>
            </w:r>
            <w:r>
              <w:rPr>
                <w:rFonts w:ascii="宋体" w:hAnsi="宋体" w:hint="eastAsia"/>
                <w:color w:val="000000"/>
                <w:kern w:val="0"/>
                <w:sz w:val="24"/>
              </w:rPr>
              <w:t>天的最短持有期。</w:t>
            </w:r>
          </w:p>
        </w:tc>
      </w:tr>
      <w:tr w:rsidR="00035EA3">
        <w:trPr>
          <w:cantSplit/>
          <w:jc w:val="center"/>
        </w:trPr>
        <w:tc>
          <w:tcPr>
            <w:tcW w:w="3508" w:type="dxa"/>
          </w:tcPr>
          <w:p w:rsidR="00035EA3" w:rsidRDefault="005E255C">
            <w:pPr>
              <w:rPr>
                <w:rFonts w:ascii="宋体" w:hAnsi="宋体"/>
                <w:color w:val="000000"/>
                <w:sz w:val="24"/>
              </w:rPr>
            </w:pPr>
            <w:r>
              <w:rPr>
                <w:rFonts w:ascii="宋体" w:hAnsi="宋体" w:hint="eastAsia"/>
                <w:color w:val="000000"/>
                <w:sz w:val="24"/>
              </w:rPr>
              <w:t>基金合同生效日</w:t>
            </w:r>
          </w:p>
        </w:tc>
        <w:tc>
          <w:tcPr>
            <w:tcW w:w="5016" w:type="dxa"/>
            <w:gridSpan w:val="2"/>
          </w:tcPr>
          <w:p w:rsidR="00035EA3" w:rsidRDefault="005E255C">
            <w:pPr>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03</w:t>
            </w:r>
            <w:r>
              <w:rPr>
                <w:rFonts w:ascii="宋体" w:hAnsi="宋体" w:hint="eastAsia"/>
                <w:color w:val="000000"/>
                <w:kern w:val="0"/>
                <w:sz w:val="24"/>
              </w:rPr>
              <w:t>日</w:t>
            </w:r>
          </w:p>
        </w:tc>
      </w:tr>
      <w:tr w:rsidR="00035EA3">
        <w:trPr>
          <w:cantSplit/>
          <w:jc w:val="center"/>
        </w:trPr>
        <w:tc>
          <w:tcPr>
            <w:tcW w:w="3508" w:type="dxa"/>
          </w:tcPr>
          <w:p w:rsidR="00035EA3" w:rsidRDefault="005E255C">
            <w:pPr>
              <w:rPr>
                <w:rFonts w:ascii="宋体" w:hAnsi="宋体"/>
                <w:color w:val="000000"/>
                <w:sz w:val="24"/>
              </w:rPr>
            </w:pPr>
            <w:r>
              <w:rPr>
                <w:rFonts w:ascii="宋体" w:hAnsi="宋体" w:hint="eastAsia"/>
                <w:color w:val="000000"/>
                <w:sz w:val="24"/>
              </w:rPr>
              <w:t>基金管理人名称</w:t>
            </w:r>
          </w:p>
        </w:tc>
        <w:tc>
          <w:tcPr>
            <w:tcW w:w="5016" w:type="dxa"/>
            <w:gridSpan w:val="2"/>
          </w:tcPr>
          <w:p w:rsidR="00035EA3" w:rsidRDefault="005E255C">
            <w:pPr>
              <w:rPr>
                <w:rFonts w:ascii="宋体" w:hAnsi="宋体"/>
                <w:color w:val="000000"/>
                <w:kern w:val="0"/>
                <w:sz w:val="24"/>
              </w:rPr>
            </w:pPr>
            <w:r>
              <w:rPr>
                <w:rFonts w:ascii="宋体" w:hAnsi="宋体" w:hint="eastAsia"/>
                <w:color w:val="000000"/>
                <w:kern w:val="0"/>
                <w:sz w:val="24"/>
              </w:rPr>
              <w:t>富国基金管理有限公司</w:t>
            </w:r>
          </w:p>
        </w:tc>
      </w:tr>
      <w:tr w:rsidR="00035EA3">
        <w:trPr>
          <w:cantSplit/>
          <w:jc w:val="center"/>
        </w:trPr>
        <w:tc>
          <w:tcPr>
            <w:tcW w:w="3508" w:type="dxa"/>
          </w:tcPr>
          <w:p w:rsidR="00035EA3" w:rsidRDefault="005E255C">
            <w:pPr>
              <w:rPr>
                <w:rFonts w:ascii="宋体" w:hAnsi="宋体"/>
                <w:color w:val="000000"/>
                <w:sz w:val="24"/>
              </w:rPr>
            </w:pPr>
            <w:r>
              <w:rPr>
                <w:rFonts w:ascii="宋体" w:hAnsi="宋体" w:hint="eastAsia"/>
                <w:color w:val="000000"/>
                <w:sz w:val="24"/>
              </w:rPr>
              <w:t>基金托管人名称</w:t>
            </w:r>
          </w:p>
        </w:tc>
        <w:tc>
          <w:tcPr>
            <w:tcW w:w="5016" w:type="dxa"/>
            <w:gridSpan w:val="2"/>
          </w:tcPr>
          <w:p w:rsidR="00035EA3" w:rsidRDefault="005E255C">
            <w:pPr>
              <w:rPr>
                <w:rFonts w:ascii="宋体" w:hAnsi="宋体"/>
                <w:color w:val="000000"/>
                <w:kern w:val="0"/>
                <w:sz w:val="24"/>
              </w:rPr>
            </w:pPr>
            <w:r>
              <w:rPr>
                <w:rFonts w:ascii="宋体" w:hAnsi="宋体" w:hint="eastAsia"/>
                <w:color w:val="000000"/>
                <w:kern w:val="0"/>
                <w:sz w:val="24"/>
              </w:rPr>
              <w:t>交通银行股份有限公司</w:t>
            </w:r>
          </w:p>
        </w:tc>
      </w:tr>
      <w:tr w:rsidR="00035EA3">
        <w:trPr>
          <w:cantSplit/>
          <w:jc w:val="center"/>
        </w:trPr>
        <w:tc>
          <w:tcPr>
            <w:tcW w:w="3508" w:type="dxa"/>
          </w:tcPr>
          <w:p w:rsidR="00035EA3" w:rsidRDefault="005E255C">
            <w:pPr>
              <w:rPr>
                <w:rFonts w:ascii="宋体" w:hAnsi="宋体"/>
                <w:color w:val="000000"/>
                <w:sz w:val="24"/>
              </w:rPr>
            </w:pPr>
            <w:r>
              <w:rPr>
                <w:rFonts w:ascii="宋体" w:hAnsi="宋体" w:hint="eastAsia"/>
                <w:color w:val="000000"/>
                <w:sz w:val="24"/>
              </w:rPr>
              <w:t>基金注册登记机构名称</w:t>
            </w:r>
          </w:p>
        </w:tc>
        <w:tc>
          <w:tcPr>
            <w:tcW w:w="5016" w:type="dxa"/>
            <w:gridSpan w:val="2"/>
          </w:tcPr>
          <w:p w:rsidR="00035EA3" w:rsidRDefault="005E255C">
            <w:pPr>
              <w:rPr>
                <w:rFonts w:ascii="宋体" w:hAnsi="宋体"/>
                <w:color w:val="000000"/>
                <w:kern w:val="0"/>
                <w:sz w:val="24"/>
              </w:rPr>
            </w:pPr>
            <w:r>
              <w:rPr>
                <w:rFonts w:ascii="宋体" w:hAnsi="宋体" w:hint="eastAsia"/>
                <w:color w:val="000000"/>
                <w:kern w:val="0"/>
                <w:sz w:val="24"/>
              </w:rPr>
              <w:t>富国基金管理有限公司</w:t>
            </w:r>
          </w:p>
        </w:tc>
      </w:tr>
      <w:tr w:rsidR="00035EA3">
        <w:trPr>
          <w:cantSplit/>
          <w:jc w:val="center"/>
        </w:trPr>
        <w:tc>
          <w:tcPr>
            <w:tcW w:w="3508" w:type="dxa"/>
          </w:tcPr>
          <w:p w:rsidR="00035EA3" w:rsidRDefault="005E255C">
            <w:pPr>
              <w:rPr>
                <w:rFonts w:ascii="宋体" w:hAnsi="宋体"/>
                <w:color w:val="000000"/>
                <w:sz w:val="24"/>
              </w:rPr>
            </w:pPr>
            <w:r>
              <w:rPr>
                <w:rFonts w:ascii="宋体" w:hAnsi="宋体" w:hint="eastAsia"/>
                <w:color w:val="000000"/>
                <w:sz w:val="24"/>
              </w:rPr>
              <w:t>公告依据</w:t>
            </w:r>
          </w:p>
        </w:tc>
        <w:tc>
          <w:tcPr>
            <w:tcW w:w="5016" w:type="dxa"/>
            <w:gridSpan w:val="2"/>
          </w:tcPr>
          <w:p w:rsidR="00035EA3" w:rsidRDefault="005E255C">
            <w:pPr>
              <w:rPr>
                <w:rFonts w:ascii="宋体" w:hAnsi="宋体"/>
                <w:color w:val="000000"/>
                <w:kern w:val="0"/>
                <w:sz w:val="24"/>
              </w:rPr>
            </w:pPr>
            <w:r>
              <w:rPr>
                <w:rFonts w:ascii="宋体" w:hAnsi="宋体" w:hint="eastAsia"/>
                <w:color w:val="000000"/>
                <w:kern w:val="0"/>
                <w:sz w:val="24"/>
              </w:rPr>
              <w:t>《中华人民共和国证券投资基金法》及配套法规、《富国智恒稳健</w:t>
            </w:r>
            <w:r>
              <w:rPr>
                <w:rFonts w:ascii="宋体" w:hAnsi="宋体" w:hint="eastAsia"/>
                <w:color w:val="000000"/>
                <w:kern w:val="0"/>
                <w:sz w:val="24"/>
              </w:rPr>
              <w:t>90</w:t>
            </w:r>
            <w:r>
              <w:rPr>
                <w:rFonts w:ascii="宋体" w:hAnsi="宋体" w:hint="eastAsia"/>
                <w:color w:val="000000"/>
                <w:kern w:val="0"/>
                <w:sz w:val="24"/>
              </w:rPr>
              <w:t>天持有期混合型基金中基金（</w:t>
            </w:r>
            <w:r>
              <w:rPr>
                <w:rFonts w:ascii="宋体" w:hAnsi="宋体" w:hint="eastAsia"/>
                <w:color w:val="000000"/>
                <w:kern w:val="0"/>
                <w:sz w:val="24"/>
              </w:rPr>
              <w:t>FOF</w:t>
            </w:r>
            <w:r>
              <w:rPr>
                <w:rFonts w:ascii="宋体" w:hAnsi="宋体" w:hint="eastAsia"/>
                <w:color w:val="000000"/>
                <w:kern w:val="0"/>
                <w:sz w:val="24"/>
              </w:rPr>
              <w:t>）基金合同》、《富国智恒稳健</w:t>
            </w:r>
            <w:r>
              <w:rPr>
                <w:rFonts w:ascii="宋体" w:hAnsi="宋体" w:hint="eastAsia"/>
                <w:color w:val="000000"/>
                <w:kern w:val="0"/>
                <w:sz w:val="24"/>
              </w:rPr>
              <w:t>90</w:t>
            </w:r>
            <w:r>
              <w:rPr>
                <w:rFonts w:ascii="宋体" w:hAnsi="宋体" w:hint="eastAsia"/>
                <w:color w:val="000000"/>
                <w:kern w:val="0"/>
                <w:sz w:val="24"/>
              </w:rPr>
              <w:t>天持有期混合型基金中基金（</w:t>
            </w:r>
            <w:r>
              <w:rPr>
                <w:rFonts w:ascii="宋体" w:hAnsi="宋体" w:hint="eastAsia"/>
                <w:color w:val="000000"/>
                <w:kern w:val="0"/>
                <w:sz w:val="24"/>
              </w:rPr>
              <w:t>FOF</w:t>
            </w:r>
            <w:r>
              <w:rPr>
                <w:rFonts w:ascii="宋体" w:hAnsi="宋体" w:hint="eastAsia"/>
                <w:color w:val="000000"/>
                <w:kern w:val="0"/>
                <w:sz w:val="24"/>
              </w:rPr>
              <w:t>）招募说明书》</w:t>
            </w:r>
          </w:p>
        </w:tc>
      </w:tr>
      <w:tr w:rsidR="00035EA3">
        <w:trPr>
          <w:cantSplit/>
          <w:jc w:val="center"/>
        </w:trPr>
        <w:tc>
          <w:tcPr>
            <w:tcW w:w="3508" w:type="dxa"/>
          </w:tcPr>
          <w:p w:rsidR="00035EA3" w:rsidRDefault="005E255C">
            <w:pPr>
              <w:rPr>
                <w:rFonts w:ascii="宋体" w:hAnsi="宋体"/>
                <w:color w:val="000000"/>
                <w:sz w:val="24"/>
              </w:rPr>
            </w:pPr>
            <w:r>
              <w:rPr>
                <w:rFonts w:ascii="宋体" w:hAnsi="宋体" w:hint="eastAsia"/>
                <w:color w:val="000000"/>
                <w:sz w:val="24"/>
              </w:rPr>
              <w:t>申购起始日</w:t>
            </w:r>
          </w:p>
        </w:tc>
        <w:tc>
          <w:tcPr>
            <w:tcW w:w="5016" w:type="dxa"/>
            <w:gridSpan w:val="2"/>
          </w:tcPr>
          <w:p w:rsidR="00035EA3" w:rsidRDefault="005E255C">
            <w:pPr>
              <w:rPr>
                <w:rFonts w:ascii="宋体" w:hAnsi="宋体"/>
                <w:color w:val="000000"/>
                <w:kern w:val="0"/>
                <w:sz w:val="24"/>
              </w:rPr>
            </w:pP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1</w:t>
            </w:r>
            <w:r>
              <w:rPr>
                <w:rFonts w:ascii="宋体" w:hAnsi="宋体" w:hint="eastAsia"/>
                <w:color w:val="000000"/>
                <w:kern w:val="0"/>
                <w:sz w:val="24"/>
              </w:rPr>
              <w:t>月</w:t>
            </w:r>
            <w:r>
              <w:rPr>
                <w:rFonts w:ascii="宋体" w:hAnsi="宋体" w:hint="eastAsia"/>
                <w:color w:val="000000"/>
                <w:kern w:val="0"/>
                <w:sz w:val="24"/>
              </w:rPr>
              <w:t>29</w:t>
            </w:r>
            <w:r>
              <w:rPr>
                <w:rFonts w:ascii="宋体" w:hAnsi="宋体" w:hint="eastAsia"/>
                <w:color w:val="000000"/>
                <w:kern w:val="0"/>
                <w:sz w:val="24"/>
              </w:rPr>
              <w:t>日</w:t>
            </w:r>
          </w:p>
        </w:tc>
      </w:tr>
      <w:tr w:rsidR="00035EA3">
        <w:trPr>
          <w:cantSplit/>
          <w:jc w:val="center"/>
        </w:trPr>
        <w:tc>
          <w:tcPr>
            <w:tcW w:w="3508" w:type="dxa"/>
          </w:tcPr>
          <w:p w:rsidR="00035EA3" w:rsidRDefault="005E255C">
            <w:pPr>
              <w:rPr>
                <w:rFonts w:ascii="宋体" w:hAnsi="宋体"/>
                <w:color w:val="000000"/>
                <w:sz w:val="24"/>
              </w:rPr>
            </w:pPr>
            <w:r>
              <w:rPr>
                <w:rFonts w:ascii="宋体" w:hAnsi="宋体" w:hint="eastAsia"/>
                <w:color w:val="000000"/>
                <w:sz w:val="24"/>
              </w:rPr>
              <w:t>赎回起始日</w:t>
            </w:r>
          </w:p>
        </w:tc>
        <w:tc>
          <w:tcPr>
            <w:tcW w:w="5016" w:type="dxa"/>
            <w:gridSpan w:val="2"/>
          </w:tcPr>
          <w:p w:rsidR="00035EA3" w:rsidRDefault="005E255C">
            <w:pPr>
              <w:rPr>
                <w:rFonts w:ascii="宋体" w:hAnsi="宋体"/>
                <w:color w:val="000000"/>
                <w:kern w:val="0"/>
                <w:sz w:val="24"/>
              </w:rPr>
            </w:pPr>
            <w:r>
              <w:rPr>
                <w:rFonts w:ascii="宋体" w:hAnsi="宋体" w:hint="eastAsia"/>
                <w:color w:val="000000"/>
                <w:kern w:val="0"/>
                <w:sz w:val="24"/>
              </w:rPr>
              <w:t>2026</w:t>
            </w:r>
            <w:r>
              <w:rPr>
                <w:rFonts w:ascii="宋体" w:hAnsi="宋体" w:hint="eastAsia"/>
                <w:color w:val="000000"/>
                <w:kern w:val="0"/>
                <w:sz w:val="24"/>
              </w:rPr>
              <w:t>年</w:t>
            </w:r>
            <w:r>
              <w:rPr>
                <w:rFonts w:ascii="宋体" w:hAnsi="宋体"/>
                <w:color w:val="000000"/>
                <w:kern w:val="0"/>
                <w:sz w:val="24"/>
              </w:rPr>
              <w:t>3</w:t>
            </w:r>
            <w:r>
              <w:rPr>
                <w:rFonts w:ascii="宋体" w:hAnsi="宋体" w:hint="eastAsia"/>
                <w:color w:val="000000"/>
                <w:kern w:val="0"/>
                <w:sz w:val="24"/>
              </w:rPr>
              <w:t>月</w:t>
            </w:r>
            <w:r>
              <w:rPr>
                <w:rFonts w:ascii="宋体" w:hAnsi="宋体"/>
                <w:color w:val="000000"/>
                <w:kern w:val="0"/>
                <w:sz w:val="24"/>
              </w:rPr>
              <w:t>3</w:t>
            </w:r>
            <w:r>
              <w:rPr>
                <w:rFonts w:ascii="宋体" w:hAnsi="宋体" w:hint="eastAsia"/>
                <w:color w:val="000000"/>
                <w:kern w:val="0"/>
                <w:sz w:val="24"/>
              </w:rPr>
              <w:t>日</w:t>
            </w:r>
          </w:p>
        </w:tc>
      </w:tr>
      <w:tr w:rsidR="00035EA3">
        <w:trPr>
          <w:jc w:val="center"/>
        </w:trPr>
        <w:tc>
          <w:tcPr>
            <w:tcW w:w="3508" w:type="dxa"/>
          </w:tcPr>
          <w:p w:rsidR="00035EA3" w:rsidRDefault="005E255C">
            <w:r>
              <w:rPr>
                <w:rFonts w:ascii="宋体" w:hAnsi="宋体" w:hint="eastAsia"/>
                <w:color w:val="000000"/>
                <w:sz w:val="24"/>
              </w:rPr>
              <w:t>定期定额投资起始日</w:t>
            </w:r>
          </w:p>
        </w:tc>
        <w:tc>
          <w:tcPr>
            <w:tcW w:w="5016" w:type="dxa"/>
            <w:gridSpan w:val="2"/>
          </w:tcPr>
          <w:p w:rsidR="00035EA3" w:rsidRDefault="005E255C">
            <w:pPr>
              <w:rPr>
                <w:rFonts w:ascii="宋体" w:hAnsi="宋体"/>
                <w:color w:val="000000"/>
                <w:kern w:val="0"/>
                <w:sz w:val="24"/>
              </w:rPr>
            </w:pPr>
            <w:r>
              <w:rPr>
                <w:rFonts w:ascii="宋体" w:hAnsi="宋体" w:hint="eastAsia"/>
                <w:color w:val="000000"/>
                <w:kern w:val="0"/>
                <w:sz w:val="24"/>
              </w:rPr>
              <w:t>本基金自</w:t>
            </w: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1</w:t>
            </w:r>
            <w:r>
              <w:rPr>
                <w:rFonts w:ascii="宋体" w:hAnsi="宋体" w:hint="eastAsia"/>
                <w:color w:val="000000"/>
                <w:kern w:val="0"/>
                <w:sz w:val="24"/>
              </w:rPr>
              <w:t>月</w:t>
            </w:r>
            <w:r>
              <w:rPr>
                <w:rFonts w:ascii="宋体" w:hAnsi="宋体" w:hint="eastAsia"/>
                <w:color w:val="000000"/>
                <w:kern w:val="0"/>
                <w:sz w:val="24"/>
              </w:rPr>
              <w:t>29</w:t>
            </w:r>
            <w:r>
              <w:rPr>
                <w:rFonts w:ascii="宋体" w:hAnsi="宋体" w:hint="eastAsia"/>
                <w:color w:val="000000"/>
                <w:kern w:val="0"/>
                <w:sz w:val="24"/>
              </w:rPr>
              <w:t>日起在本公司网上交易系统开通定期定额投资业务。</w:t>
            </w:r>
          </w:p>
        </w:tc>
      </w:tr>
      <w:tr w:rsidR="00035EA3">
        <w:trPr>
          <w:cantSplit/>
          <w:jc w:val="center"/>
        </w:trPr>
        <w:tc>
          <w:tcPr>
            <w:tcW w:w="3508" w:type="dxa"/>
          </w:tcPr>
          <w:p w:rsidR="00035EA3" w:rsidRDefault="005E255C">
            <w:pPr>
              <w:rPr>
                <w:rFonts w:ascii="宋体" w:hAnsi="宋体"/>
                <w:color w:val="000000"/>
                <w:sz w:val="24"/>
              </w:rPr>
            </w:pPr>
            <w:r>
              <w:rPr>
                <w:rFonts w:ascii="宋体" w:hAnsi="宋体" w:hint="eastAsia"/>
                <w:color w:val="000000"/>
                <w:sz w:val="24"/>
              </w:rPr>
              <w:t>下属分级基金的基金简称</w:t>
            </w:r>
          </w:p>
        </w:tc>
        <w:tc>
          <w:tcPr>
            <w:tcW w:w="2454" w:type="dxa"/>
          </w:tcPr>
          <w:p w:rsidR="00035EA3" w:rsidRDefault="005E255C">
            <w:pPr>
              <w:rPr>
                <w:rFonts w:ascii="宋体" w:hAnsi="宋体"/>
                <w:color w:val="000000"/>
                <w:kern w:val="0"/>
                <w:sz w:val="24"/>
              </w:rPr>
            </w:pPr>
            <w:r>
              <w:rPr>
                <w:rFonts w:ascii="宋体" w:hAnsi="宋体" w:hint="eastAsia"/>
                <w:color w:val="000000"/>
                <w:kern w:val="0"/>
                <w:sz w:val="24"/>
              </w:rPr>
              <w:t>富国智恒稳健</w:t>
            </w:r>
            <w:r>
              <w:rPr>
                <w:rFonts w:ascii="宋体" w:hAnsi="宋体" w:hint="eastAsia"/>
                <w:color w:val="000000"/>
                <w:kern w:val="0"/>
                <w:sz w:val="24"/>
              </w:rPr>
              <w:t>90</w:t>
            </w:r>
            <w:r>
              <w:rPr>
                <w:rFonts w:ascii="宋体" w:hAnsi="宋体" w:hint="eastAsia"/>
                <w:color w:val="000000"/>
                <w:kern w:val="0"/>
                <w:sz w:val="24"/>
              </w:rPr>
              <w:t>天持有期混合（</w:t>
            </w:r>
            <w:r>
              <w:rPr>
                <w:rFonts w:ascii="宋体" w:hAnsi="宋体" w:hint="eastAsia"/>
                <w:color w:val="000000"/>
                <w:kern w:val="0"/>
                <w:sz w:val="24"/>
              </w:rPr>
              <w:t>FOF</w:t>
            </w:r>
            <w:r>
              <w:rPr>
                <w:rFonts w:ascii="宋体" w:hAnsi="宋体" w:hint="eastAsia"/>
                <w:color w:val="000000"/>
                <w:kern w:val="0"/>
                <w:sz w:val="24"/>
              </w:rPr>
              <w:t>）</w:t>
            </w:r>
            <w:r>
              <w:rPr>
                <w:rFonts w:ascii="宋体" w:hAnsi="宋体" w:hint="eastAsia"/>
                <w:color w:val="000000"/>
                <w:kern w:val="0"/>
                <w:sz w:val="24"/>
              </w:rPr>
              <w:t>A</w:t>
            </w:r>
          </w:p>
        </w:tc>
        <w:tc>
          <w:tcPr>
            <w:tcW w:w="2562" w:type="dxa"/>
          </w:tcPr>
          <w:p w:rsidR="00035EA3" w:rsidRDefault="005E255C">
            <w:pPr>
              <w:rPr>
                <w:rFonts w:ascii="宋体" w:hAnsi="宋体"/>
                <w:color w:val="000000"/>
                <w:kern w:val="0"/>
                <w:sz w:val="24"/>
              </w:rPr>
            </w:pPr>
            <w:r>
              <w:rPr>
                <w:rFonts w:ascii="宋体" w:hAnsi="宋体" w:hint="eastAsia"/>
                <w:color w:val="000000"/>
                <w:kern w:val="0"/>
                <w:sz w:val="24"/>
              </w:rPr>
              <w:t>富国智恒稳健</w:t>
            </w:r>
            <w:r>
              <w:rPr>
                <w:rFonts w:ascii="宋体" w:hAnsi="宋体" w:hint="eastAsia"/>
                <w:color w:val="000000"/>
                <w:kern w:val="0"/>
                <w:sz w:val="24"/>
              </w:rPr>
              <w:t>90</w:t>
            </w:r>
            <w:r>
              <w:rPr>
                <w:rFonts w:ascii="宋体" w:hAnsi="宋体" w:hint="eastAsia"/>
                <w:color w:val="000000"/>
                <w:kern w:val="0"/>
                <w:sz w:val="24"/>
              </w:rPr>
              <w:t>天持有期混合（</w:t>
            </w:r>
            <w:r>
              <w:rPr>
                <w:rFonts w:ascii="宋体" w:hAnsi="宋体" w:hint="eastAsia"/>
                <w:color w:val="000000"/>
                <w:kern w:val="0"/>
                <w:sz w:val="24"/>
              </w:rPr>
              <w:t>FOF</w:t>
            </w:r>
            <w:r>
              <w:rPr>
                <w:rFonts w:ascii="宋体" w:hAnsi="宋体" w:hint="eastAsia"/>
                <w:color w:val="000000"/>
                <w:kern w:val="0"/>
                <w:sz w:val="24"/>
              </w:rPr>
              <w:t>）</w:t>
            </w:r>
            <w:r>
              <w:rPr>
                <w:rFonts w:ascii="宋体" w:hAnsi="宋体" w:hint="eastAsia"/>
                <w:color w:val="000000"/>
                <w:kern w:val="0"/>
                <w:sz w:val="24"/>
              </w:rPr>
              <w:t>C</w:t>
            </w:r>
          </w:p>
        </w:tc>
      </w:tr>
      <w:tr w:rsidR="00035EA3">
        <w:trPr>
          <w:cantSplit/>
          <w:jc w:val="center"/>
        </w:trPr>
        <w:tc>
          <w:tcPr>
            <w:tcW w:w="3508" w:type="dxa"/>
            <w:vAlign w:val="center"/>
          </w:tcPr>
          <w:p w:rsidR="00035EA3" w:rsidRDefault="005E255C">
            <w:pPr>
              <w:rPr>
                <w:rFonts w:ascii="宋体" w:hAnsi="宋体"/>
                <w:color w:val="000000"/>
                <w:sz w:val="24"/>
              </w:rPr>
            </w:pPr>
            <w:r>
              <w:rPr>
                <w:rFonts w:ascii="宋体" w:hAnsi="宋体" w:hint="eastAsia"/>
                <w:color w:val="000000"/>
                <w:sz w:val="24"/>
              </w:rPr>
              <w:t>下属分级基金的交易代码</w:t>
            </w:r>
          </w:p>
        </w:tc>
        <w:tc>
          <w:tcPr>
            <w:tcW w:w="2454" w:type="dxa"/>
          </w:tcPr>
          <w:p w:rsidR="00035EA3" w:rsidRDefault="005E255C">
            <w:pPr>
              <w:jc w:val="left"/>
              <w:rPr>
                <w:rFonts w:ascii="宋体" w:hAnsi="宋体"/>
                <w:color w:val="000000"/>
                <w:kern w:val="0"/>
                <w:sz w:val="24"/>
              </w:rPr>
            </w:pPr>
            <w:r>
              <w:rPr>
                <w:rFonts w:ascii="宋体" w:hAnsi="宋体" w:hint="eastAsia"/>
                <w:color w:val="000000"/>
                <w:kern w:val="0"/>
                <w:sz w:val="24"/>
              </w:rPr>
              <w:t>025812</w:t>
            </w:r>
          </w:p>
        </w:tc>
        <w:tc>
          <w:tcPr>
            <w:tcW w:w="2562" w:type="dxa"/>
          </w:tcPr>
          <w:p w:rsidR="00035EA3" w:rsidRDefault="005E255C">
            <w:pPr>
              <w:jc w:val="left"/>
              <w:rPr>
                <w:rFonts w:ascii="宋体" w:hAnsi="宋体"/>
                <w:color w:val="000000"/>
                <w:kern w:val="0"/>
                <w:sz w:val="24"/>
              </w:rPr>
            </w:pPr>
            <w:r>
              <w:rPr>
                <w:rFonts w:ascii="宋体" w:hAnsi="宋体" w:hint="eastAsia"/>
                <w:color w:val="000000"/>
                <w:kern w:val="0"/>
                <w:sz w:val="24"/>
              </w:rPr>
              <w:t>025813</w:t>
            </w:r>
          </w:p>
        </w:tc>
      </w:tr>
      <w:tr w:rsidR="00035EA3">
        <w:trPr>
          <w:cantSplit/>
          <w:jc w:val="center"/>
        </w:trPr>
        <w:tc>
          <w:tcPr>
            <w:tcW w:w="3508" w:type="dxa"/>
            <w:vAlign w:val="center"/>
          </w:tcPr>
          <w:p w:rsidR="00035EA3" w:rsidRDefault="005E255C">
            <w:pPr>
              <w:tabs>
                <w:tab w:val="left" w:pos="1315"/>
              </w:tabs>
              <w:rPr>
                <w:rFonts w:ascii="宋体" w:hAnsi="宋体"/>
                <w:color w:val="000000"/>
                <w:sz w:val="24"/>
              </w:rPr>
            </w:pPr>
            <w:r>
              <w:rPr>
                <w:rFonts w:ascii="宋体" w:hAnsi="宋体" w:hint="eastAsia"/>
                <w:color w:val="000000"/>
                <w:sz w:val="24"/>
              </w:rPr>
              <w:t>该分级基金是否开放申购、赎回、定期定额投资</w:t>
            </w:r>
          </w:p>
        </w:tc>
        <w:tc>
          <w:tcPr>
            <w:tcW w:w="2454" w:type="dxa"/>
          </w:tcPr>
          <w:p w:rsidR="00035EA3" w:rsidRDefault="005E255C">
            <w:pPr>
              <w:rPr>
                <w:rFonts w:ascii="宋体" w:hAnsi="宋体"/>
                <w:color w:val="000000"/>
                <w:kern w:val="0"/>
                <w:sz w:val="24"/>
              </w:rPr>
            </w:pPr>
            <w:r>
              <w:rPr>
                <w:rFonts w:ascii="宋体" w:hAnsi="宋体" w:hint="eastAsia"/>
                <w:color w:val="000000"/>
                <w:kern w:val="0"/>
                <w:sz w:val="24"/>
              </w:rPr>
              <w:t>是</w:t>
            </w:r>
          </w:p>
        </w:tc>
        <w:tc>
          <w:tcPr>
            <w:tcW w:w="2562" w:type="dxa"/>
          </w:tcPr>
          <w:p w:rsidR="00035EA3" w:rsidRDefault="005E255C">
            <w:pPr>
              <w:rPr>
                <w:rFonts w:ascii="宋体" w:hAnsi="宋体"/>
                <w:color w:val="000000"/>
                <w:kern w:val="0"/>
                <w:sz w:val="24"/>
              </w:rPr>
            </w:pPr>
            <w:r>
              <w:rPr>
                <w:rFonts w:ascii="宋体" w:hAnsi="宋体" w:hint="eastAsia"/>
                <w:color w:val="000000"/>
                <w:kern w:val="0"/>
                <w:sz w:val="24"/>
              </w:rPr>
              <w:t>是</w:t>
            </w:r>
          </w:p>
          <w:p w:rsidR="00035EA3" w:rsidRDefault="00035EA3">
            <w:pPr>
              <w:rPr>
                <w:rFonts w:ascii="宋体" w:hAnsi="宋体"/>
                <w:color w:val="000000"/>
                <w:kern w:val="0"/>
                <w:sz w:val="24"/>
              </w:rPr>
            </w:pPr>
          </w:p>
        </w:tc>
      </w:tr>
    </w:tbl>
    <w:p w:rsidR="00035EA3" w:rsidRDefault="005E255C">
      <w:pPr>
        <w:spacing w:line="360" w:lineRule="auto"/>
        <w:ind w:firstLineChars="200" w:firstLine="480"/>
        <w:rPr>
          <w:rFonts w:ascii="宋体" w:hAnsi="宋体"/>
          <w:color w:val="000000"/>
          <w:kern w:val="0"/>
          <w:sz w:val="24"/>
        </w:rPr>
      </w:pPr>
      <w:r>
        <w:rPr>
          <w:rFonts w:ascii="宋体" w:hAnsi="宋体" w:hint="eastAsia"/>
          <w:color w:val="000000"/>
          <w:kern w:val="0"/>
          <w:sz w:val="24"/>
        </w:rPr>
        <w:t>注：本基金每个开放日开放申购，本基金对每份基金份额设置</w:t>
      </w:r>
      <w:r>
        <w:rPr>
          <w:rFonts w:ascii="宋体" w:hAnsi="宋体" w:hint="eastAsia"/>
          <w:color w:val="000000"/>
          <w:kern w:val="0"/>
          <w:sz w:val="24"/>
        </w:rPr>
        <w:t>90</w:t>
      </w:r>
      <w:r>
        <w:rPr>
          <w:rFonts w:ascii="宋体" w:hAnsi="宋体" w:hint="eastAsia"/>
          <w:color w:val="000000"/>
          <w:kern w:val="0"/>
          <w:sz w:val="24"/>
        </w:rPr>
        <w:t>天的最短持有期，即：自基金合同生效日（对于认购份额而言）或基金份额申购、转换转入确认日（对于申购、转换转入份额而言）起至该日后</w:t>
      </w:r>
      <w:r>
        <w:rPr>
          <w:rFonts w:ascii="宋体" w:hAnsi="宋体" w:hint="eastAsia"/>
          <w:color w:val="000000"/>
          <w:kern w:val="0"/>
          <w:sz w:val="24"/>
        </w:rPr>
        <w:t>90</w:t>
      </w:r>
      <w:r>
        <w:rPr>
          <w:rFonts w:ascii="宋体" w:hAnsi="宋体" w:hint="eastAsia"/>
          <w:color w:val="000000"/>
          <w:kern w:val="0"/>
          <w:sz w:val="24"/>
        </w:rPr>
        <w:t>天的对应日（不含当日），投资者不能提出赎回或转换转出申请；该日后</w:t>
      </w:r>
      <w:r>
        <w:rPr>
          <w:rFonts w:ascii="宋体" w:hAnsi="宋体" w:hint="eastAsia"/>
          <w:color w:val="000000"/>
          <w:kern w:val="0"/>
          <w:sz w:val="24"/>
        </w:rPr>
        <w:t>90</w:t>
      </w:r>
      <w:r>
        <w:rPr>
          <w:rFonts w:ascii="宋体" w:hAnsi="宋体" w:hint="eastAsia"/>
          <w:color w:val="000000"/>
          <w:kern w:val="0"/>
          <w:sz w:val="24"/>
        </w:rPr>
        <w:t>天的对应日起（含当日），投资者方可提出赎回或转换转出申请，如该对应日为非工作日则顺延至下一工作日。本基金暂不开通转换业务。本基金认购份额的首个赎回申请起始日为</w:t>
      </w: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3</w:t>
      </w:r>
      <w:r>
        <w:rPr>
          <w:rFonts w:ascii="宋体" w:hAnsi="宋体" w:hint="eastAsia"/>
          <w:color w:val="000000"/>
          <w:kern w:val="0"/>
          <w:sz w:val="24"/>
        </w:rPr>
        <w:t>月</w:t>
      </w:r>
      <w:r>
        <w:rPr>
          <w:rFonts w:ascii="宋体" w:hAnsi="宋体" w:hint="eastAsia"/>
          <w:color w:val="000000"/>
          <w:kern w:val="0"/>
          <w:sz w:val="24"/>
        </w:rPr>
        <w:t>3</w:t>
      </w:r>
      <w:r>
        <w:rPr>
          <w:rFonts w:ascii="宋体" w:hAnsi="宋体" w:hint="eastAsia"/>
          <w:color w:val="000000"/>
          <w:kern w:val="0"/>
          <w:sz w:val="24"/>
        </w:rPr>
        <w:t>日。</w:t>
      </w:r>
    </w:p>
    <w:p w:rsidR="00035EA3" w:rsidRDefault="005E255C">
      <w:pPr>
        <w:pStyle w:val="1"/>
      </w:pPr>
      <w:r>
        <w:rPr>
          <w:rFonts w:hint="eastAsia"/>
        </w:rPr>
        <w:lastRenderedPageBreak/>
        <w:t>日常申购、赎回业务的办理时间</w:t>
      </w:r>
    </w:p>
    <w:p w:rsidR="00035EA3" w:rsidRDefault="005E255C">
      <w:pPr>
        <w:spacing w:line="360" w:lineRule="auto"/>
        <w:ind w:firstLineChars="200" w:firstLine="480"/>
        <w:rPr>
          <w:rFonts w:ascii="宋体" w:hAnsi="宋体"/>
          <w:color w:val="000000"/>
          <w:kern w:val="0"/>
          <w:sz w:val="24"/>
        </w:rPr>
      </w:pPr>
      <w:r>
        <w:rPr>
          <w:rFonts w:ascii="宋体" w:hAnsi="宋体" w:hint="eastAsia"/>
          <w:color w:val="000000"/>
          <w:kern w:val="0"/>
          <w:sz w:val="24"/>
        </w:rPr>
        <w:t>投资者在开放日办理基金份额的申购和赎回，具体办</w:t>
      </w:r>
      <w:r>
        <w:rPr>
          <w:rFonts w:ascii="宋体" w:hAnsi="宋体" w:hint="eastAsia"/>
          <w:color w:val="000000"/>
          <w:kern w:val="0"/>
          <w:sz w:val="24"/>
        </w:rPr>
        <w:t>理时间为上海证券交易所、深圳证券交易所的正常交易日的交易时间（若本基金参与港股通交易且该工作日为非港股通交易日时，则本基金可以不开放申购和赎回等业务，具体以届时公告为准），但基金管理人根据法律法规、中国证监会的要求或基金合同的规定公告暂停申购、赎回时除外。</w:t>
      </w:r>
    </w:p>
    <w:p w:rsidR="00035EA3" w:rsidRDefault="005E255C">
      <w:pPr>
        <w:spacing w:line="360" w:lineRule="auto"/>
        <w:ind w:firstLineChars="200" w:firstLine="480"/>
        <w:rPr>
          <w:rFonts w:ascii="宋体" w:hAnsi="宋体"/>
          <w:color w:val="000000"/>
          <w:kern w:val="0"/>
          <w:sz w:val="24"/>
        </w:rPr>
      </w:pPr>
      <w:r>
        <w:rPr>
          <w:rFonts w:ascii="宋体" w:hAnsi="宋体" w:hint="eastAsia"/>
          <w:color w:val="000000"/>
          <w:kern w:val="0"/>
          <w:sz w:val="24"/>
        </w:rPr>
        <w:t>基金合同生效后，若出现不可抗力，或者新的证券交易市场、证券交易所交易时间变更、港股通交易规则变更、其他特殊情况或根据业务需要，基金管理人将视情况对前述开放日及开放时间进行相应的调整，但应在实施日前依照《信息披露办法》的有关规定在规定媒介上公告。</w:t>
      </w:r>
    </w:p>
    <w:p w:rsidR="00035EA3" w:rsidRDefault="005E255C">
      <w:pPr>
        <w:spacing w:line="360" w:lineRule="auto"/>
        <w:ind w:firstLineChars="200" w:firstLine="480"/>
        <w:rPr>
          <w:rFonts w:ascii="宋体" w:hAnsi="宋体"/>
          <w:color w:val="000000"/>
          <w:kern w:val="0"/>
          <w:sz w:val="24"/>
        </w:rPr>
      </w:pPr>
      <w:bookmarkStart w:id="1" w:name="_Toc249263620"/>
      <w:r>
        <w:rPr>
          <w:rFonts w:ascii="宋体" w:hAnsi="宋体" w:hint="eastAsia"/>
          <w:color w:val="000000"/>
          <w:kern w:val="0"/>
          <w:sz w:val="24"/>
        </w:rPr>
        <w:t>基金管理</w:t>
      </w:r>
      <w:r>
        <w:rPr>
          <w:rFonts w:ascii="宋体" w:hAnsi="宋体" w:hint="eastAsia"/>
          <w:color w:val="000000"/>
          <w:kern w:val="0"/>
          <w:sz w:val="24"/>
        </w:rPr>
        <w:t>人不得在基金合同约定之外的日期或者时间办理基金份额的申购、赎回或者转换。投资者在基金合同约定之外的日期和时间提出申购、赎回或转换申请且登记机构确认接受的，其基金份额申购、赎回价格为下一开放日相应类别的基金份额申购、赎回的价格。</w:t>
      </w:r>
    </w:p>
    <w:p w:rsidR="00035EA3" w:rsidRDefault="005E255C">
      <w:pPr>
        <w:pStyle w:val="1"/>
      </w:pPr>
      <w:r>
        <w:rPr>
          <w:rFonts w:hint="eastAsia"/>
        </w:rPr>
        <w:t>日常申购业务</w:t>
      </w:r>
      <w:bookmarkEnd w:id="1"/>
    </w:p>
    <w:p w:rsidR="00035EA3" w:rsidRDefault="005E255C">
      <w:pPr>
        <w:pStyle w:val="2"/>
      </w:pPr>
      <w:r>
        <w:rPr>
          <w:rFonts w:hint="eastAsia"/>
        </w:rPr>
        <w:t>申购金额限制</w:t>
      </w:r>
    </w:p>
    <w:p w:rsidR="00035EA3" w:rsidRDefault="005E255C">
      <w:pPr>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基金管理人规定，本基金单笔最低申购金额为人民币</w:t>
      </w:r>
      <w:r>
        <w:rPr>
          <w:rFonts w:ascii="宋体" w:hAnsi="宋体" w:hint="eastAsia"/>
          <w:color w:val="000000"/>
          <w:kern w:val="0"/>
          <w:sz w:val="24"/>
        </w:rPr>
        <w:t>1</w:t>
      </w:r>
      <w:r>
        <w:rPr>
          <w:rFonts w:ascii="宋体" w:hAnsi="宋体" w:hint="eastAsia"/>
          <w:color w:val="000000"/>
          <w:kern w:val="0"/>
          <w:sz w:val="24"/>
        </w:rPr>
        <w:t>元（含申购费），投资者通过销售机构申购本基金时，除需满足基金管理人最低申购金额限制外，当销售机构设定的最低金额高于上述金额限制时，投资者还应遵循相关销售机构的业务规定。</w:t>
      </w:r>
    </w:p>
    <w:p w:rsidR="00035EA3" w:rsidRDefault="005E255C">
      <w:pPr>
        <w:spacing w:line="360" w:lineRule="auto"/>
        <w:ind w:firstLineChars="200" w:firstLine="480"/>
        <w:rPr>
          <w:rFonts w:ascii="宋体" w:hAnsi="宋体"/>
          <w:color w:val="000000"/>
          <w:kern w:val="0"/>
          <w:sz w:val="24"/>
        </w:rPr>
      </w:pPr>
      <w:r>
        <w:rPr>
          <w:rFonts w:ascii="宋体" w:hAnsi="宋体" w:hint="eastAsia"/>
          <w:color w:val="000000"/>
          <w:kern w:val="0"/>
          <w:sz w:val="24"/>
        </w:rPr>
        <w:t>直销网点单个账户首次申购的最低金额为人</w:t>
      </w:r>
      <w:r>
        <w:rPr>
          <w:rFonts w:ascii="宋体" w:hAnsi="宋体" w:hint="eastAsia"/>
          <w:color w:val="000000"/>
          <w:kern w:val="0"/>
          <w:sz w:val="24"/>
        </w:rPr>
        <w:t>民币</w:t>
      </w:r>
      <w:r>
        <w:rPr>
          <w:rFonts w:ascii="宋体" w:hAnsi="宋体" w:hint="eastAsia"/>
          <w:color w:val="000000"/>
          <w:kern w:val="0"/>
          <w:sz w:val="24"/>
        </w:rPr>
        <w:t>50,000</w:t>
      </w:r>
      <w:r>
        <w:rPr>
          <w:rFonts w:ascii="宋体" w:hAnsi="宋体" w:hint="eastAsia"/>
          <w:color w:val="000000"/>
          <w:kern w:val="0"/>
          <w:sz w:val="24"/>
        </w:rPr>
        <w:t>元（含申购费），追加申购的最低金额为单笔人民币</w:t>
      </w:r>
      <w:r>
        <w:rPr>
          <w:rFonts w:ascii="宋体" w:hAnsi="宋体" w:hint="eastAsia"/>
          <w:color w:val="000000"/>
          <w:kern w:val="0"/>
          <w:sz w:val="24"/>
        </w:rPr>
        <w:t>20,000</w:t>
      </w:r>
      <w:r>
        <w:rPr>
          <w:rFonts w:ascii="宋体" w:hAnsi="宋体" w:hint="eastAsia"/>
          <w:color w:val="000000"/>
          <w:kern w:val="0"/>
          <w:sz w:val="24"/>
        </w:rPr>
        <w:t>元（含申购费）；已在直销网点有该基金认购记录的投资者不受首次申购最低金额的限制。其他销售网点的投资者欲转入直销网点进行交易要受直销网点最低申购金额的限制。投资者当期分配的基金收益转购基金份额时，不受最低申购金额的限制。通过基金管理人网上交易系统办理基金申购业务的不受直销网点单笔申购最低金额的限制，申购最低金额为单笔人民币</w:t>
      </w:r>
      <w:r>
        <w:rPr>
          <w:rFonts w:ascii="宋体" w:hAnsi="宋体" w:hint="eastAsia"/>
          <w:color w:val="000000"/>
          <w:kern w:val="0"/>
          <w:sz w:val="24"/>
        </w:rPr>
        <w:t>1</w:t>
      </w:r>
      <w:r>
        <w:rPr>
          <w:rFonts w:ascii="宋体" w:hAnsi="宋体" w:hint="eastAsia"/>
          <w:color w:val="000000"/>
          <w:kern w:val="0"/>
          <w:sz w:val="24"/>
        </w:rPr>
        <w:t>元（含申购费）。基金管理人可根据市场情况，调整本基金申购的</w:t>
      </w:r>
      <w:r>
        <w:rPr>
          <w:rFonts w:ascii="宋体" w:hAnsi="宋体" w:hint="eastAsia"/>
          <w:color w:val="000000"/>
          <w:kern w:val="0"/>
          <w:sz w:val="24"/>
        </w:rPr>
        <w:lastRenderedPageBreak/>
        <w:t>最低金额。</w:t>
      </w:r>
    </w:p>
    <w:p w:rsidR="00035EA3" w:rsidRDefault="005E255C">
      <w:pPr>
        <w:spacing w:line="360" w:lineRule="auto"/>
        <w:ind w:firstLineChars="200" w:firstLine="480"/>
        <w:rPr>
          <w:rFonts w:ascii="宋体" w:hAnsi="宋体"/>
          <w:color w:val="000000"/>
          <w:kern w:val="0"/>
          <w:sz w:val="24"/>
        </w:rPr>
      </w:pPr>
      <w:r>
        <w:rPr>
          <w:rFonts w:ascii="宋体" w:hAnsi="宋体" w:hint="eastAsia"/>
          <w:color w:val="000000"/>
          <w:kern w:val="0"/>
          <w:sz w:val="24"/>
        </w:rPr>
        <w:t>投资者可多次申购，但单一投资者持有基金份额数不得达到或超过基金份额总数的</w:t>
      </w:r>
      <w:r>
        <w:rPr>
          <w:rFonts w:ascii="宋体" w:hAnsi="宋体" w:hint="eastAsia"/>
          <w:color w:val="000000"/>
          <w:kern w:val="0"/>
          <w:sz w:val="24"/>
        </w:rPr>
        <w:t>50%</w:t>
      </w:r>
      <w:r>
        <w:rPr>
          <w:rFonts w:ascii="宋体" w:hAnsi="宋体" w:hint="eastAsia"/>
          <w:color w:val="000000"/>
          <w:kern w:val="0"/>
          <w:sz w:val="24"/>
        </w:rPr>
        <w:t>（在基金运作过程中因基金份额赎回等情形导致被动达到或超过</w:t>
      </w:r>
      <w:r>
        <w:rPr>
          <w:rFonts w:ascii="宋体" w:hAnsi="宋体" w:hint="eastAsia"/>
          <w:color w:val="000000"/>
          <w:kern w:val="0"/>
          <w:sz w:val="24"/>
        </w:rPr>
        <w:t>50%</w:t>
      </w:r>
      <w:r>
        <w:rPr>
          <w:rFonts w:ascii="宋体" w:hAnsi="宋体" w:hint="eastAsia"/>
          <w:color w:val="000000"/>
          <w:kern w:val="0"/>
          <w:sz w:val="24"/>
        </w:rPr>
        <w:t>的除外）。法律法规或监管机构另有规定的，从其规定。</w:t>
      </w:r>
    </w:p>
    <w:p w:rsidR="00035EA3" w:rsidRDefault="005E255C">
      <w:pPr>
        <w:pStyle w:val="2"/>
      </w:pPr>
      <w:r>
        <w:rPr>
          <w:rFonts w:hint="eastAsia"/>
        </w:rPr>
        <w:t>申购费率</w:t>
      </w:r>
    </w:p>
    <w:p w:rsidR="00035EA3" w:rsidRDefault="005E255C">
      <w:pPr>
        <w:spacing w:line="360" w:lineRule="auto"/>
        <w:ind w:firstLineChars="200" w:firstLine="480"/>
        <w:rPr>
          <w:rFonts w:ascii="宋体" w:hAnsi="宋体"/>
          <w:color w:val="000000"/>
          <w:kern w:val="0"/>
          <w:sz w:val="24"/>
        </w:rPr>
      </w:pPr>
      <w:r>
        <w:rPr>
          <w:rFonts w:ascii="宋体" w:hAnsi="宋体" w:hint="eastAsia"/>
          <w:color w:val="000000"/>
          <w:kern w:val="0"/>
          <w:sz w:val="24"/>
        </w:rPr>
        <w:t>投资者申购本基金</w:t>
      </w:r>
      <w:r>
        <w:rPr>
          <w:rFonts w:ascii="宋体" w:hAnsi="宋体" w:hint="eastAsia"/>
          <w:color w:val="000000"/>
          <w:kern w:val="0"/>
          <w:sz w:val="24"/>
        </w:rPr>
        <w:t>A</w:t>
      </w:r>
      <w:r>
        <w:rPr>
          <w:rFonts w:ascii="宋体" w:hAnsi="宋体" w:hint="eastAsia"/>
          <w:color w:val="000000"/>
          <w:kern w:val="0"/>
          <w:sz w:val="24"/>
        </w:rPr>
        <w:t>类基金份额时，需交纳申购费用。投资者如果有多笔申购，适用费率按单笔分别计算。本基金</w:t>
      </w:r>
      <w:r>
        <w:rPr>
          <w:rFonts w:ascii="宋体" w:hAnsi="宋体" w:hint="eastAsia"/>
          <w:color w:val="000000"/>
          <w:kern w:val="0"/>
          <w:sz w:val="24"/>
        </w:rPr>
        <w:t>C</w:t>
      </w:r>
      <w:r>
        <w:rPr>
          <w:rFonts w:ascii="宋体" w:hAnsi="宋体" w:hint="eastAsia"/>
          <w:color w:val="000000"/>
          <w:kern w:val="0"/>
          <w:sz w:val="24"/>
        </w:rPr>
        <w:t>类基金份额不收取申购费，而是从本类别基金资产中计提销售服务费。各销售机构销售的份额类别以其业务规定为准，敬请投资者留意。</w:t>
      </w:r>
    </w:p>
    <w:p w:rsidR="00035EA3" w:rsidRDefault="005E255C">
      <w:pPr>
        <w:spacing w:line="360" w:lineRule="auto"/>
        <w:ind w:firstLineChars="200" w:firstLine="480"/>
        <w:rPr>
          <w:rFonts w:ascii="宋体" w:hAnsi="宋体"/>
          <w:color w:val="000000"/>
          <w:kern w:val="0"/>
          <w:sz w:val="24"/>
        </w:rPr>
      </w:pPr>
      <w:r>
        <w:rPr>
          <w:rFonts w:ascii="宋体" w:hAnsi="宋体" w:hint="eastAsia"/>
          <w:color w:val="000000"/>
          <w:kern w:val="0"/>
          <w:sz w:val="24"/>
        </w:rPr>
        <w:t>本基金对通过直销中心申购</w:t>
      </w:r>
      <w:r>
        <w:rPr>
          <w:rFonts w:ascii="宋体" w:hAnsi="宋体" w:hint="eastAsia"/>
          <w:color w:val="000000"/>
          <w:kern w:val="0"/>
          <w:sz w:val="24"/>
        </w:rPr>
        <w:t>A</w:t>
      </w:r>
      <w:r>
        <w:rPr>
          <w:rFonts w:ascii="宋体" w:hAnsi="宋体" w:hint="eastAsia"/>
          <w:color w:val="000000"/>
          <w:kern w:val="0"/>
          <w:sz w:val="24"/>
        </w:rPr>
        <w:t>类基金份额的养老金客户与除此之外的其他投资者实施差别的申购费率。</w:t>
      </w:r>
    </w:p>
    <w:p w:rsidR="00035EA3" w:rsidRDefault="005E255C">
      <w:pPr>
        <w:spacing w:line="360" w:lineRule="auto"/>
        <w:ind w:firstLineChars="200" w:firstLine="480"/>
        <w:rPr>
          <w:rFonts w:ascii="宋体" w:hAnsi="宋体"/>
          <w:color w:val="000000"/>
          <w:kern w:val="0"/>
          <w:sz w:val="24"/>
        </w:rPr>
      </w:pPr>
      <w:r>
        <w:rPr>
          <w:rFonts w:ascii="宋体" w:hAnsi="宋体" w:hint="eastAsia"/>
          <w:color w:val="000000"/>
          <w:kern w:val="0"/>
          <w:sz w:val="24"/>
        </w:rPr>
        <w:t>养老金客户指基本养老基金与依法成立的养老计划筹集的资金及其投资运营收益形成的补充养老基金等，具体包括：</w:t>
      </w:r>
    </w:p>
    <w:p w:rsidR="00035EA3" w:rsidRDefault="005E255C">
      <w:pPr>
        <w:spacing w:line="360" w:lineRule="auto"/>
        <w:ind w:firstLineChars="200" w:firstLine="480"/>
        <w:rPr>
          <w:rFonts w:ascii="宋体" w:hAnsi="宋体"/>
          <w:color w:val="000000"/>
          <w:kern w:val="0"/>
          <w:sz w:val="24"/>
        </w:rPr>
      </w:pPr>
      <w:r>
        <w:rPr>
          <w:rFonts w:ascii="宋体" w:hAnsi="宋体" w:hint="eastAsia"/>
          <w:color w:val="000000"/>
          <w:kern w:val="0"/>
          <w:sz w:val="24"/>
        </w:rPr>
        <w:t>a</w:t>
      </w:r>
      <w:r>
        <w:rPr>
          <w:rFonts w:ascii="宋体" w:hAnsi="宋体" w:hint="eastAsia"/>
          <w:color w:val="000000"/>
          <w:kern w:val="0"/>
          <w:sz w:val="24"/>
        </w:rPr>
        <w:t>、全国社会保障基金；</w:t>
      </w:r>
    </w:p>
    <w:p w:rsidR="00035EA3" w:rsidRDefault="005E255C">
      <w:pPr>
        <w:spacing w:line="360" w:lineRule="auto"/>
        <w:ind w:firstLineChars="200" w:firstLine="480"/>
        <w:rPr>
          <w:rFonts w:ascii="宋体" w:hAnsi="宋体"/>
          <w:color w:val="000000"/>
          <w:kern w:val="0"/>
          <w:sz w:val="24"/>
        </w:rPr>
      </w:pPr>
      <w:r>
        <w:rPr>
          <w:rFonts w:ascii="宋体" w:hAnsi="宋体" w:hint="eastAsia"/>
          <w:color w:val="000000"/>
          <w:kern w:val="0"/>
          <w:sz w:val="24"/>
        </w:rPr>
        <w:t>b</w:t>
      </w:r>
      <w:r>
        <w:rPr>
          <w:rFonts w:ascii="宋体" w:hAnsi="宋体" w:hint="eastAsia"/>
          <w:color w:val="000000"/>
          <w:kern w:val="0"/>
          <w:sz w:val="24"/>
        </w:rPr>
        <w:t>、可以投资基金的地方社会保障基金；</w:t>
      </w:r>
    </w:p>
    <w:p w:rsidR="00035EA3" w:rsidRDefault="005E255C">
      <w:pPr>
        <w:spacing w:line="360" w:lineRule="auto"/>
        <w:ind w:firstLineChars="200" w:firstLine="480"/>
        <w:rPr>
          <w:rFonts w:ascii="宋体" w:hAnsi="宋体"/>
          <w:color w:val="000000"/>
          <w:kern w:val="0"/>
          <w:sz w:val="24"/>
        </w:rPr>
      </w:pPr>
      <w:r>
        <w:rPr>
          <w:rFonts w:ascii="宋体" w:hAnsi="宋体" w:hint="eastAsia"/>
          <w:color w:val="000000"/>
          <w:kern w:val="0"/>
          <w:sz w:val="24"/>
        </w:rPr>
        <w:t>c</w:t>
      </w:r>
      <w:r>
        <w:rPr>
          <w:rFonts w:ascii="宋体" w:hAnsi="宋体" w:hint="eastAsia"/>
          <w:color w:val="000000"/>
          <w:kern w:val="0"/>
          <w:sz w:val="24"/>
        </w:rPr>
        <w:t>、企业年金单一计划以及集合计划；</w:t>
      </w:r>
    </w:p>
    <w:p w:rsidR="00035EA3" w:rsidRDefault="005E255C">
      <w:pPr>
        <w:spacing w:line="360" w:lineRule="auto"/>
        <w:ind w:firstLineChars="200" w:firstLine="480"/>
        <w:rPr>
          <w:rFonts w:ascii="宋体" w:hAnsi="宋体"/>
          <w:color w:val="000000"/>
          <w:kern w:val="0"/>
          <w:sz w:val="24"/>
        </w:rPr>
      </w:pPr>
      <w:r>
        <w:rPr>
          <w:rFonts w:ascii="宋体" w:hAnsi="宋体" w:hint="eastAsia"/>
          <w:color w:val="000000"/>
          <w:kern w:val="0"/>
          <w:sz w:val="24"/>
        </w:rPr>
        <w:t>d</w:t>
      </w:r>
      <w:r>
        <w:rPr>
          <w:rFonts w:ascii="宋体" w:hAnsi="宋体" w:hint="eastAsia"/>
          <w:color w:val="000000"/>
          <w:kern w:val="0"/>
          <w:sz w:val="24"/>
        </w:rPr>
        <w:t>、企业年金理事会委托的特定客户资产管理计划；</w:t>
      </w:r>
    </w:p>
    <w:p w:rsidR="00035EA3" w:rsidRDefault="005E255C">
      <w:pPr>
        <w:spacing w:line="360" w:lineRule="auto"/>
        <w:ind w:firstLineChars="200" w:firstLine="480"/>
        <w:rPr>
          <w:rFonts w:ascii="宋体" w:hAnsi="宋体"/>
          <w:color w:val="000000"/>
          <w:kern w:val="0"/>
          <w:sz w:val="24"/>
        </w:rPr>
      </w:pPr>
      <w:r>
        <w:rPr>
          <w:rFonts w:ascii="宋体" w:hAnsi="宋体" w:hint="eastAsia"/>
          <w:color w:val="000000"/>
          <w:kern w:val="0"/>
          <w:sz w:val="24"/>
        </w:rPr>
        <w:t>e</w:t>
      </w:r>
      <w:r>
        <w:rPr>
          <w:rFonts w:ascii="宋体" w:hAnsi="宋体" w:hint="eastAsia"/>
          <w:color w:val="000000"/>
          <w:kern w:val="0"/>
          <w:sz w:val="24"/>
        </w:rPr>
        <w:t>、企业年金养老金产品；</w:t>
      </w:r>
    </w:p>
    <w:p w:rsidR="00035EA3" w:rsidRDefault="005E255C">
      <w:pPr>
        <w:spacing w:line="360" w:lineRule="auto"/>
        <w:ind w:firstLineChars="200" w:firstLine="480"/>
        <w:rPr>
          <w:rFonts w:ascii="宋体" w:hAnsi="宋体"/>
          <w:color w:val="000000"/>
          <w:kern w:val="0"/>
          <w:sz w:val="24"/>
        </w:rPr>
      </w:pPr>
      <w:r>
        <w:rPr>
          <w:rFonts w:ascii="宋体" w:hAnsi="宋体" w:hint="eastAsia"/>
          <w:color w:val="000000"/>
          <w:kern w:val="0"/>
          <w:sz w:val="24"/>
        </w:rPr>
        <w:t>f</w:t>
      </w:r>
      <w:r>
        <w:rPr>
          <w:rFonts w:ascii="宋体" w:hAnsi="宋体" w:hint="eastAsia"/>
          <w:color w:val="000000"/>
          <w:kern w:val="0"/>
          <w:sz w:val="24"/>
        </w:rPr>
        <w:t>、个人税收递延型商业养老保险等产品；</w:t>
      </w:r>
    </w:p>
    <w:p w:rsidR="00035EA3" w:rsidRDefault="005E255C">
      <w:pPr>
        <w:spacing w:line="360" w:lineRule="auto"/>
        <w:ind w:firstLineChars="200" w:firstLine="480"/>
        <w:rPr>
          <w:rFonts w:ascii="宋体" w:hAnsi="宋体"/>
          <w:color w:val="000000"/>
          <w:kern w:val="0"/>
          <w:sz w:val="24"/>
        </w:rPr>
      </w:pPr>
      <w:r>
        <w:rPr>
          <w:rFonts w:ascii="宋体" w:hAnsi="宋体" w:hint="eastAsia"/>
          <w:color w:val="000000"/>
          <w:kern w:val="0"/>
          <w:sz w:val="24"/>
        </w:rPr>
        <w:t>g</w:t>
      </w:r>
      <w:r>
        <w:rPr>
          <w:rFonts w:ascii="宋体" w:hAnsi="宋体" w:hint="eastAsia"/>
          <w:color w:val="000000"/>
          <w:kern w:val="0"/>
          <w:sz w:val="24"/>
        </w:rPr>
        <w:t>、职业年金计划。</w:t>
      </w:r>
    </w:p>
    <w:p w:rsidR="00035EA3" w:rsidRDefault="005E255C">
      <w:pPr>
        <w:spacing w:line="360" w:lineRule="auto"/>
        <w:ind w:firstLineChars="200" w:firstLine="480"/>
        <w:rPr>
          <w:rFonts w:ascii="宋体" w:hAnsi="宋体"/>
          <w:color w:val="000000"/>
          <w:kern w:val="0"/>
          <w:sz w:val="24"/>
        </w:rPr>
      </w:pPr>
      <w:r>
        <w:rPr>
          <w:rFonts w:ascii="宋体" w:hAnsi="宋体" w:hint="eastAsia"/>
          <w:color w:val="000000"/>
          <w:kern w:val="0"/>
          <w:sz w:val="24"/>
        </w:rPr>
        <w:t>如将来出现经养老基金监管部门认可的新的养老基金类型，本公司将发布临时公告将其纳入养老</w:t>
      </w:r>
      <w:r>
        <w:rPr>
          <w:rFonts w:ascii="宋体" w:hAnsi="宋体" w:hint="eastAsia"/>
          <w:color w:val="000000"/>
          <w:kern w:val="0"/>
          <w:sz w:val="24"/>
        </w:rPr>
        <w:t>金客户范围。非养老金客户指除养老金客户外的其他投资者。</w:t>
      </w:r>
    </w:p>
    <w:p w:rsidR="00035EA3" w:rsidRDefault="005E255C">
      <w:pPr>
        <w:spacing w:line="360" w:lineRule="auto"/>
        <w:ind w:firstLineChars="200" w:firstLine="480"/>
        <w:rPr>
          <w:rFonts w:ascii="宋体" w:hAnsi="宋体"/>
          <w:color w:val="000000"/>
          <w:kern w:val="0"/>
          <w:sz w:val="24"/>
        </w:rPr>
      </w:pPr>
      <w:r>
        <w:rPr>
          <w:rFonts w:ascii="宋体" w:hAnsi="宋体" w:hint="eastAsia"/>
          <w:color w:val="000000"/>
          <w:kern w:val="0"/>
          <w:sz w:val="24"/>
        </w:rPr>
        <w:t>本基金</w:t>
      </w:r>
      <w:r>
        <w:rPr>
          <w:rFonts w:ascii="宋体" w:hAnsi="宋体" w:hint="eastAsia"/>
          <w:color w:val="000000"/>
          <w:kern w:val="0"/>
          <w:sz w:val="24"/>
        </w:rPr>
        <w:t>A</w:t>
      </w:r>
      <w:r>
        <w:rPr>
          <w:rFonts w:ascii="宋体" w:hAnsi="宋体" w:hint="eastAsia"/>
          <w:color w:val="000000"/>
          <w:kern w:val="0"/>
          <w:sz w:val="24"/>
        </w:rPr>
        <w:t>类基金份额的申购费率见下表：</w:t>
      </w:r>
    </w:p>
    <w:tbl>
      <w:tblPr>
        <w:tblW w:w="0" w:type="auto"/>
        <w:jc w:val="center"/>
        <w:tblCellMar>
          <w:left w:w="0" w:type="dxa"/>
          <w:right w:w="0" w:type="dxa"/>
        </w:tblCellMar>
        <w:tblLook w:val="04A0"/>
      </w:tblPr>
      <w:tblGrid>
        <w:gridCol w:w="3035"/>
        <w:gridCol w:w="2741"/>
        <w:gridCol w:w="2520"/>
      </w:tblGrid>
      <w:tr w:rsidR="00035EA3">
        <w:trPr>
          <w:trHeight w:val="239"/>
          <w:jc w:val="center"/>
        </w:trPr>
        <w:tc>
          <w:tcPr>
            <w:tcW w:w="3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35EA3" w:rsidRDefault="005E255C">
            <w:pPr>
              <w:autoSpaceDE w:val="0"/>
              <w:autoSpaceDN w:val="0"/>
              <w:adjustRightInd w:val="0"/>
              <w:jc w:val="center"/>
              <w:rPr>
                <w:b/>
                <w:kern w:val="0"/>
              </w:rPr>
            </w:pPr>
            <w:r>
              <w:rPr>
                <w:rFonts w:hint="eastAsia"/>
                <w:b/>
                <w:kern w:val="0"/>
              </w:rPr>
              <w:t>申购金额</w:t>
            </w:r>
            <w:r>
              <w:rPr>
                <w:b/>
                <w:kern w:val="0"/>
              </w:rPr>
              <w:t>M</w:t>
            </w:r>
            <w:r>
              <w:rPr>
                <w:rFonts w:hint="eastAsia"/>
                <w:b/>
                <w:kern w:val="0"/>
              </w:rPr>
              <w:t>（含申购费）</w:t>
            </w:r>
          </w:p>
        </w:tc>
        <w:tc>
          <w:tcPr>
            <w:tcW w:w="2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35EA3" w:rsidRDefault="005E255C">
            <w:pPr>
              <w:autoSpaceDE w:val="0"/>
              <w:autoSpaceDN w:val="0"/>
              <w:adjustRightInd w:val="0"/>
              <w:jc w:val="center"/>
              <w:rPr>
                <w:b/>
                <w:kern w:val="0"/>
              </w:rPr>
            </w:pPr>
            <w:r>
              <w:rPr>
                <w:rFonts w:hint="eastAsia"/>
                <w:b/>
                <w:kern w:val="0"/>
              </w:rPr>
              <w:t>申购费率</w:t>
            </w:r>
          </w:p>
          <w:p w:rsidR="00035EA3" w:rsidRDefault="005E255C">
            <w:pPr>
              <w:autoSpaceDE w:val="0"/>
              <w:autoSpaceDN w:val="0"/>
              <w:adjustRightInd w:val="0"/>
              <w:jc w:val="center"/>
              <w:rPr>
                <w:b/>
              </w:rPr>
            </w:pPr>
            <w:r>
              <w:rPr>
                <w:rFonts w:hint="eastAsia"/>
                <w:b/>
                <w:kern w:val="0"/>
              </w:rPr>
              <w:t>（通过直销中心申购的养老金客户）</w:t>
            </w:r>
          </w:p>
        </w:tc>
        <w:tc>
          <w:tcPr>
            <w:tcW w:w="2520" w:type="dxa"/>
            <w:tcBorders>
              <w:top w:val="single" w:sz="4" w:space="0" w:color="auto"/>
              <w:left w:val="single" w:sz="4" w:space="0" w:color="auto"/>
              <w:bottom w:val="single" w:sz="4" w:space="0" w:color="auto"/>
              <w:right w:val="single" w:sz="4" w:space="0" w:color="auto"/>
            </w:tcBorders>
            <w:vAlign w:val="center"/>
          </w:tcPr>
          <w:p w:rsidR="00035EA3" w:rsidRDefault="005E255C">
            <w:pPr>
              <w:autoSpaceDE w:val="0"/>
              <w:autoSpaceDN w:val="0"/>
              <w:adjustRightInd w:val="0"/>
              <w:jc w:val="center"/>
              <w:rPr>
                <w:b/>
                <w:kern w:val="0"/>
              </w:rPr>
            </w:pPr>
            <w:r>
              <w:rPr>
                <w:rFonts w:hint="eastAsia"/>
                <w:b/>
                <w:kern w:val="0"/>
              </w:rPr>
              <w:t>申购费率</w:t>
            </w:r>
          </w:p>
          <w:p w:rsidR="00035EA3" w:rsidRDefault="005E255C">
            <w:pPr>
              <w:autoSpaceDE w:val="0"/>
              <w:autoSpaceDN w:val="0"/>
              <w:adjustRightInd w:val="0"/>
              <w:jc w:val="center"/>
              <w:rPr>
                <w:b/>
                <w:kern w:val="0"/>
              </w:rPr>
            </w:pPr>
            <w:r>
              <w:rPr>
                <w:rFonts w:hint="eastAsia"/>
                <w:b/>
                <w:kern w:val="0"/>
              </w:rPr>
              <w:t>（其他投资者）</w:t>
            </w:r>
          </w:p>
        </w:tc>
      </w:tr>
      <w:tr w:rsidR="00035EA3">
        <w:trPr>
          <w:trHeight w:val="239"/>
          <w:jc w:val="center"/>
        </w:trPr>
        <w:tc>
          <w:tcPr>
            <w:tcW w:w="3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5EA3" w:rsidRDefault="005E255C">
            <w:pPr>
              <w:autoSpaceDE w:val="0"/>
              <w:autoSpaceDN w:val="0"/>
              <w:adjustRightInd w:val="0"/>
              <w:jc w:val="center"/>
              <w:rPr>
                <w:kern w:val="0"/>
              </w:rPr>
            </w:pPr>
            <w:r>
              <w:rPr>
                <w:kern w:val="0"/>
              </w:rPr>
              <w:t>M</w:t>
            </w:r>
            <w:r>
              <w:rPr>
                <w:kern w:val="0"/>
              </w:rPr>
              <w:t>＜</w:t>
            </w:r>
            <w:r>
              <w:rPr>
                <w:kern w:val="0"/>
              </w:rPr>
              <w:t>100</w:t>
            </w:r>
            <w:r>
              <w:rPr>
                <w:kern w:val="0"/>
              </w:rPr>
              <w:t>万元</w:t>
            </w:r>
          </w:p>
        </w:tc>
        <w:tc>
          <w:tcPr>
            <w:tcW w:w="2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35EA3" w:rsidRDefault="005E255C">
            <w:pPr>
              <w:autoSpaceDE w:val="0"/>
              <w:autoSpaceDN w:val="0"/>
              <w:adjustRightInd w:val="0"/>
              <w:jc w:val="center"/>
              <w:rPr>
                <w:kern w:val="0"/>
              </w:rPr>
            </w:pPr>
            <w:r>
              <w:rPr>
                <w:kern w:val="0"/>
              </w:rPr>
              <w:t>0.0</w:t>
            </w:r>
            <w:r>
              <w:rPr>
                <w:rFonts w:hint="eastAsia"/>
                <w:kern w:val="0"/>
              </w:rPr>
              <w:t>4</w:t>
            </w:r>
            <w:r>
              <w:rPr>
                <w:kern w:val="0"/>
              </w:rPr>
              <w:t>%</w:t>
            </w:r>
          </w:p>
        </w:tc>
        <w:tc>
          <w:tcPr>
            <w:tcW w:w="2520" w:type="dxa"/>
            <w:tcBorders>
              <w:top w:val="single" w:sz="4" w:space="0" w:color="auto"/>
              <w:left w:val="single" w:sz="4" w:space="0" w:color="auto"/>
              <w:bottom w:val="single" w:sz="4" w:space="0" w:color="auto"/>
              <w:right w:val="single" w:sz="4" w:space="0" w:color="auto"/>
            </w:tcBorders>
          </w:tcPr>
          <w:p w:rsidR="00035EA3" w:rsidRDefault="005E255C">
            <w:pPr>
              <w:autoSpaceDE w:val="0"/>
              <w:autoSpaceDN w:val="0"/>
              <w:adjustRightInd w:val="0"/>
              <w:jc w:val="center"/>
              <w:rPr>
                <w:kern w:val="0"/>
              </w:rPr>
            </w:pPr>
            <w:r>
              <w:rPr>
                <w:kern w:val="0"/>
              </w:rPr>
              <w:t>0.</w:t>
            </w:r>
            <w:r>
              <w:rPr>
                <w:rFonts w:hint="eastAsia"/>
                <w:kern w:val="0"/>
              </w:rPr>
              <w:t>4</w:t>
            </w:r>
            <w:r>
              <w:rPr>
                <w:kern w:val="0"/>
              </w:rPr>
              <w:t>0%</w:t>
            </w:r>
          </w:p>
        </w:tc>
      </w:tr>
      <w:tr w:rsidR="00035EA3">
        <w:trPr>
          <w:trHeight w:val="239"/>
          <w:jc w:val="center"/>
        </w:trPr>
        <w:tc>
          <w:tcPr>
            <w:tcW w:w="3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5EA3" w:rsidRDefault="005E255C">
            <w:pPr>
              <w:autoSpaceDE w:val="0"/>
              <w:autoSpaceDN w:val="0"/>
              <w:adjustRightInd w:val="0"/>
              <w:jc w:val="center"/>
              <w:rPr>
                <w:kern w:val="0"/>
              </w:rPr>
            </w:pPr>
            <w:r>
              <w:rPr>
                <w:rFonts w:hint="eastAsia"/>
                <w:kern w:val="0"/>
              </w:rPr>
              <w:t>100</w:t>
            </w:r>
            <w:r>
              <w:rPr>
                <w:rFonts w:hint="eastAsia"/>
                <w:kern w:val="0"/>
              </w:rPr>
              <w:t>万元≤</w:t>
            </w:r>
            <w:r>
              <w:rPr>
                <w:rFonts w:hint="eastAsia"/>
                <w:kern w:val="0"/>
              </w:rPr>
              <w:t>M</w:t>
            </w:r>
            <w:r>
              <w:rPr>
                <w:rFonts w:hint="eastAsia"/>
                <w:kern w:val="0"/>
              </w:rPr>
              <w:t>＜</w:t>
            </w:r>
            <w:r>
              <w:rPr>
                <w:rFonts w:hint="eastAsia"/>
                <w:kern w:val="0"/>
              </w:rPr>
              <w:t>500</w:t>
            </w:r>
            <w:r>
              <w:rPr>
                <w:rFonts w:hint="eastAsia"/>
                <w:kern w:val="0"/>
              </w:rPr>
              <w:t>万元</w:t>
            </w:r>
          </w:p>
        </w:tc>
        <w:tc>
          <w:tcPr>
            <w:tcW w:w="2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35EA3" w:rsidRDefault="005E255C">
            <w:pPr>
              <w:autoSpaceDE w:val="0"/>
              <w:autoSpaceDN w:val="0"/>
              <w:adjustRightInd w:val="0"/>
              <w:jc w:val="center"/>
              <w:rPr>
                <w:kern w:val="0"/>
              </w:rPr>
            </w:pPr>
            <w:r>
              <w:rPr>
                <w:kern w:val="0"/>
              </w:rPr>
              <w:t>0.0</w:t>
            </w:r>
            <w:r>
              <w:rPr>
                <w:rFonts w:hint="eastAsia"/>
                <w:kern w:val="0"/>
              </w:rPr>
              <w:t>2%</w:t>
            </w:r>
          </w:p>
        </w:tc>
        <w:tc>
          <w:tcPr>
            <w:tcW w:w="2520" w:type="dxa"/>
            <w:tcBorders>
              <w:top w:val="single" w:sz="4" w:space="0" w:color="auto"/>
              <w:left w:val="single" w:sz="4" w:space="0" w:color="auto"/>
              <w:bottom w:val="single" w:sz="4" w:space="0" w:color="auto"/>
              <w:right w:val="single" w:sz="4" w:space="0" w:color="auto"/>
            </w:tcBorders>
          </w:tcPr>
          <w:p w:rsidR="00035EA3" w:rsidRDefault="005E255C">
            <w:pPr>
              <w:autoSpaceDE w:val="0"/>
              <w:autoSpaceDN w:val="0"/>
              <w:adjustRightInd w:val="0"/>
              <w:jc w:val="center"/>
              <w:rPr>
                <w:kern w:val="0"/>
              </w:rPr>
            </w:pPr>
            <w:r>
              <w:rPr>
                <w:kern w:val="0"/>
              </w:rPr>
              <w:t>0.</w:t>
            </w:r>
            <w:r>
              <w:rPr>
                <w:rFonts w:hint="eastAsia"/>
                <w:kern w:val="0"/>
              </w:rPr>
              <w:t>2</w:t>
            </w:r>
            <w:r>
              <w:rPr>
                <w:kern w:val="0"/>
              </w:rPr>
              <w:t>0%</w:t>
            </w:r>
          </w:p>
        </w:tc>
      </w:tr>
      <w:tr w:rsidR="00035EA3">
        <w:trPr>
          <w:trHeight w:val="239"/>
          <w:jc w:val="center"/>
        </w:trPr>
        <w:tc>
          <w:tcPr>
            <w:tcW w:w="3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5EA3" w:rsidRDefault="005E255C">
            <w:pPr>
              <w:autoSpaceDE w:val="0"/>
              <w:autoSpaceDN w:val="0"/>
              <w:adjustRightInd w:val="0"/>
              <w:jc w:val="center"/>
              <w:rPr>
                <w:kern w:val="0"/>
              </w:rPr>
            </w:pPr>
            <w:r>
              <w:rPr>
                <w:kern w:val="0"/>
              </w:rPr>
              <w:t>M</w:t>
            </w:r>
            <w:r>
              <w:rPr>
                <w:rFonts w:hint="eastAsia"/>
                <w:kern w:val="0"/>
              </w:rPr>
              <w:t>≥</w:t>
            </w:r>
            <w:r>
              <w:rPr>
                <w:kern w:val="0"/>
              </w:rPr>
              <w:t>500</w:t>
            </w:r>
            <w:r>
              <w:rPr>
                <w:kern w:val="0"/>
              </w:rPr>
              <w:t>万元</w:t>
            </w:r>
          </w:p>
        </w:tc>
        <w:tc>
          <w:tcPr>
            <w:tcW w:w="52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35EA3" w:rsidRDefault="005E255C">
            <w:pPr>
              <w:autoSpaceDE w:val="0"/>
              <w:autoSpaceDN w:val="0"/>
              <w:adjustRightInd w:val="0"/>
              <w:jc w:val="center"/>
              <w:rPr>
                <w:kern w:val="0"/>
              </w:rPr>
            </w:pPr>
            <w:r>
              <w:rPr>
                <w:rFonts w:hint="eastAsia"/>
              </w:rPr>
              <w:t>每笔</w:t>
            </w:r>
            <w:r>
              <w:t>1,000</w:t>
            </w:r>
            <w:r>
              <w:t>元</w:t>
            </w:r>
          </w:p>
        </w:tc>
      </w:tr>
    </w:tbl>
    <w:p w:rsidR="00035EA3" w:rsidRDefault="005E255C">
      <w:pPr>
        <w:spacing w:line="360" w:lineRule="auto"/>
        <w:ind w:firstLineChars="200" w:firstLine="480"/>
        <w:rPr>
          <w:rFonts w:ascii="宋体" w:hAnsi="宋体"/>
          <w:color w:val="000000"/>
          <w:kern w:val="0"/>
          <w:sz w:val="24"/>
        </w:rPr>
      </w:pPr>
      <w:r>
        <w:rPr>
          <w:rFonts w:ascii="宋体" w:hAnsi="宋体" w:hint="eastAsia"/>
          <w:color w:val="000000"/>
          <w:kern w:val="0"/>
          <w:sz w:val="24"/>
        </w:rPr>
        <w:t>本基金</w:t>
      </w:r>
      <w:r>
        <w:rPr>
          <w:rFonts w:ascii="宋体" w:hAnsi="宋体" w:hint="eastAsia"/>
          <w:color w:val="000000"/>
          <w:kern w:val="0"/>
          <w:sz w:val="24"/>
        </w:rPr>
        <w:t>A</w:t>
      </w:r>
      <w:r>
        <w:rPr>
          <w:rFonts w:ascii="宋体" w:hAnsi="宋体" w:hint="eastAsia"/>
          <w:color w:val="000000"/>
          <w:kern w:val="0"/>
          <w:sz w:val="24"/>
        </w:rPr>
        <w:t>类基金份额的申购费用由</w:t>
      </w:r>
      <w:r>
        <w:rPr>
          <w:rFonts w:ascii="宋体" w:hAnsi="宋体" w:hint="eastAsia"/>
          <w:color w:val="000000"/>
          <w:kern w:val="0"/>
          <w:sz w:val="24"/>
        </w:rPr>
        <w:t>A</w:t>
      </w:r>
      <w:r>
        <w:rPr>
          <w:rFonts w:ascii="宋体" w:hAnsi="宋体" w:hint="eastAsia"/>
          <w:color w:val="000000"/>
          <w:kern w:val="0"/>
          <w:sz w:val="24"/>
        </w:rPr>
        <w:t>类基金份额的投资者承担，不列入基金财产，主要用于基金的市场推广、销售、登记等各项费用。</w:t>
      </w:r>
      <w:bookmarkStart w:id="2" w:name="_Toc249263621"/>
    </w:p>
    <w:p w:rsidR="00035EA3" w:rsidRDefault="005E255C">
      <w:pPr>
        <w:pStyle w:val="1"/>
        <w:ind w:left="0" w:firstLine="0"/>
      </w:pPr>
      <w:r>
        <w:rPr>
          <w:rFonts w:hint="eastAsia"/>
        </w:rPr>
        <w:t>日常赎回业务</w:t>
      </w:r>
      <w:bookmarkEnd w:id="2"/>
    </w:p>
    <w:p w:rsidR="00035EA3" w:rsidRDefault="005E255C">
      <w:pPr>
        <w:pStyle w:val="2"/>
      </w:pPr>
      <w:r>
        <w:rPr>
          <w:rFonts w:hint="eastAsia"/>
        </w:rPr>
        <w:t>赎回份额限制</w:t>
      </w:r>
    </w:p>
    <w:p w:rsidR="00035EA3" w:rsidRDefault="005E255C">
      <w:pPr>
        <w:spacing w:line="360" w:lineRule="auto"/>
        <w:ind w:firstLineChars="200" w:firstLine="480"/>
        <w:rPr>
          <w:rFonts w:ascii="宋体" w:hAnsi="宋体"/>
          <w:color w:val="000000"/>
          <w:kern w:val="0"/>
          <w:sz w:val="24"/>
        </w:rPr>
      </w:pPr>
      <w:r>
        <w:rPr>
          <w:rFonts w:ascii="宋体" w:hAnsi="宋体" w:hint="eastAsia"/>
          <w:color w:val="000000"/>
          <w:kern w:val="0"/>
          <w:sz w:val="24"/>
        </w:rPr>
        <w:t>基金份额持有人在销售机构赎回时，每次对本基金的赎回申请不得低于</w:t>
      </w:r>
      <w:r>
        <w:rPr>
          <w:rFonts w:ascii="宋体" w:hAnsi="宋体" w:hint="eastAsia"/>
          <w:color w:val="000000"/>
          <w:kern w:val="0"/>
          <w:sz w:val="24"/>
        </w:rPr>
        <w:t>0.01</w:t>
      </w:r>
      <w:r>
        <w:rPr>
          <w:rFonts w:ascii="宋体" w:hAnsi="宋体" w:hint="eastAsia"/>
          <w:color w:val="000000"/>
          <w:kern w:val="0"/>
          <w:sz w:val="24"/>
        </w:rPr>
        <w:t>份基金份额。基金份额持有人赎回时或赎回后在销售机构（网点）保留的基金份额余额不足</w:t>
      </w:r>
      <w:r>
        <w:rPr>
          <w:rFonts w:ascii="宋体" w:hAnsi="宋体" w:hint="eastAsia"/>
          <w:color w:val="000000"/>
          <w:kern w:val="0"/>
          <w:sz w:val="24"/>
        </w:rPr>
        <w:t>0.01</w:t>
      </w:r>
      <w:r>
        <w:rPr>
          <w:rFonts w:ascii="宋体" w:hAnsi="宋体" w:hint="eastAsia"/>
          <w:color w:val="000000"/>
          <w:kern w:val="0"/>
          <w:sz w:val="24"/>
        </w:rPr>
        <w:t>份的，在赎回时需一次全部申请赎回。但各销售机构对交易账户最低份额余额有其他规定的，以各销售机构的业务规定为准。</w:t>
      </w:r>
    </w:p>
    <w:p w:rsidR="00035EA3" w:rsidRDefault="005E255C">
      <w:pPr>
        <w:pStyle w:val="2"/>
      </w:pPr>
      <w:r>
        <w:rPr>
          <w:rFonts w:hint="eastAsia"/>
        </w:rPr>
        <w:t>赎回费率</w:t>
      </w:r>
    </w:p>
    <w:p w:rsidR="00035EA3" w:rsidRDefault="005E255C">
      <w:pPr>
        <w:spacing w:line="360" w:lineRule="auto"/>
        <w:ind w:firstLineChars="200" w:firstLine="480"/>
        <w:rPr>
          <w:rFonts w:ascii="宋体" w:hAnsi="宋体"/>
          <w:color w:val="000000"/>
          <w:kern w:val="0"/>
          <w:sz w:val="24"/>
        </w:rPr>
      </w:pPr>
      <w:r>
        <w:rPr>
          <w:rFonts w:ascii="宋体" w:hAnsi="宋体" w:hint="eastAsia"/>
          <w:color w:val="000000"/>
          <w:kern w:val="0"/>
          <w:sz w:val="24"/>
        </w:rPr>
        <w:t>本基金</w:t>
      </w:r>
      <w:r>
        <w:rPr>
          <w:rFonts w:ascii="宋体" w:hAnsi="宋体" w:hint="eastAsia"/>
          <w:color w:val="000000"/>
          <w:kern w:val="0"/>
          <w:sz w:val="24"/>
        </w:rPr>
        <w:t>C</w:t>
      </w:r>
      <w:r>
        <w:rPr>
          <w:rFonts w:ascii="宋体" w:hAnsi="宋体" w:hint="eastAsia"/>
          <w:color w:val="000000"/>
          <w:kern w:val="0"/>
          <w:sz w:val="24"/>
        </w:rPr>
        <w:t>类基金份额不收取赎回费。本基金</w:t>
      </w:r>
      <w:r>
        <w:rPr>
          <w:rFonts w:ascii="宋体" w:hAnsi="宋体" w:hint="eastAsia"/>
          <w:color w:val="000000"/>
          <w:kern w:val="0"/>
          <w:sz w:val="24"/>
        </w:rPr>
        <w:t>A</w:t>
      </w:r>
      <w:r>
        <w:rPr>
          <w:rFonts w:ascii="宋体" w:hAnsi="宋体" w:hint="eastAsia"/>
          <w:color w:val="000000"/>
          <w:kern w:val="0"/>
          <w:sz w:val="24"/>
        </w:rPr>
        <w:t>类基金份额的赎回费率见下表：</w:t>
      </w:r>
    </w:p>
    <w:tbl>
      <w:tblPr>
        <w:tblW w:w="7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2"/>
        <w:gridCol w:w="3168"/>
      </w:tblGrid>
      <w:tr w:rsidR="00035EA3">
        <w:trPr>
          <w:jc w:val="center"/>
        </w:trPr>
        <w:tc>
          <w:tcPr>
            <w:tcW w:w="4112" w:type="dxa"/>
            <w:tcBorders>
              <w:top w:val="single" w:sz="4" w:space="0" w:color="auto"/>
              <w:left w:val="single" w:sz="4" w:space="0" w:color="auto"/>
              <w:bottom w:val="single" w:sz="4" w:space="0" w:color="auto"/>
              <w:right w:val="single" w:sz="4" w:space="0" w:color="auto"/>
            </w:tcBorders>
            <w:vAlign w:val="center"/>
          </w:tcPr>
          <w:p w:rsidR="00035EA3" w:rsidRDefault="005E255C">
            <w:pPr>
              <w:ind w:firstLine="480"/>
              <w:jc w:val="center"/>
              <w:rPr>
                <w:bCs/>
              </w:rPr>
            </w:pPr>
            <w:r>
              <w:rPr>
                <w:bCs/>
              </w:rPr>
              <w:t>持有期限（</w:t>
            </w:r>
            <w:r>
              <w:rPr>
                <w:bCs/>
              </w:rPr>
              <w:t>N</w:t>
            </w:r>
            <w:r>
              <w:rPr>
                <w:rFonts w:ascii="宋体" w:hAnsi="宋体"/>
                <w:bCs/>
              </w:rPr>
              <w:t>）</w:t>
            </w:r>
          </w:p>
        </w:tc>
        <w:tc>
          <w:tcPr>
            <w:tcW w:w="3168" w:type="dxa"/>
            <w:tcBorders>
              <w:top w:val="single" w:sz="4" w:space="0" w:color="auto"/>
              <w:left w:val="nil"/>
              <w:bottom w:val="single" w:sz="4" w:space="0" w:color="auto"/>
              <w:right w:val="single" w:sz="4" w:space="0" w:color="auto"/>
            </w:tcBorders>
            <w:vAlign w:val="center"/>
          </w:tcPr>
          <w:p w:rsidR="00035EA3" w:rsidRDefault="005E255C">
            <w:pPr>
              <w:ind w:firstLine="480"/>
              <w:jc w:val="center"/>
              <w:rPr>
                <w:bCs/>
              </w:rPr>
            </w:pPr>
            <w:r>
              <w:rPr>
                <w:bCs/>
              </w:rPr>
              <w:t>赎回费率</w:t>
            </w:r>
          </w:p>
        </w:tc>
      </w:tr>
      <w:tr w:rsidR="00035EA3">
        <w:trPr>
          <w:trHeight w:val="448"/>
          <w:jc w:val="center"/>
        </w:trPr>
        <w:tc>
          <w:tcPr>
            <w:tcW w:w="4112" w:type="dxa"/>
            <w:tcBorders>
              <w:top w:val="single" w:sz="4" w:space="0" w:color="auto"/>
              <w:left w:val="single" w:sz="4" w:space="0" w:color="auto"/>
              <w:bottom w:val="single" w:sz="4" w:space="0" w:color="auto"/>
              <w:right w:val="single" w:sz="4" w:space="0" w:color="auto"/>
            </w:tcBorders>
            <w:vAlign w:val="center"/>
          </w:tcPr>
          <w:p w:rsidR="00035EA3" w:rsidRDefault="005E255C">
            <w:pPr>
              <w:ind w:firstLine="480"/>
              <w:jc w:val="center"/>
            </w:pPr>
            <w:r>
              <w:t>N</w:t>
            </w:r>
            <w:r>
              <w:rPr>
                <w:rFonts w:ascii="宋体" w:hAnsi="宋体"/>
              </w:rPr>
              <w:t>＜</w:t>
            </w:r>
            <w:r>
              <w:t>180</w:t>
            </w:r>
            <w:r>
              <w:rPr>
                <w:rFonts w:ascii="宋体" w:hAnsi="宋体"/>
              </w:rPr>
              <w:t>日</w:t>
            </w:r>
          </w:p>
        </w:tc>
        <w:tc>
          <w:tcPr>
            <w:tcW w:w="3168" w:type="dxa"/>
            <w:tcBorders>
              <w:top w:val="single" w:sz="4" w:space="0" w:color="auto"/>
              <w:left w:val="nil"/>
              <w:bottom w:val="single" w:sz="4" w:space="0" w:color="auto"/>
              <w:right w:val="single" w:sz="4" w:space="0" w:color="auto"/>
            </w:tcBorders>
            <w:vAlign w:val="center"/>
          </w:tcPr>
          <w:p w:rsidR="00035EA3" w:rsidRDefault="005E255C">
            <w:pPr>
              <w:ind w:firstLine="480"/>
              <w:jc w:val="center"/>
            </w:pPr>
            <w:r>
              <w:t>0.50%</w:t>
            </w:r>
          </w:p>
        </w:tc>
      </w:tr>
      <w:tr w:rsidR="00035EA3">
        <w:trPr>
          <w:jc w:val="center"/>
        </w:trPr>
        <w:tc>
          <w:tcPr>
            <w:tcW w:w="4112" w:type="dxa"/>
            <w:tcBorders>
              <w:top w:val="single" w:sz="4" w:space="0" w:color="auto"/>
              <w:left w:val="single" w:sz="4" w:space="0" w:color="auto"/>
              <w:bottom w:val="single" w:sz="4" w:space="0" w:color="auto"/>
              <w:right w:val="single" w:sz="4" w:space="0" w:color="auto"/>
            </w:tcBorders>
            <w:vAlign w:val="center"/>
          </w:tcPr>
          <w:p w:rsidR="00035EA3" w:rsidRDefault="005E255C">
            <w:pPr>
              <w:ind w:firstLine="480"/>
              <w:jc w:val="center"/>
            </w:pPr>
            <w:r>
              <w:rPr>
                <w:rFonts w:hint="eastAsia"/>
              </w:rPr>
              <w:t>N</w:t>
            </w:r>
            <w:r>
              <w:rPr>
                <w:rFonts w:hint="eastAsia"/>
              </w:rPr>
              <w:t>≥</w:t>
            </w:r>
            <w:r>
              <w:t>180</w:t>
            </w:r>
            <w:r>
              <w:rPr>
                <w:rFonts w:hint="eastAsia"/>
              </w:rPr>
              <w:t>日</w:t>
            </w:r>
          </w:p>
        </w:tc>
        <w:tc>
          <w:tcPr>
            <w:tcW w:w="3168" w:type="dxa"/>
            <w:tcBorders>
              <w:top w:val="single" w:sz="4" w:space="0" w:color="auto"/>
              <w:left w:val="nil"/>
              <w:bottom w:val="single" w:sz="4" w:space="0" w:color="auto"/>
              <w:right w:val="single" w:sz="4" w:space="0" w:color="auto"/>
            </w:tcBorders>
            <w:vAlign w:val="center"/>
          </w:tcPr>
          <w:p w:rsidR="00035EA3" w:rsidRDefault="005E255C">
            <w:pPr>
              <w:ind w:firstLine="480"/>
              <w:jc w:val="center"/>
            </w:pPr>
            <w:r>
              <w:rPr>
                <w:rFonts w:hint="eastAsia"/>
              </w:rPr>
              <w:t>0</w:t>
            </w:r>
          </w:p>
        </w:tc>
      </w:tr>
    </w:tbl>
    <w:p w:rsidR="00035EA3" w:rsidRDefault="005E255C">
      <w:pPr>
        <w:spacing w:line="360" w:lineRule="auto"/>
        <w:ind w:firstLineChars="200" w:firstLine="480"/>
        <w:rPr>
          <w:rFonts w:ascii="宋体" w:hAnsi="宋体"/>
          <w:color w:val="000000"/>
          <w:kern w:val="0"/>
          <w:sz w:val="24"/>
        </w:rPr>
      </w:pPr>
      <w:r>
        <w:rPr>
          <w:rFonts w:ascii="宋体" w:hAnsi="宋体" w:hint="eastAsia"/>
          <w:color w:val="000000"/>
          <w:kern w:val="0"/>
          <w:sz w:val="24"/>
        </w:rPr>
        <w:t>（注：赎回份额持有时间的计算，以该份额自登记机构确认之日开始计算。）</w:t>
      </w:r>
    </w:p>
    <w:p w:rsidR="00035EA3" w:rsidRDefault="005E255C">
      <w:pPr>
        <w:spacing w:line="360" w:lineRule="auto"/>
        <w:ind w:firstLineChars="200" w:firstLine="480"/>
        <w:rPr>
          <w:rFonts w:ascii="宋体" w:hAnsi="宋体"/>
          <w:color w:val="000000"/>
          <w:kern w:val="0"/>
          <w:sz w:val="24"/>
        </w:rPr>
      </w:pPr>
      <w:r>
        <w:rPr>
          <w:rFonts w:ascii="宋体" w:hAnsi="宋体" w:hint="eastAsia"/>
          <w:color w:val="000000"/>
          <w:kern w:val="0"/>
          <w:sz w:val="24"/>
        </w:rPr>
        <w:t>A</w:t>
      </w:r>
      <w:r>
        <w:rPr>
          <w:rFonts w:ascii="宋体" w:hAnsi="宋体" w:hint="eastAsia"/>
          <w:color w:val="000000"/>
          <w:kern w:val="0"/>
          <w:sz w:val="24"/>
        </w:rPr>
        <w:t>类基金份额的赎回费用由赎回</w:t>
      </w:r>
      <w:r>
        <w:rPr>
          <w:rFonts w:ascii="宋体" w:hAnsi="宋体" w:hint="eastAsia"/>
          <w:color w:val="000000"/>
          <w:kern w:val="0"/>
          <w:sz w:val="24"/>
        </w:rPr>
        <w:t>A</w:t>
      </w:r>
      <w:r>
        <w:rPr>
          <w:rFonts w:ascii="宋体" w:hAnsi="宋体" w:hint="eastAsia"/>
          <w:color w:val="000000"/>
          <w:kern w:val="0"/>
          <w:sz w:val="24"/>
        </w:rPr>
        <w:t>类基金份额的基金份额持有人承担，在基金份额持有人赎回基金份额时收取。针对</w:t>
      </w:r>
      <w:r>
        <w:rPr>
          <w:rFonts w:ascii="宋体" w:hAnsi="宋体" w:hint="eastAsia"/>
          <w:color w:val="000000"/>
          <w:kern w:val="0"/>
          <w:sz w:val="24"/>
        </w:rPr>
        <w:t>A</w:t>
      </w:r>
      <w:r>
        <w:rPr>
          <w:rFonts w:ascii="宋体" w:hAnsi="宋体" w:hint="eastAsia"/>
          <w:color w:val="000000"/>
          <w:kern w:val="0"/>
          <w:sz w:val="24"/>
        </w:rPr>
        <w:t>类基金份额，对持续持有期少于</w:t>
      </w:r>
      <w:r>
        <w:rPr>
          <w:rFonts w:ascii="宋体" w:hAnsi="宋体" w:hint="eastAsia"/>
          <w:color w:val="000000"/>
          <w:kern w:val="0"/>
          <w:sz w:val="24"/>
        </w:rPr>
        <w:t>180</w:t>
      </w:r>
      <w:r>
        <w:rPr>
          <w:rFonts w:ascii="宋体" w:hAnsi="宋体" w:hint="eastAsia"/>
          <w:color w:val="000000"/>
          <w:kern w:val="0"/>
          <w:sz w:val="24"/>
        </w:rPr>
        <w:t>日的投资者收取的赎回费，将赎回费总额的</w:t>
      </w:r>
      <w:r>
        <w:rPr>
          <w:rFonts w:ascii="宋体" w:hAnsi="宋体" w:hint="eastAsia"/>
          <w:color w:val="000000"/>
          <w:kern w:val="0"/>
          <w:sz w:val="24"/>
        </w:rPr>
        <w:t>50%</w:t>
      </w:r>
      <w:r>
        <w:rPr>
          <w:rFonts w:ascii="宋体" w:hAnsi="宋体" w:hint="eastAsia"/>
          <w:color w:val="000000"/>
          <w:kern w:val="0"/>
          <w:sz w:val="24"/>
        </w:rPr>
        <w:t>计入基金财产，未归入基金财产的部分用于付登记费和其他必要的手续费。</w:t>
      </w:r>
    </w:p>
    <w:p w:rsidR="00035EA3" w:rsidRDefault="005E255C">
      <w:pPr>
        <w:pStyle w:val="1"/>
      </w:pPr>
      <w:bookmarkStart w:id="3" w:name="_Toc249263623"/>
      <w:r>
        <w:rPr>
          <w:rFonts w:hint="eastAsia"/>
        </w:rPr>
        <w:t>定期定额投资业务</w:t>
      </w:r>
      <w:bookmarkEnd w:id="3"/>
    </w:p>
    <w:p w:rsidR="00035EA3" w:rsidRDefault="005E255C">
      <w:pPr>
        <w:spacing w:line="360" w:lineRule="auto"/>
        <w:ind w:firstLineChars="200" w:firstLine="480"/>
        <w:rPr>
          <w:rFonts w:ascii="宋体" w:hAnsi="宋体"/>
          <w:color w:val="000000"/>
          <w:kern w:val="0"/>
          <w:sz w:val="24"/>
        </w:rPr>
      </w:pPr>
      <w:r>
        <w:rPr>
          <w:rFonts w:ascii="宋体" w:hAnsi="宋体" w:hint="eastAsia"/>
          <w:color w:val="000000"/>
          <w:kern w:val="0"/>
          <w:sz w:val="24"/>
        </w:rPr>
        <w:t>目前，投资者在直销机构可通过本公司网上交易系统办理定期定额投资业务，通过本公司网上交易系统办理定期定额投资业务的最低金额为</w:t>
      </w:r>
      <w:r>
        <w:rPr>
          <w:rFonts w:ascii="宋体" w:hAnsi="宋体" w:hint="eastAsia"/>
          <w:color w:val="000000"/>
          <w:kern w:val="0"/>
          <w:sz w:val="24"/>
        </w:rPr>
        <w:t>10</w:t>
      </w:r>
      <w:r>
        <w:rPr>
          <w:rFonts w:ascii="宋体" w:hAnsi="宋体" w:hint="eastAsia"/>
          <w:color w:val="000000"/>
          <w:kern w:val="0"/>
          <w:sz w:val="24"/>
        </w:rPr>
        <w:t>元。其他销售机构开通本基金的定期定额投资业务的情况，敬请投资者关注各销售机构的公告或咨询相关销售机构。</w:t>
      </w:r>
    </w:p>
    <w:p w:rsidR="00035EA3" w:rsidRDefault="005E255C">
      <w:pPr>
        <w:pStyle w:val="1"/>
      </w:pPr>
      <w:bookmarkStart w:id="4" w:name="_Toc249263624"/>
      <w:r>
        <w:rPr>
          <w:rFonts w:hint="eastAsia"/>
        </w:rPr>
        <w:t>基金销售机构</w:t>
      </w:r>
      <w:bookmarkEnd w:id="4"/>
    </w:p>
    <w:p w:rsidR="00035EA3" w:rsidRDefault="005E255C">
      <w:pPr>
        <w:pStyle w:val="2"/>
      </w:pPr>
      <w:r>
        <w:rPr>
          <w:rFonts w:hint="eastAsia"/>
        </w:rPr>
        <w:t>直销机构</w:t>
      </w:r>
    </w:p>
    <w:p w:rsidR="00035EA3" w:rsidRDefault="005E255C">
      <w:pPr>
        <w:spacing w:line="360" w:lineRule="auto"/>
        <w:ind w:firstLine="420"/>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1</w:t>
      </w:r>
      <w:r>
        <w:rPr>
          <w:rFonts w:ascii="宋体" w:hAnsi="宋体" w:hint="eastAsia"/>
          <w:color w:val="000000"/>
          <w:kern w:val="0"/>
          <w:sz w:val="24"/>
        </w:rPr>
        <w:t>）本公司的直销网点：直销中心</w:t>
      </w:r>
    </w:p>
    <w:p w:rsidR="00035EA3" w:rsidRDefault="005E255C">
      <w:pPr>
        <w:spacing w:line="360" w:lineRule="auto"/>
        <w:ind w:firstLine="420"/>
        <w:rPr>
          <w:rFonts w:ascii="宋体" w:hAnsi="宋体"/>
          <w:color w:val="000000"/>
          <w:kern w:val="0"/>
          <w:sz w:val="24"/>
        </w:rPr>
      </w:pPr>
      <w:r>
        <w:rPr>
          <w:rFonts w:ascii="宋体" w:hAnsi="宋体" w:hint="eastAsia"/>
          <w:color w:val="000000"/>
          <w:kern w:val="0"/>
          <w:sz w:val="24"/>
        </w:rPr>
        <w:t>直销中心地址：中国（上海）自由贸易试验区世纪大道</w:t>
      </w:r>
      <w:r>
        <w:rPr>
          <w:rFonts w:ascii="宋体" w:hAnsi="宋体" w:hint="eastAsia"/>
          <w:color w:val="000000"/>
          <w:kern w:val="0"/>
          <w:sz w:val="24"/>
        </w:rPr>
        <w:t>1196</w:t>
      </w:r>
      <w:r>
        <w:rPr>
          <w:rFonts w:ascii="宋体" w:hAnsi="宋体" w:hint="eastAsia"/>
          <w:color w:val="000000"/>
          <w:kern w:val="0"/>
          <w:sz w:val="24"/>
        </w:rPr>
        <w:t>号世纪汇办公楼二座</w:t>
      </w:r>
      <w:r>
        <w:rPr>
          <w:rFonts w:ascii="宋体" w:hAnsi="宋体" w:hint="eastAsia"/>
          <w:color w:val="000000"/>
          <w:kern w:val="0"/>
          <w:sz w:val="24"/>
        </w:rPr>
        <w:t>27</w:t>
      </w:r>
      <w:r>
        <w:rPr>
          <w:rFonts w:ascii="宋体" w:hAnsi="宋体" w:hint="eastAsia"/>
          <w:color w:val="000000"/>
          <w:kern w:val="0"/>
          <w:sz w:val="24"/>
        </w:rPr>
        <w:t>层</w:t>
      </w:r>
    </w:p>
    <w:p w:rsidR="00035EA3" w:rsidRDefault="005E255C">
      <w:pPr>
        <w:spacing w:line="360" w:lineRule="auto"/>
        <w:ind w:firstLine="420"/>
        <w:rPr>
          <w:rFonts w:ascii="宋体" w:hAnsi="宋体"/>
          <w:color w:val="000000"/>
          <w:kern w:val="0"/>
          <w:sz w:val="24"/>
        </w:rPr>
      </w:pPr>
      <w:r>
        <w:rPr>
          <w:rFonts w:ascii="宋体" w:hAnsi="宋体" w:hint="eastAsia"/>
          <w:color w:val="000000"/>
          <w:kern w:val="0"/>
          <w:sz w:val="24"/>
        </w:rPr>
        <w:t>客户服务统一咨询电话：</w:t>
      </w:r>
      <w:r>
        <w:rPr>
          <w:rFonts w:ascii="宋体" w:hAnsi="宋体" w:hint="eastAsia"/>
          <w:color w:val="000000"/>
          <w:kern w:val="0"/>
          <w:sz w:val="24"/>
        </w:rPr>
        <w:t>95105686</w:t>
      </w:r>
      <w:r>
        <w:rPr>
          <w:rFonts w:ascii="宋体" w:hAnsi="宋体" w:hint="eastAsia"/>
          <w:color w:val="000000"/>
          <w:kern w:val="0"/>
          <w:sz w:val="24"/>
        </w:rPr>
        <w:t>、</w:t>
      </w:r>
      <w:r>
        <w:rPr>
          <w:rFonts w:ascii="宋体" w:hAnsi="宋体" w:hint="eastAsia"/>
          <w:color w:val="000000"/>
          <w:kern w:val="0"/>
          <w:sz w:val="24"/>
        </w:rPr>
        <w:t>4008880688</w:t>
      </w:r>
      <w:r>
        <w:rPr>
          <w:rFonts w:ascii="宋体" w:hAnsi="宋体" w:hint="eastAsia"/>
          <w:color w:val="000000"/>
          <w:kern w:val="0"/>
          <w:sz w:val="24"/>
        </w:rPr>
        <w:t>（全国统一，免长途话费）</w:t>
      </w:r>
    </w:p>
    <w:p w:rsidR="00035EA3" w:rsidRDefault="005E255C">
      <w:pPr>
        <w:spacing w:line="360" w:lineRule="auto"/>
        <w:ind w:firstLine="420"/>
        <w:rPr>
          <w:rFonts w:ascii="宋体" w:hAnsi="宋体"/>
          <w:color w:val="000000"/>
          <w:kern w:val="0"/>
          <w:sz w:val="24"/>
        </w:rPr>
      </w:pPr>
      <w:r>
        <w:rPr>
          <w:rFonts w:ascii="宋体" w:hAnsi="宋体" w:hint="eastAsia"/>
          <w:color w:val="000000"/>
          <w:kern w:val="0"/>
          <w:sz w:val="24"/>
        </w:rPr>
        <w:t>传真：</w:t>
      </w:r>
      <w:r>
        <w:rPr>
          <w:rFonts w:ascii="宋体" w:hAnsi="宋体" w:hint="eastAsia"/>
          <w:color w:val="000000"/>
          <w:kern w:val="0"/>
          <w:sz w:val="24"/>
        </w:rPr>
        <w:t>021-20513177</w:t>
      </w:r>
    </w:p>
    <w:p w:rsidR="00035EA3" w:rsidRDefault="005E255C">
      <w:pPr>
        <w:spacing w:line="360" w:lineRule="auto"/>
        <w:ind w:firstLine="420"/>
        <w:rPr>
          <w:rFonts w:ascii="宋体" w:hAnsi="宋体"/>
          <w:color w:val="000000"/>
          <w:kern w:val="0"/>
          <w:sz w:val="24"/>
        </w:rPr>
      </w:pPr>
      <w:r>
        <w:rPr>
          <w:rFonts w:ascii="宋体" w:hAnsi="宋体" w:hint="eastAsia"/>
          <w:color w:val="000000"/>
          <w:kern w:val="0"/>
          <w:sz w:val="24"/>
        </w:rPr>
        <w:t>联系人：吕铭泽</w:t>
      </w:r>
    </w:p>
    <w:p w:rsidR="00035EA3" w:rsidRDefault="005E255C">
      <w:pPr>
        <w:spacing w:line="360" w:lineRule="auto"/>
        <w:ind w:firstLine="420"/>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2</w:t>
      </w:r>
      <w:r>
        <w:rPr>
          <w:rFonts w:ascii="宋体" w:hAnsi="宋体" w:hint="eastAsia"/>
          <w:color w:val="000000"/>
          <w:kern w:val="0"/>
          <w:sz w:val="24"/>
        </w:rPr>
        <w:t>）本公司网上交易系统：</w:t>
      </w:r>
      <w:r>
        <w:rPr>
          <w:rFonts w:ascii="宋体" w:hAnsi="宋体" w:hint="eastAsia"/>
          <w:color w:val="000000"/>
          <w:kern w:val="0"/>
          <w:sz w:val="24"/>
        </w:rPr>
        <w:t>www.fullgoal.com.cn</w:t>
      </w:r>
    </w:p>
    <w:p w:rsidR="00035EA3" w:rsidRDefault="005E255C">
      <w:pPr>
        <w:pStyle w:val="2"/>
      </w:pPr>
      <w:r>
        <w:rPr>
          <w:rFonts w:hint="eastAsia"/>
        </w:rPr>
        <w:t>代销机构</w:t>
      </w:r>
    </w:p>
    <w:p w:rsidR="00035EA3" w:rsidRDefault="005E255C">
      <w:pPr>
        <w:spacing w:line="360" w:lineRule="auto"/>
        <w:ind w:firstLine="420"/>
        <w:rPr>
          <w:rFonts w:ascii="宋体" w:hAnsi="宋体"/>
          <w:color w:val="000000"/>
          <w:kern w:val="0"/>
          <w:sz w:val="24"/>
        </w:rPr>
      </w:pPr>
      <w:r>
        <w:rPr>
          <w:rFonts w:ascii="宋体" w:hAnsi="宋体" w:hint="eastAsia"/>
          <w:color w:val="000000"/>
          <w:kern w:val="0"/>
          <w:sz w:val="24"/>
        </w:rPr>
        <w:t>交通银行股份有限公司、东莞银行股份有限公司、东莞农村商业银行股份有限公司、厦门国际银行股份有限公司。</w:t>
      </w:r>
    </w:p>
    <w:p w:rsidR="00035EA3" w:rsidRDefault="005E255C">
      <w:pPr>
        <w:spacing w:line="360" w:lineRule="auto"/>
        <w:ind w:firstLine="420"/>
        <w:rPr>
          <w:rFonts w:ascii="宋体" w:hAnsi="宋体"/>
          <w:color w:val="000000"/>
          <w:kern w:val="0"/>
          <w:sz w:val="24"/>
        </w:rPr>
      </w:pPr>
      <w:r>
        <w:rPr>
          <w:rFonts w:ascii="宋体" w:hAnsi="宋体" w:hint="eastAsia"/>
          <w:color w:val="000000"/>
          <w:kern w:val="0"/>
          <w:sz w:val="24"/>
        </w:rPr>
        <w:t>基金管理人可根据有关法律法规的要求，选择其它符合要求的机构销售本基金，并在</w:t>
      </w:r>
      <w:r>
        <w:rPr>
          <w:rFonts w:ascii="宋体" w:hAnsi="宋体" w:hint="eastAsia"/>
          <w:color w:val="000000"/>
          <w:kern w:val="0"/>
          <w:sz w:val="24"/>
        </w:rPr>
        <w:t>基金管理人网站公示。</w:t>
      </w:r>
    </w:p>
    <w:p w:rsidR="00035EA3" w:rsidRDefault="005E255C">
      <w:pPr>
        <w:pStyle w:val="1"/>
      </w:pPr>
      <w:r>
        <w:rPr>
          <w:rFonts w:hint="eastAsia"/>
        </w:rPr>
        <w:t>其他份额净值公告</w:t>
      </w:r>
      <w:r>
        <w:rPr>
          <w:rFonts w:hint="eastAsia"/>
        </w:rPr>
        <w:t>/</w:t>
      </w:r>
      <w:r>
        <w:rPr>
          <w:rFonts w:hint="eastAsia"/>
        </w:rPr>
        <w:t>基金收益公告的披露安排</w:t>
      </w:r>
    </w:p>
    <w:p w:rsidR="00035EA3" w:rsidRDefault="005E255C">
      <w:pPr>
        <w:spacing w:line="360" w:lineRule="auto"/>
        <w:ind w:firstLine="420"/>
        <w:rPr>
          <w:rFonts w:ascii="宋体" w:hAnsi="宋体"/>
          <w:color w:val="000000"/>
          <w:kern w:val="0"/>
          <w:sz w:val="24"/>
        </w:rPr>
      </w:pPr>
      <w:r>
        <w:rPr>
          <w:rFonts w:ascii="宋体" w:hAnsi="宋体" w:hint="eastAsia"/>
          <w:color w:val="000000"/>
          <w:kern w:val="0"/>
          <w:sz w:val="24"/>
        </w:rPr>
        <w:t>自</w:t>
      </w: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1</w:t>
      </w:r>
      <w:r>
        <w:rPr>
          <w:rFonts w:ascii="宋体" w:hAnsi="宋体" w:hint="eastAsia"/>
          <w:color w:val="000000"/>
          <w:kern w:val="0"/>
          <w:sz w:val="24"/>
        </w:rPr>
        <w:t>月</w:t>
      </w:r>
      <w:r>
        <w:rPr>
          <w:rFonts w:ascii="宋体" w:hAnsi="宋体"/>
          <w:color w:val="000000"/>
          <w:kern w:val="0"/>
          <w:sz w:val="24"/>
        </w:rPr>
        <w:t>2</w:t>
      </w:r>
      <w:r>
        <w:rPr>
          <w:rFonts w:ascii="宋体" w:hAnsi="宋体" w:hint="eastAsia"/>
          <w:color w:val="000000"/>
          <w:kern w:val="0"/>
          <w:sz w:val="24"/>
        </w:rPr>
        <w:t>9</w:t>
      </w:r>
      <w:r>
        <w:rPr>
          <w:rFonts w:ascii="宋体" w:hAnsi="宋体" w:hint="eastAsia"/>
          <w:color w:val="000000"/>
          <w:kern w:val="0"/>
          <w:sz w:val="24"/>
        </w:rPr>
        <w:t>日起，基金管理人将在每个开放日的次三个工作日内，通过其网站、基金销售机构网站或营业网点披露开放日的各类基金份额净值和各类基金份额累计净值。敬请投资者留意。</w:t>
      </w:r>
    </w:p>
    <w:p w:rsidR="00035EA3" w:rsidRDefault="005E255C">
      <w:pPr>
        <w:pStyle w:val="1"/>
      </w:pPr>
      <w:bookmarkStart w:id="5" w:name="_Toc249263626"/>
      <w:r>
        <w:rPr>
          <w:rFonts w:hint="eastAsia"/>
        </w:rPr>
        <w:t>其他需要提示的事项</w:t>
      </w:r>
      <w:bookmarkEnd w:id="5"/>
    </w:p>
    <w:p w:rsidR="00035EA3" w:rsidRDefault="005E255C">
      <w:pPr>
        <w:spacing w:line="360" w:lineRule="auto"/>
        <w:ind w:firstLine="420"/>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1</w:t>
      </w:r>
      <w:r>
        <w:rPr>
          <w:rFonts w:ascii="宋体" w:hAnsi="宋体" w:hint="eastAsia"/>
          <w:color w:val="000000"/>
          <w:kern w:val="0"/>
          <w:sz w:val="24"/>
        </w:rPr>
        <w:t>）</w:t>
      </w:r>
      <w:r>
        <w:rPr>
          <w:rFonts w:ascii="宋体" w:hAnsi="宋体"/>
          <w:color w:val="000000"/>
          <w:kern w:val="0"/>
          <w:sz w:val="24"/>
        </w:rPr>
        <w:t>基金管理人可在法律法规允许的情况下，调整上述规定申购金额和赎回份额的数量限制。基金管理人必须在调整实施前依照《信息披露办法》的有关规定在规定媒介上公告。</w:t>
      </w:r>
    </w:p>
    <w:p w:rsidR="00035EA3" w:rsidRDefault="005E255C">
      <w:pPr>
        <w:spacing w:line="360" w:lineRule="auto"/>
        <w:ind w:firstLine="420"/>
        <w:rPr>
          <w:rFonts w:ascii="宋体" w:hAnsi="宋体"/>
          <w:color w:val="000000"/>
          <w:kern w:val="0"/>
          <w:sz w:val="24"/>
        </w:rPr>
      </w:pPr>
      <w:r>
        <w:rPr>
          <w:rFonts w:ascii="宋体" w:hAnsi="宋体"/>
          <w:color w:val="000000"/>
          <w:kern w:val="0"/>
          <w:sz w:val="24"/>
        </w:rPr>
        <w:t>（</w:t>
      </w:r>
      <w:r>
        <w:rPr>
          <w:rFonts w:ascii="宋体" w:hAnsi="宋体" w:hint="eastAsia"/>
          <w:color w:val="000000"/>
          <w:kern w:val="0"/>
          <w:sz w:val="24"/>
        </w:rPr>
        <w:t>2</w:t>
      </w:r>
      <w:r>
        <w:rPr>
          <w:rFonts w:ascii="宋体" w:hAnsi="宋体"/>
          <w:color w:val="000000"/>
          <w:kern w:val="0"/>
          <w:sz w:val="24"/>
        </w:rPr>
        <w:t>）在对基金份额持有人利益无实质性不利影响的情况下，经与基金托管人协商一致并履行适当程序后</w:t>
      </w:r>
      <w:r>
        <w:rPr>
          <w:rFonts w:ascii="宋体" w:hAnsi="宋体"/>
          <w:color w:val="000000"/>
          <w:kern w:val="0"/>
          <w:sz w:val="24"/>
        </w:rPr>
        <w:t>，基金管理人可以在基金合同约定的范围内调整费率或收费方式，并最迟应于新的费率或收费方式实施日前依照《信息披露办法》的有关规定在规定媒介上公告。</w:t>
      </w:r>
    </w:p>
    <w:p w:rsidR="00035EA3" w:rsidRDefault="005E255C">
      <w:pPr>
        <w:spacing w:line="360" w:lineRule="auto"/>
        <w:ind w:firstLine="420"/>
        <w:rPr>
          <w:rFonts w:ascii="宋体" w:hAnsi="宋体"/>
          <w:color w:val="000000"/>
          <w:kern w:val="0"/>
          <w:sz w:val="24"/>
        </w:rPr>
      </w:pPr>
      <w:r>
        <w:rPr>
          <w:rFonts w:ascii="宋体" w:hAnsi="宋体"/>
          <w:color w:val="000000"/>
          <w:kern w:val="0"/>
          <w:sz w:val="24"/>
        </w:rPr>
        <w:t>（</w:t>
      </w:r>
      <w:r>
        <w:rPr>
          <w:rFonts w:ascii="宋体" w:hAnsi="宋体" w:hint="eastAsia"/>
          <w:color w:val="000000"/>
          <w:kern w:val="0"/>
          <w:sz w:val="24"/>
        </w:rPr>
        <w:t>3</w:t>
      </w:r>
      <w:r>
        <w:rPr>
          <w:rFonts w:ascii="宋体" w:hAnsi="宋体"/>
          <w:color w:val="000000"/>
          <w:kern w:val="0"/>
          <w:sz w:val="24"/>
        </w:rPr>
        <w:t>）本公告仅对本基金开放申购、赎回、定期定额投资等有关事项予以说明。投资者欲了解本基金的详细情况，请详细阅读</w:t>
      </w:r>
      <w:r>
        <w:rPr>
          <w:rFonts w:ascii="宋体" w:hAnsi="宋体"/>
          <w:color w:val="000000"/>
          <w:kern w:val="0"/>
          <w:sz w:val="24"/>
        </w:rPr>
        <w:t>2025</w:t>
      </w:r>
      <w:r>
        <w:rPr>
          <w:rFonts w:ascii="宋体" w:hAnsi="宋体"/>
          <w:color w:val="000000"/>
          <w:kern w:val="0"/>
          <w:sz w:val="24"/>
        </w:rPr>
        <w:t>年</w:t>
      </w:r>
      <w:r>
        <w:rPr>
          <w:rFonts w:ascii="宋体" w:hAnsi="宋体" w:hint="eastAsia"/>
          <w:color w:val="000000"/>
          <w:kern w:val="0"/>
          <w:sz w:val="24"/>
        </w:rPr>
        <w:t>10</w:t>
      </w:r>
      <w:r>
        <w:rPr>
          <w:rFonts w:ascii="宋体" w:hAnsi="宋体" w:hint="eastAsia"/>
          <w:color w:val="000000"/>
          <w:kern w:val="0"/>
          <w:sz w:val="24"/>
        </w:rPr>
        <w:t>月</w:t>
      </w:r>
      <w:r>
        <w:rPr>
          <w:rFonts w:ascii="宋体" w:hAnsi="宋体"/>
          <w:color w:val="000000"/>
          <w:kern w:val="0"/>
          <w:sz w:val="24"/>
        </w:rPr>
        <w:t>28</w:t>
      </w:r>
      <w:r>
        <w:rPr>
          <w:rFonts w:ascii="宋体" w:hAnsi="宋体" w:hint="eastAsia"/>
          <w:color w:val="000000"/>
          <w:kern w:val="0"/>
          <w:sz w:val="24"/>
        </w:rPr>
        <w:t>日</w:t>
      </w:r>
      <w:r>
        <w:rPr>
          <w:rFonts w:ascii="宋体" w:hAnsi="宋体"/>
          <w:color w:val="000000"/>
          <w:kern w:val="0"/>
          <w:sz w:val="24"/>
        </w:rPr>
        <w:t>发布在中国证监会基金电子披露网站（</w:t>
      </w:r>
      <w:r>
        <w:rPr>
          <w:rFonts w:ascii="宋体" w:hAnsi="宋体"/>
          <w:color w:val="000000"/>
          <w:kern w:val="0"/>
          <w:sz w:val="24"/>
        </w:rPr>
        <w:t>http://eid.csrc.gov.cn/fund</w:t>
      </w:r>
      <w:r>
        <w:rPr>
          <w:rFonts w:ascii="宋体" w:hAnsi="宋体"/>
          <w:color w:val="000000"/>
          <w:kern w:val="0"/>
          <w:sz w:val="24"/>
        </w:rPr>
        <w:t>）和本公司网站（</w:t>
      </w:r>
      <w:r>
        <w:rPr>
          <w:rFonts w:ascii="宋体" w:hAnsi="宋体"/>
          <w:color w:val="000000"/>
          <w:kern w:val="0"/>
          <w:sz w:val="24"/>
        </w:rPr>
        <w:t>www.fullgoal.com.cn</w:t>
      </w:r>
      <w:r>
        <w:rPr>
          <w:rFonts w:ascii="宋体" w:hAnsi="宋体"/>
          <w:color w:val="000000"/>
          <w:kern w:val="0"/>
          <w:sz w:val="24"/>
        </w:rPr>
        <w:t>）上的《</w:t>
      </w:r>
      <w:r>
        <w:rPr>
          <w:rFonts w:ascii="宋体" w:hAnsi="宋体" w:hint="eastAsia"/>
          <w:color w:val="000000"/>
          <w:kern w:val="0"/>
          <w:sz w:val="24"/>
        </w:rPr>
        <w:t>富国智恒稳健</w:t>
      </w:r>
      <w:r>
        <w:rPr>
          <w:rFonts w:ascii="宋体" w:hAnsi="宋体" w:hint="eastAsia"/>
          <w:color w:val="000000"/>
          <w:kern w:val="0"/>
          <w:sz w:val="24"/>
        </w:rPr>
        <w:t>90</w:t>
      </w:r>
      <w:r>
        <w:rPr>
          <w:rFonts w:ascii="宋体" w:hAnsi="宋体" w:hint="eastAsia"/>
          <w:color w:val="000000"/>
          <w:kern w:val="0"/>
          <w:sz w:val="24"/>
        </w:rPr>
        <w:t>天持有期混合</w:t>
      </w:r>
      <w:r>
        <w:rPr>
          <w:rFonts w:ascii="宋体" w:hAnsi="宋体"/>
          <w:color w:val="000000"/>
          <w:kern w:val="0"/>
          <w:sz w:val="24"/>
        </w:rPr>
        <w:t>型基金中基金（</w:t>
      </w:r>
      <w:r>
        <w:rPr>
          <w:rFonts w:ascii="宋体" w:hAnsi="宋体"/>
          <w:color w:val="000000"/>
          <w:kern w:val="0"/>
          <w:sz w:val="24"/>
        </w:rPr>
        <w:t>FOF</w:t>
      </w:r>
      <w:r>
        <w:rPr>
          <w:rFonts w:ascii="宋体" w:hAnsi="宋体"/>
          <w:color w:val="000000"/>
          <w:kern w:val="0"/>
          <w:sz w:val="24"/>
        </w:rPr>
        <w:t>）基金合同》和《</w:t>
      </w:r>
      <w:r>
        <w:rPr>
          <w:rFonts w:ascii="宋体" w:hAnsi="宋体" w:hint="eastAsia"/>
          <w:color w:val="000000"/>
          <w:kern w:val="0"/>
          <w:sz w:val="24"/>
        </w:rPr>
        <w:t>富国智恒稳健</w:t>
      </w:r>
      <w:r>
        <w:rPr>
          <w:rFonts w:ascii="宋体" w:hAnsi="宋体" w:hint="eastAsia"/>
          <w:color w:val="000000"/>
          <w:kern w:val="0"/>
          <w:sz w:val="24"/>
        </w:rPr>
        <w:t>90</w:t>
      </w:r>
      <w:r>
        <w:rPr>
          <w:rFonts w:ascii="宋体" w:hAnsi="宋体" w:hint="eastAsia"/>
          <w:color w:val="000000"/>
          <w:kern w:val="0"/>
          <w:sz w:val="24"/>
        </w:rPr>
        <w:t>天持有期混合</w:t>
      </w:r>
      <w:r>
        <w:rPr>
          <w:rFonts w:ascii="宋体" w:hAnsi="宋体"/>
          <w:color w:val="000000"/>
          <w:kern w:val="0"/>
          <w:sz w:val="24"/>
        </w:rPr>
        <w:t>型基金中基金（</w:t>
      </w:r>
      <w:r>
        <w:rPr>
          <w:rFonts w:ascii="宋体" w:hAnsi="宋体"/>
          <w:color w:val="000000"/>
          <w:kern w:val="0"/>
          <w:sz w:val="24"/>
        </w:rPr>
        <w:t>FOF</w:t>
      </w:r>
      <w:r>
        <w:rPr>
          <w:rFonts w:ascii="宋体" w:hAnsi="宋体"/>
          <w:color w:val="000000"/>
          <w:kern w:val="0"/>
          <w:sz w:val="24"/>
        </w:rPr>
        <w:t>）招募说明书》等相关资料。</w:t>
      </w:r>
    </w:p>
    <w:p w:rsidR="00035EA3" w:rsidRDefault="005E255C">
      <w:pPr>
        <w:spacing w:line="360" w:lineRule="auto"/>
        <w:ind w:firstLine="420"/>
        <w:rPr>
          <w:rFonts w:ascii="宋体" w:hAnsi="宋体"/>
          <w:color w:val="000000"/>
          <w:kern w:val="0"/>
          <w:sz w:val="24"/>
        </w:rPr>
      </w:pPr>
      <w:r>
        <w:rPr>
          <w:rFonts w:ascii="宋体" w:hAnsi="宋体"/>
          <w:color w:val="000000"/>
          <w:kern w:val="0"/>
          <w:sz w:val="24"/>
        </w:rPr>
        <w:t>（</w:t>
      </w:r>
      <w:r>
        <w:rPr>
          <w:rFonts w:ascii="宋体" w:hAnsi="宋体" w:hint="eastAsia"/>
          <w:color w:val="000000"/>
          <w:kern w:val="0"/>
          <w:sz w:val="24"/>
        </w:rPr>
        <w:t>4</w:t>
      </w:r>
      <w:r>
        <w:rPr>
          <w:rFonts w:ascii="宋体" w:hAnsi="宋体"/>
          <w:color w:val="000000"/>
          <w:kern w:val="0"/>
          <w:sz w:val="24"/>
        </w:rPr>
        <w:t>）有关本基金开放申购、赎回、定期定额投资等业务的具体规定若有变化，本公司将另行公告。</w:t>
      </w:r>
    </w:p>
    <w:p w:rsidR="00035EA3" w:rsidRDefault="005E255C">
      <w:pPr>
        <w:spacing w:line="360" w:lineRule="auto"/>
        <w:ind w:firstLine="420"/>
        <w:rPr>
          <w:rFonts w:ascii="宋体" w:hAnsi="宋体"/>
          <w:color w:val="000000"/>
          <w:kern w:val="0"/>
          <w:sz w:val="24"/>
        </w:rPr>
      </w:pPr>
      <w:r>
        <w:rPr>
          <w:rFonts w:ascii="宋体" w:hAnsi="宋体"/>
          <w:color w:val="000000"/>
          <w:kern w:val="0"/>
          <w:sz w:val="24"/>
        </w:rPr>
        <w:t>（</w:t>
      </w:r>
      <w:r>
        <w:rPr>
          <w:rFonts w:ascii="宋体" w:hAnsi="宋体" w:hint="eastAsia"/>
          <w:color w:val="000000"/>
          <w:kern w:val="0"/>
          <w:sz w:val="24"/>
        </w:rPr>
        <w:t>5</w:t>
      </w:r>
      <w:r>
        <w:rPr>
          <w:rFonts w:ascii="宋体" w:hAnsi="宋体"/>
          <w:color w:val="000000"/>
          <w:kern w:val="0"/>
          <w:sz w:val="24"/>
        </w:rPr>
        <w:t>）投资者在本基金代销机构办理基金业务，具体办理规则及程序请遵循各代销机构的规定。</w:t>
      </w:r>
    </w:p>
    <w:p w:rsidR="00035EA3" w:rsidRDefault="005E255C">
      <w:pPr>
        <w:spacing w:line="360" w:lineRule="auto"/>
        <w:ind w:firstLine="420"/>
        <w:rPr>
          <w:rFonts w:ascii="宋体" w:hAnsi="宋体"/>
          <w:color w:val="000000"/>
          <w:kern w:val="0"/>
          <w:sz w:val="24"/>
        </w:rPr>
      </w:pPr>
      <w:r>
        <w:rPr>
          <w:rFonts w:ascii="宋体" w:hAnsi="宋体"/>
          <w:color w:val="000000"/>
          <w:kern w:val="0"/>
          <w:sz w:val="24"/>
        </w:rPr>
        <w:t>（</w:t>
      </w:r>
      <w:r>
        <w:rPr>
          <w:rFonts w:ascii="宋体" w:hAnsi="宋体" w:hint="eastAsia"/>
          <w:color w:val="000000"/>
          <w:kern w:val="0"/>
          <w:sz w:val="24"/>
        </w:rPr>
        <w:t>6</w:t>
      </w:r>
      <w:r>
        <w:rPr>
          <w:rFonts w:ascii="宋体" w:hAnsi="宋体"/>
          <w:color w:val="000000"/>
          <w:kern w:val="0"/>
          <w:sz w:val="24"/>
        </w:rPr>
        <w:t>）</w:t>
      </w:r>
      <w:r>
        <w:rPr>
          <w:rFonts w:ascii="宋体" w:hAnsi="宋体" w:hint="eastAsia"/>
          <w:color w:val="000000"/>
          <w:kern w:val="0"/>
          <w:sz w:val="24"/>
        </w:rPr>
        <w:t>基金合同生效后，本基金对每一份认购</w:t>
      </w:r>
      <w:r>
        <w:rPr>
          <w:rFonts w:ascii="宋体" w:hAnsi="宋体" w:hint="eastAsia"/>
          <w:color w:val="000000"/>
          <w:kern w:val="0"/>
          <w:sz w:val="24"/>
        </w:rPr>
        <w:t>/</w:t>
      </w:r>
      <w:r>
        <w:rPr>
          <w:rFonts w:ascii="宋体" w:hAnsi="宋体" w:hint="eastAsia"/>
          <w:color w:val="000000"/>
          <w:kern w:val="0"/>
          <w:sz w:val="24"/>
        </w:rPr>
        <w:t>申购的基金份额分别计算</w:t>
      </w:r>
      <w:r>
        <w:rPr>
          <w:rFonts w:ascii="宋体" w:hAnsi="宋体" w:hint="eastAsia"/>
          <w:color w:val="000000"/>
          <w:kern w:val="0"/>
          <w:sz w:val="24"/>
        </w:rPr>
        <w:t>90</w:t>
      </w:r>
      <w:r>
        <w:rPr>
          <w:rFonts w:ascii="宋体" w:hAnsi="宋体" w:hint="eastAsia"/>
          <w:color w:val="000000"/>
          <w:kern w:val="0"/>
          <w:sz w:val="24"/>
        </w:rPr>
        <w:t>天的最短持有期。对于收益分配方式为红利再投资的基金份额，每份基金份额（即原份额）红利再投资所获得的基金份额的持有期限，按原份额的持有期限计算，即红利再投资所得份额与原份额最短持有期到期日相同。</w:t>
      </w:r>
      <w:r>
        <w:rPr>
          <w:rFonts w:ascii="宋体" w:hAnsi="宋体" w:hint="eastAsia"/>
          <w:color w:val="000000"/>
          <w:kern w:val="0"/>
          <w:sz w:val="24"/>
        </w:rPr>
        <w:t>自基金合同生效日（对于认购份额而言）或基金份额申购、转换转入确认日（对于申购、转换转入份额而言）起至该日后</w:t>
      </w:r>
      <w:r>
        <w:rPr>
          <w:rFonts w:ascii="宋体" w:hAnsi="宋体" w:hint="eastAsia"/>
          <w:color w:val="000000"/>
          <w:kern w:val="0"/>
          <w:sz w:val="24"/>
        </w:rPr>
        <w:t>90</w:t>
      </w:r>
      <w:r>
        <w:rPr>
          <w:rFonts w:ascii="宋体" w:hAnsi="宋体" w:hint="eastAsia"/>
          <w:color w:val="000000"/>
          <w:kern w:val="0"/>
          <w:sz w:val="24"/>
        </w:rPr>
        <w:t>天的对应日（不含当日），投资者不能提出赎回或转换转出申请；该日后</w:t>
      </w:r>
      <w:r>
        <w:rPr>
          <w:rFonts w:ascii="宋体" w:hAnsi="宋体" w:hint="eastAsia"/>
          <w:color w:val="000000"/>
          <w:kern w:val="0"/>
          <w:sz w:val="24"/>
        </w:rPr>
        <w:t>90</w:t>
      </w:r>
      <w:r>
        <w:rPr>
          <w:rFonts w:ascii="宋体" w:hAnsi="宋体" w:hint="eastAsia"/>
          <w:color w:val="000000"/>
          <w:kern w:val="0"/>
          <w:sz w:val="24"/>
        </w:rPr>
        <w:t>天的对应日起（含当日），投资者方可提出赎回或转换转出申请，如该对应日为非工作日则顺延至下一工作日。因此基金份额持有人面临在最短持有期内不能赎回或转换转出基金份额的风险</w:t>
      </w:r>
    </w:p>
    <w:p w:rsidR="00035EA3" w:rsidRDefault="005E255C">
      <w:pPr>
        <w:spacing w:line="360" w:lineRule="auto"/>
        <w:ind w:firstLine="420"/>
        <w:rPr>
          <w:rFonts w:ascii="宋体" w:hAnsi="宋体"/>
          <w:color w:val="000000"/>
          <w:kern w:val="0"/>
          <w:sz w:val="24"/>
        </w:rPr>
      </w:pPr>
      <w:r>
        <w:rPr>
          <w:rFonts w:ascii="宋体" w:hAnsi="宋体"/>
          <w:color w:val="000000"/>
          <w:kern w:val="0"/>
          <w:sz w:val="24"/>
        </w:rPr>
        <w:t>（</w:t>
      </w:r>
      <w:r>
        <w:rPr>
          <w:rFonts w:ascii="宋体" w:hAnsi="宋体" w:hint="eastAsia"/>
          <w:color w:val="000000"/>
          <w:kern w:val="0"/>
          <w:sz w:val="24"/>
        </w:rPr>
        <w:t>7</w:t>
      </w:r>
      <w:r>
        <w:rPr>
          <w:rFonts w:ascii="宋体" w:hAnsi="宋体"/>
          <w:color w:val="000000"/>
          <w:kern w:val="0"/>
          <w:sz w:val="24"/>
        </w:rPr>
        <w:t>）投资者可以登陆富国基金管理有限公司网站</w:t>
      </w:r>
      <w:r>
        <w:rPr>
          <w:rFonts w:ascii="宋体" w:hAnsi="宋体"/>
          <w:color w:val="000000"/>
          <w:kern w:val="0"/>
          <w:sz w:val="24"/>
        </w:rPr>
        <w:t>www.fullgoal.com.cn</w:t>
      </w:r>
      <w:r>
        <w:rPr>
          <w:rFonts w:ascii="宋体" w:hAnsi="宋体"/>
          <w:color w:val="000000"/>
          <w:kern w:val="0"/>
          <w:sz w:val="24"/>
        </w:rPr>
        <w:t>或拨打富国基金管理有限公司客户服务热线</w:t>
      </w:r>
      <w:r>
        <w:rPr>
          <w:rFonts w:ascii="宋体" w:hAnsi="宋体"/>
          <w:color w:val="000000"/>
          <w:kern w:val="0"/>
          <w:sz w:val="24"/>
        </w:rPr>
        <w:t>95105686</w:t>
      </w:r>
      <w:r>
        <w:rPr>
          <w:rFonts w:ascii="宋体" w:hAnsi="宋体"/>
          <w:color w:val="000000"/>
          <w:kern w:val="0"/>
          <w:sz w:val="24"/>
        </w:rPr>
        <w:t>、</w:t>
      </w:r>
      <w:r>
        <w:rPr>
          <w:rFonts w:ascii="宋体" w:hAnsi="宋体"/>
          <w:color w:val="000000"/>
          <w:kern w:val="0"/>
          <w:sz w:val="24"/>
        </w:rPr>
        <w:t>4008880688</w:t>
      </w:r>
      <w:r>
        <w:rPr>
          <w:rFonts w:ascii="宋体" w:hAnsi="宋体"/>
          <w:color w:val="000000"/>
          <w:kern w:val="0"/>
          <w:sz w:val="24"/>
        </w:rPr>
        <w:t>（全国统</w:t>
      </w:r>
      <w:r>
        <w:rPr>
          <w:rFonts w:ascii="宋体" w:hAnsi="宋体"/>
          <w:color w:val="000000"/>
          <w:kern w:val="0"/>
          <w:sz w:val="24"/>
        </w:rPr>
        <w:t>一，均免长途费）进行相关咨询。</w:t>
      </w:r>
    </w:p>
    <w:p w:rsidR="00035EA3" w:rsidRDefault="005E255C">
      <w:pPr>
        <w:spacing w:line="360" w:lineRule="auto"/>
        <w:ind w:firstLine="420"/>
        <w:rPr>
          <w:rFonts w:ascii="宋体" w:hAnsi="宋体"/>
          <w:color w:val="000000"/>
          <w:kern w:val="0"/>
          <w:sz w:val="24"/>
        </w:rPr>
      </w:pPr>
      <w:r>
        <w:rPr>
          <w:rFonts w:ascii="宋体" w:hAnsi="宋体"/>
          <w:color w:val="000000"/>
          <w:kern w:val="0"/>
          <w:sz w:val="24"/>
        </w:rPr>
        <w:t>（</w:t>
      </w:r>
      <w:r>
        <w:rPr>
          <w:rFonts w:ascii="宋体" w:hAnsi="宋体" w:hint="eastAsia"/>
          <w:color w:val="000000"/>
          <w:kern w:val="0"/>
          <w:sz w:val="24"/>
        </w:rPr>
        <w:t>8</w:t>
      </w:r>
      <w:r>
        <w:rPr>
          <w:rFonts w:ascii="宋体" w:hAnsi="宋体"/>
          <w:color w:val="000000"/>
          <w:kern w:val="0"/>
          <w:sz w:val="24"/>
        </w:rPr>
        <w:t>）风险提示：基金管理人承诺以诚实信用、勤勉尽责的原则管理和运用基金资产，但不保证基金一定盈利，也不保证最低收益。投资者投资于本基金前应认真阅读本基金的基金合同和招募说明书等法律文件，确认已知悉基金产品资料概要，了解基金产品的详细情况，选择与自己风险识别能力和风险承受能力相匹配的基金，并注意投资风险。</w:t>
      </w:r>
    </w:p>
    <w:p w:rsidR="00035EA3" w:rsidRDefault="00035EA3">
      <w:pPr>
        <w:spacing w:line="360" w:lineRule="auto"/>
        <w:ind w:firstLine="420"/>
        <w:rPr>
          <w:rFonts w:ascii="宋体" w:hAnsi="宋体"/>
          <w:color w:val="000000"/>
          <w:kern w:val="0"/>
          <w:sz w:val="24"/>
        </w:rPr>
      </w:pPr>
    </w:p>
    <w:p w:rsidR="00035EA3" w:rsidRDefault="005E255C">
      <w:pPr>
        <w:spacing w:line="360" w:lineRule="auto"/>
        <w:ind w:firstLine="420"/>
        <w:rPr>
          <w:rFonts w:ascii="宋体" w:hAnsi="宋体"/>
          <w:color w:val="000000"/>
          <w:kern w:val="0"/>
          <w:sz w:val="24"/>
        </w:rPr>
      </w:pPr>
      <w:r>
        <w:rPr>
          <w:rFonts w:ascii="宋体" w:hAnsi="宋体"/>
          <w:color w:val="000000"/>
          <w:kern w:val="0"/>
          <w:sz w:val="24"/>
        </w:rPr>
        <w:t>特此公告。</w:t>
      </w:r>
    </w:p>
    <w:p w:rsidR="00035EA3" w:rsidRDefault="00035EA3">
      <w:pPr>
        <w:spacing w:line="360" w:lineRule="auto"/>
        <w:ind w:firstLine="420"/>
        <w:rPr>
          <w:rFonts w:ascii="宋体" w:hAnsi="宋体"/>
          <w:color w:val="000000"/>
          <w:kern w:val="0"/>
          <w:sz w:val="24"/>
        </w:rPr>
      </w:pPr>
    </w:p>
    <w:p w:rsidR="00035EA3" w:rsidRDefault="00035EA3">
      <w:pPr>
        <w:spacing w:line="360" w:lineRule="auto"/>
        <w:ind w:firstLine="420"/>
        <w:rPr>
          <w:rFonts w:ascii="宋体" w:hAnsi="宋体"/>
          <w:color w:val="000000"/>
          <w:kern w:val="0"/>
          <w:sz w:val="24"/>
        </w:rPr>
      </w:pPr>
    </w:p>
    <w:p w:rsidR="00035EA3" w:rsidRDefault="005E255C">
      <w:pPr>
        <w:spacing w:line="360" w:lineRule="auto"/>
        <w:ind w:firstLine="420"/>
        <w:jc w:val="right"/>
        <w:rPr>
          <w:rFonts w:ascii="宋体" w:hAnsi="宋体"/>
          <w:color w:val="000000"/>
          <w:kern w:val="0"/>
          <w:sz w:val="24"/>
        </w:rPr>
      </w:pPr>
      <w:r>
        <w:rPr>
          <w:rFonts w:ascii="宋体" w:hAnsi="宋体" w:hint="eastAsia"/>
          <w:color w:val="000000"/>
          <w:kern w:val="0"/>
          <w:sz w:val="24"/>
        </w:rPr>
        <w:t>富国基金管理有限公司</w:t>
      </w:r>
    </w:p>
    <w:p w:rsidR="00035EA3" w:rsidRDefault="005E255C">
      <w:pPr>
        <w:spacing w:line="360" w:lineRule="auto"/>
        <w:ind w:firstLine="420"/>
        <w:jc w:val="right"/>
        <w:rPr>
          <w:rFonts w:ascii="宋体" w:hAnsi="宋体"/>
          <w:color w:val="000000"/>
          <w:kern w:val="0"/>
          <w:sz w:val="24"/>
        </w:rPr>
      </w:pP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1</w:t>
      </w:r>
      <w:r>
        <w:rPr>
          <w:rFonts w:ascii="宋体" w:hAnsi="宋体" w:hint="eastAsia"/>
          <w:color w:val="000000"/>
          <w:kern w:val="0"/>
          <w:sz w:val="24"/>
        </w:rPr>
        <w:t>月</w:t>
      </w:r>
      <w:r>
        <w:rPr>
          <w:rFonts w:ascii="宋体" w:hAnsi="宋体" w:hint="eastAsia"/>
          <w:color w:val="000000"/>
          <w:kern w:val="0"/>
          <w:sz w:val="24"/>
        </w:rPr>
        <w:t>27</w:t>
      </w:r>
      <w:r>
        <w:rPr>
          <w:rFonts w:ascii="宋体" w:hAnsi="宋体" w:hint="eastAsia"/>
          <w:color w:val="000000"/>
          <w:kern w:val="0"/>
          <w:sz w:val="24"/>
        </w:rPr>
        <w:t>日</w:t>
      </w:r>
    </w:p>
    <w:sectPr w:rsidR="00035EA3" w:rsidSect="00035EA3">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9601E"/>
    <w:multiLevelType w:val="multilevel"/>
    <w:tmpl w:val="30B9601E"/>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pStyle w:val="4"/>
      <w:lvlText w:val="%1.%2.%3.%4."/>
      <w:lvlJc w:val="left"/>
      <w:pPr>
        <w:ind w:left="2127"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61FC4C13"/>
    <w:multiLevelType w:val="multilevel"/>
    <w:tmpl w:val="61FC4C13"/>
    <w:lvl w:ilvl="0">
      <w:start w:val="1"/>
      <w:numFmt w:val="decimal"/>
      <w:lvlText w:val="%1"/>
      <w:lvlJc w:val="left"/>
      <w:pPr>
        <w:ind w:left="420" w:hanging="420"/>
      </w:pPr>
      <w:rPr>
        <w:rFonts w:hint="eastAsia"/>
      </w:rPr>
    </w:lvl>
    <w:lvl w:ilvl="1">
      <w:start w:val="1"/>
      <w:numFmt w:val="decimal"/>
      <w:lvlText w:val="%2"/>
      <w:lvlJc w:val="left"/>
      <w:pPr>
        <w:tabs>
          <w:tab w:val="left" w:pos="576"/>
        </w:tabs>
        <w:ind w:left="576" w:hanging="576"/>
      </w:pPr>
      <w:rPr>
        <w:rFonts w:ascii="宋体" w:eastAsia="宋体" w:hAnsi="宋体" w:hint="eastAsia"/>
        <w:b/>
        <w:i w:val="0"/>
        <w:sz w:val="24"/>
      </w:rPr>
    </w:lvl>
    <w:lvl w:ilvl="2">
      <w:start w:val="1"/>
      <w:numFmt w:val="decimal"/>
      <w:isLgl/>
      <w:lvlText w:val="%2.%3"/>
      <w:lvlJc w:val="left"/>
      <w:pPr>
        <w:tabs>
          <w:tab w:val="left" w:pos="720"/>
        </w:tabs>
        <w:ind w:left="720" w:hanging="720"/>
      </w:pPr>
      <w:rPr>
        <w:rFonts w:hint="eastAsia"/>
      </w:rPr>
    </w:lvl>
    <w:lvl w:ilvl="3">
      <w:start w:val="1"/>
      <w:numFmt w:val="decimal"/>
      <w:lvlRestart w:val="2"/>
      <w:isLgl/>
      <w:lvlText w:val="%2.%3.%4"/>
      <w:lvlJc w:val="left"/>
      <w:pPr>
        <w:tabs>
          <w:tab w:val="left" w:pos="1080"/>
        </w:tabs>
        <w:ind w:left="864" w:hanging="864"/>
      </w:pPr>
      <w:rPr>
        <w:rFonts w:hint="eastAsia"/>
      </w:rPr>
    </w:lvl>
    <w:lvl w:ilvl="4">
      <w:start w:val="1"/>
      <w:numFmt w:val="decimal"/>
      <w:pStyle w:val="5"/>
      <w:lvlText w:val="%2.%3.%4.%5"/>
      <w:lvlJc w:val="left"/>
      <w:pPr>
        <w:tabs>
          <w:tab w:val="left" w:pos="1440"/>
        </w:tabs>
        <w:ind w:left="1008" w:hanging="1008"/>
      </w:pPr>
      <w:rPr>
        <w:rFonts w:hint="eastAsia"/>
      </w:rPr>
    </w:lvl>
    <w:lvl w:ilvl="5">
      <w:start w:val="1"/>
      <w:numFmt w:val="decimal"/>
      <w:pStyle w:val="6"/>
      <w:lvlText w:val="%2.%3.%4.%5.%6"/>
      <w:lvlJc w:val="left"/>
      <w:pPr>
        <w:tabs>
          <w:tab w:val="left" w:pos="1800"/>
        </w:tabs>
        <w:ind w:left="567" w:hanging="567"/>
      </w:pPr>
      <w:rPr>
        <w:rFonts w:hint="eastAsia"/>
      </w:rPr>
    </w:lvl>
    <w:lvl w:ilvl="6">
      <w:start w:val="1"/>
      <w:numFmt w:val="decimal"/>
      <w:pStyle w:val="7"/>
      <w:lvlText w:val="%2.%3.%4.%5.%6.%7"/>
      <w:lvlJc w:val="left"/>
      <w:pPr>
        <w:tabs>
          <w:tab w:val="left" w:pos="2160"/>
        </w:tabs>
        <w:ind w:left="1296" w:hanging="1296"/>
      </w:pPr>
      <w:rPr>
        <w:rFonts w:hint="eastAsia"/>
      </w:rPr>
    </w:lvl>
    <w:lvl w:ilvl="7">
      <w:start w:val="1"/>
      <w:numFmt w:val="decimal"/>
      <w:pStyle w:val="8"/>
      <w:lvlText w:val="%2.%3.%4.%5.%6.%7.%8"/>
      <w:lvlJc w:val="left"/>
      <w:pPr>
        <w:tabs>
          <w:tab w:val="left" w:pos="2520"/>
        </w:tabs>
        <w:ind w:left="1440" w:hanging="1440"/>
      </w:pPr>
      <w:rPr>
        <w:rFonts w:hint="eastAsia"/>
      </w:rPr>
    </w:lvl>
    <w:lvl w:ilvl="8">
      <w:start w:val="1"/>
      <w:numFmt w:val="decimal"/>
      <w:pStyle w:val="9"/>
      <w:lvlText w:val="%2.%3.%4.%5.%6.%7.%8.%9"/>
      <w:lvlJc w:val="left"/>
      <w:pPr>
        <w:tabs>
          <w:tab w:val="left" w:pos="2880"/>
        </w:tabs>
        <w:ind w:left="1584" w:hanging="1584"/>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attachedTemplate r:id="rId1"/>
  <w:stylePaneFormatFilter w:val="3F01"/>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0363C"/>
    <w:rsid w:val="000108DD"/>
    <w:rsid w:val="0002499F"/>
    <w:rsid w:val="00035EA3"/>
    <w:rsid w:val="00094F7C"/>
    <w:rsid w:val="000A3064"/>
    <w:rsid w:val="000A794D"/>
    <w:rsid w:val="000B4621"/>
    <w:rsid w:val="000B6E23"/>
    <w:rsid w:val="000C50AB"/>
    <w:rsid w:val="000E1278"/>
    <w:rsid w:val="000E2082"/>
    <w:rsid w:val="000F14CC"/>
    <w:rsid w:val="000F42B7"/>
    <w:rsid w:val="00105A88"/>
    <w:rsid w:val="00117178"/>
    <w:rsid w:val="00130685"/>
    <w:rsid w:val="00141F18"/>
    <w:rsid w:val="00145CFE"/>
    <w:rsid w:val="00166E21"/>
    <w:rsid w:val="00170FB4"/>
    <w:rsid w:val="001B4CB6"/>
    <w:rsid w:val="001C7191"/>
    <w:rsid w:val="0020084E"/>
    <w:rsid w:val="00200CCC"/>
    <w:rsid w:val="00201292"/>
    <w:rsid w:val="0020385D"/>
    <w:rsid w:val="0020464D"/>
    <w:rsid w:val="00205540"/>
    <w:rsid w:val="0020579B"/>
    <w:rsid w:val="0021261A"/>
    <w:rsid w:val="00220441"/>
    <w:rsid w:val="00223D48"/>
    <w:rsid w:val="00233620"/>
    <w:rsid w:val="00233CA6"/>
    <w:rsid w:val="002341E2"/>
    <w:rsid w:val="00255424"/>
    <w:rsid w:val="00255FBC"/>
    <w:rsid w:val="002621AE"/>
    <w:rsid w:val="002762DF"/>
    <w:rsid w:val="002B4EDA"/>
    <w:rsid w:val="002C0263"/>
    <w:rsid w:val="002C03AA"/>
    <w:rsid w:val="002C2D2A"/>
    <w:rsid w:val="002E7E19"/>
    <w:rsid w:val="00311EE0"/>
    <w:rsid w:val="0033495A"/>
    <w:rsid w:val="003368C8"/>
    <w:rsid w:val="00346110"/>
    <w:rsid w:val="003474A0"/>
    <w:rsid w:val="003503A5"/>
    <w:rsid w:val="003504E6"/>
    <w:rsid w:val="00351B12"/>
    <w:rsid w:val="00365F48"/>
    <w:rsid w:val="003710C1"/>
    <w:rsid w:val="003D36FE"/>
    <w:rsid w:val="003F652C"/>
    <w:rsid w:val="00403751"/>
    <w:rsid w:val="00454086"/>
    <w:rsid w:val="00493B8B"/>
    <w:rsid w:val="004A658E"/>
    <w:rsid w:val="004B07E3"/>
    <w:rsid w:val="004B3871"/>
    <w:rsid w:val="004B7E60"/>
    <w:rsid w:val="004C5AE2"/>
    <w:rsid w:val="0050235C"/>
    <w:rsid w:val="00525824"/>
    <w:rsid w:val="00530D25"/>
    <w:rsid w:val="00535D14"/>
    <w:rsid w:val="0054477A"/>
    <w:rsid w:val="0054543F"/>
    <w:rsid w:val="00547A5C"/>
    <w:rsid w:val="00547B20"/>
    <w:rsid w:val="00557F52"/>
    <w:rsid w:val="005615D3"/>
    <w:rsid w:val="00563D21"/>
    <w:rsid w:val="00573D61"/>
    <w:rsid w:val="005750AD"/>
    <w:rsid w:val="00577A5F"/>
    <w:rsid w:val="00595B99"/>
    <w:rsid w:val="005A393D"/>
    <w:rsid w:val="005A4F02"/>
    <w:rsid w:val="005B3182"/>
    <w:rsid w:val="005B6DD3"/>
    <w:rsid w:val="005C47E9"/>
    <w:rsid w:val="005C6553"/>
    <w:rsid w:val="005D78F2"/>
    <w:rsid w:val="005E106F"/>
    <w:rsid w:val="005E255C"/>
    <w:rsid w:val="005E3023"/>
    <w:rsid w:val="005E67A3"/>
    <w:rsid w:val="0060617A"/>
    <w:rsid w:val="006077D7"/>
    <w:rsid w:val="00615D90"/>
    <w:rsid w:val="00631DEF"/>
    <w:rsid w:val="00662D4C"/>
    <w:rsid w:val="006C646F"/>
    <w:rsid w:val="00712F0D"/>
    <w:rsid w:val="0073558D"/>
    <w:rsid w:val="007410EA"/>
    <w:rsid w:val="00743B5D"/>
    <w:rsid w:val="0075026C"/>
    <w:rsid w:val="0075060C"/>
    <w:rsid w:val="00752EC2"/>
    <w:rsid w:val="007575AB"/>
    <w:rsid w:val="0076079B"/>
    <w:rsid w:val="00771496"/>
    <w:rsid w:val="00773BB9"/>
    <w:rsid w:val="00776F76"/>
    <w:rsid w:val="00777706"/>
    <w:rsid w:val="0078390C"/>
    <w:rsid w:val="007B0A87"/>
    <w:rsid w:val="007C411C"/>
    <w:rsid w:val="007D61E2"/>
    <w:rsid w:val="007F15CB"/>
    <w:rsid w:val="007F5A19"/>
    <w:rsid w:val="008148DE"/>
    <w:rsid w:val="00820151"/>
    <w:rsid w:val="00820CDF"/>
    <w:rsid w:val="0083451A"/>
    <w:rsid w:val="008349DE"/>
    <w:rsid w:val="00837D6B"/>
    <w:rsid w:val="00845EA0"/>
    <w:rsid w:val="0086057F"/>
    <w:rsid w:val="0086311F"/>
    <w:rsid w:val="008632AC"/>
    <w:rsid w:val="00871D9F"/>
    <w:rsid w:val="0088615F"/>
    <w:rsid w:val="00887821"/>
    <w:rsid w:val="00890181"/>
    <w:rsid w:val="008A261E"/>
    <w:rsid w:val="008C239D"/>
    <w:rsid w:val="008C3558"/>
    <w:rsid w:val="00906262"/>
    <w:rsid w:val="00923D94"/>
    <w:rsid w:val="009258A0"/>
    <w:rsid w:val="00927573"/>
    <w:rsid w:val="00930CF9"/>
    <w:rsid w:val="00935251"/>
    <w:rsid w:val="00953F50"/>
    <w:rsid w:val="00975A5D"/>
    <w:rsid w:val="00981408"/>
    <w:rsid w:val="009C7CB2"/>
    <w:rsid w:val="009E493D"/>
    <w:rsid w:val="009E5F9A"/>
    <w:rsid w:val="009F1723"/>
    <w:rsid w:val="009F48BA"/>
    <w:rsid w:val="00A063D7"/>
    <w:rsid w:val="00A114B1"/>
    <w:rsid w:val="00A33B17"/>
    <w:rsid w:val="00A3541D"/>
    <w:rsid w:val="00A53DB2"/>
    <w:rsid w:val="00A63FD5"/>
    <w:rsid w:val="00A72C27"/>
    <w:rsid w:val="00A8015F"/>
    <w:rsid w:val="00A915EB"/>
    <w:rsid w:val="00A943FA"/>
    <w:rsid w:val="00A95324"/>
    <w:rsid w:val="00AA107D"/>
    <w:rsid w:val="00AA1991"/>
    <w:rsid w:val="00AB7E0D"/>
    <w:rsid w:val="00AC206E"/>
    <w:rsid w:val="00AC2B57"/>
    <w:rsid w:val="00AE590E"/>
    <w:rsid w:val="00B0363C"/>
    <w:rsid w:val="00B4486E"/>
    <w:rsid w:val="00B5184E"/>
    <w:rsid w:val="00B53659"/>
    <w:rsid w:val="00B72C6E"/>
    <w:rsid w:val="00B8043F"/>
    <w:rsid w:val="00B81630"/>
    <w:rsid w:val="00BA2247"/>
    <w:rsid w:val="00BA47A8"/>
    <w:rsid w:val="00BB5580"/>
    <w:rsid w:val="00BD7F09"/>
    <w:rsid w:val="00BE7004"/>
    <w:rsid w:val="00BF74DB"/>
    <w:rsid w:val="00C00838"/>
    <w:rsid w:val="00C05BF0"/>
    <w:rsid w:val="00C07C39"/>
    <w:rsid w:val="00C42D3E"/>
    <w:rsid w:val="00C44520"/>
    <w:rsid w:val="00C4689F"/>
    <w:rsid w:val="00C64601"/>
    <w:rsid w:val="00C713CD"/>
    <w:rsid w:val="00C806B1"/>
    <w:rsid w:val="00C82E64"/>
    <w:rsid w:val="00C95C0D"/>
    <w:rsid w:val="00CA102D"/>
    <w:rsid w:val="00CA5408"/>
    <w:rsid w:val="00CB2939"/>
    <w:rsid w:val="00CB2E86"/>
    <w:rsid w:val="00CD1F10"/>
    <w:rsid w:val="00CE5397"/>
    <w:rsid w:val="00D14D7D"/>
    <w:rsid w:val="00D32790"/>
    <w:rsid w:val="00D3736B"/>
    <w:rsid w:val="00D51AA2"/>
    <w:rsid w:val="00D51B5F"/>
    <w:rsid w:val="00D60103"/>
    <w:rsid w:val="00D8274D"/>
    <w:rsid w:val="00DA2771"/>
    <w:rsid w:val="00DB54FB"/>
    <w:rsid w:val="00DB6B78"/>
    <w:rsid w:val="00DD26D7"/>
    <w:rsid w:val="00DE550C"/>
    <w:rsid w:val="00DF2B0F"/>
    <w:rsid w:val="00E21C37"/>
    <w:rsid w:val="00E32976"/>
    <w:rsid w:val="00E60782"/>
    <w:rsid w:val="00E64D4E"/>
    <w:rsid w:val="00E702BE"/>
    <w:rsid w:val="00E71755"/>
    <w:rsid w:val="00E74DC9"/>
    <w:rsid w:val="00E83E84"/>
    <w:rsid w:val="00E93B17"/>
    <w:rsid w:val="00E93C6E"/>
    <w:rsid w:val="00EA332A"/>
    <w:rsid w:val="00EA615C"/>
    <w:rsid w:val="00EC1F3D"/>
    <w:rsid w:val="00ED1BB3"/>
    <w:rsid w:val="00ED5AEC"/>
    <w:rsid w:val="00EE0CCF"/>
    <w:rsid w:val="00F04CE4"/>
    <w:rsid w:val="00F06594"/>
    <w:rsid w:val="00F07AC7"/>
    <w:rsid w:val="00F2398B"/>
    <w:rsid w:val="00F325D1"/>
    <w:rsid w:val="00F50A36"/>
    <w:rsid w:val="00F52F5C"/>
    <w:rsid w:val="00F60357"/>
    <w:rsid w:val="00F720C6"/>
    <w:rsid w:val="00F76739"/>
    <w:rsid w:val="00F7771D"/>
    <w:rsid w:val="00F822E3"/>
    <w:rsid w:val="00FB03A3"/>
    <w:rsid w:val="00FB0A64"/>
    <w:rsid w:val="00FB4914"/>
    <w:rsid w:val="00FB739D"/>
    <w:rsid w:val="00FC26BE"/>
    <w:rsid w:val="00FD3999"/>
    <w:rsid w:val="01910A08"/>
    <w:rsid w:val="06CA553C"/>
    <w:rsid w:val="0AC43BA4"/>
    <w:rsid w:val="0D63594E"/>
    <w:rsid w:val="0DD41B72"/>
    <w:rsid w:val="106627E7"/>
    <w:rsid w:val="10D418E0"/>
    <w:rsid w:val="139D413C"/>
    <w:rsid w:val="19C44EE1"/>
    <w:rsid w:val="1A043DD0"/>
    <w:rsid w:val="1E8A6D0B"/>
    <w:rsid w:val="228B5260"/>
    <w:rsid w:val="22C45354"/>
    <w:rsid w:val="27916153"/>
    <w:rsid w:val="2CA93717"/>
    <w:rsid w:val="2F3A0017"/>
    <w:rsid w:val="3A8A3EF6"/>
    <w:rsid w:val="3B245764"/>
    <w:rsid w:val="3D8147AA"/>
    <w:rsid w:val="423842E2"/>
    <w:rsid w:val="48147089"/>
    <w:rsid w:val="4AC51DBE"/>
    <w:rsid w:val="56FB3045"/>
    <w:rsid w:val="57680A77"/>
    <w:rsid w:val="5935748B"/>
    <w:rsid w:val="6D7E3727"/>
    <w:rsid w:val="6F1F4DFF"/>
    <w:rsid w:val="708E730A"/>
    <w:rsid w:val="72DA5569"/>
    <w:rsid w:val="75FB5842"/>
    <w:rsid w:val="7D050953"/>
    <w:rsid w:val="7E3A09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5EA3"/>
    <w:pPr>
      <w:widowControl w:val="0"/>
      <w:jc w:val="both"/>
    </w:pPr>
    <w:rPr>
      <w:kern w:val="2"/>
      <w:sz w:val="21"/>
      <w:szCs w:val="24"/>
    </w:rPr>
  </w:style>
  <w:style w:type="paragraph" w:styleId="1">
    <w:name w:val="heading 1"/>
    <w:basedOn w:val="a"/>
    <w:next w:val="a"/>
    <w:link w:val="1Char"/>
    <w:qFormat/>
    <w:rsid w:val="00035EA3"/>
    <w:pPr>
      <w:keepNext/>
      <w:keepLines/>
      <w:numPr>
        <w:numId w:val="1"/>
      </w:numPr>
      <w:spacing w:before="120" w:after="120" w:line="360" w:lineRule="auto"/>
      <w:outlineLvl w:val="0"/>
    </w:pPr>
    <w:rPr>
      <w:b/>
      <w:bCs/>
      <w:kern w:val="44"/>
      <w:sz w:val="28"/>
      <w:lang w:val="zh-CN"/>
    </w:rPr>
  </w:style>
  <w:style w:type="paragraph" w:styleId="2">
    <w:name w:val="heading 2"/>
    <w:basedOn w:val="1"/>
    <w:next w:val="a"/>
    <w:link w:val="2Char"/>
    <w:qFormat/>
    <w:rsid w:val="00035EA3"/>
    <w:pPr>
      <w:numPr>
        <w:ilvl w:val="1"/>
      </w:numPr>
      <w:outlineLvl w:val="1"/>
    </w:pPr>
  </w:style>
  <w:style w:type="paragraph" w:styleId="3">
    <w:name w:val="heading 3"/>
    <w:basedOn w:val="10"/>
    <w:next w:val="a"/>
    <w:qFormat/>
    <w:rsid w:val="00035EA3"/>
    <w:pPr>
      <w:numPr>
        <w:ilvl w:val="2"/>
      </w:numPr>
      <w:outlineLvl w:val="2"/>
    </w:pPr>
  </w:style>
  <w:style w:type="paragraph" w:styleId="4">
    <w:name w:val="heading 4"/>
    <w:basedOn w:val="3"/>
    <w:next w:val="a"/>
    <w:qFormat/>
    <w:rsid w:val="00035EA3"/>
    <w:pPr>
      <w:numPr>
        <w:ilvl w:val="3"/>
      </w:numPr>
      <w:ind w:left="0" w:firstLine="0"/>
      <w:outlineLvl w:val="3"/>
    </w:pPr>
  </w:style>
  <w:style w:type="paragraph" w:styleId="5">
    <w:name w:val="heading 5"/>
    <w:basedOn w:val="a"/>
    <w:next w:val="a"/>
    <w:qFormat/>
    <w:rsid w:val="00035EA3"/>
    <w:pPr>
      <w:keepNext/>
      <w:keepLines/>
      <w:numPr>
        <w:ilvl w:val="4"/>
        <w:numId w:val="2"/>
      </w:numPr>
      <w:spacing w:before="280" w:after="290" w:line="376" w:lineRule="auto"/>
      <w:outlineLvl w:val="4"/>
    </w:pPr>
    <w:rPr>
      <w:b/>
      <w:bCs/>
      <w:sz w:val="28"/>
      <w:szCs w:val="28"/>
    </w:rPr>
  </w:style>
  <w:style w:type="paragraph" w:styleId="6">
    <w:name w:val="heading 6"/>
    <w:basedOn w:val="a"/>
    <w:next w:val="a"/>
    <w:qFormat/>
    <w:rsid w:val="00035EA3"/>
    <w:pPr>
      <w:keepNext/>
      <w:keepLines/>
      <w:numPr>
        <w:ilvl w:val="5"/>
        <w:numId w:val="2"/>
      </w:numPr>
      <w:spacing w:before="240" w:after="64" w:line="320" w:lineRule="auto"/>
      <w:outlineLvl w:val="5"/>
    </w:pPr>
    <w:rPr>
      <w:rFonts w:ascii="Arial" w:eastAsia="黑体" w:hAnsi="Arial"/>
      <w:b/>
      <w:bCs/>
      <w:sz w:val="24"/>
    </w:rPr>
  </w:style>
  <w:style w:type="paragraph" w:styleId="7">
    <w:name w:val="heading 7"/>
    <w:basedOn w:val="a"/>
    <w:next w:val="a"/>
    <w:qFormat/>
    <w:rsid w:val="00035EA3"/>
    <w:pPr>
      <w:keepNext/>
      <w:keepLines/>
      <w:numPr>
        <w:ilvl w:val="6"/>
        <w:numId w:val="2"/>
      </w:numPr>
      <w:spacing w:before="240" w:after="64" w:line="320" w:lineRule="auto"/>
      <w:outlineLvl w:val="6"/>
    </w:pPr>
    <w:rPr>
      <w:b/>
      <w:bCs/>
      <w:sz w:val="24"/>
    </w:rPr>
  </w:style>
  <w:style w:type="paragraph" w:styleId="8">
    <w:name w:val="heading 8"/>
    <w:basedOn w:val="a"/>
    <w:next w:val="a"/>
    <w:qFormat/>
    <w:rsid w:val="00035EA3"/>
    <w:pPr>
      <w:keepNext/>
      <w:keepLines/>
      <w:numPr>
        <w:ilvl w:val="7"/>
        <w:numId w:val="2"/>
      </w:numPr>
      <w:spacing w:before="240" w:after="64" w:line="320" w:lineRule="auto"/>
      <w:outlineLvl w:val="7"/>
    </w:pPr>
    <w:rPr>
      <w:rFonts w:ascii="Arial" w:eastAsia="黑体" w:hAnsi="Arial"/>
      <w:sz w:val="24"/>
    </w:rPr>
  </w:style>
  <w:style w:type="paragraph" w:styleId="9">
    <w:name w:val="heading 9"/>
    <w:basedOn w:val="a"/>
    <w:next w:val="a"/>
    <w:qFormat/>
    <w:rsid w:val="00035EA3"/>
    <w:pPr>
      <w:keepNext/>
      <w:keepLines/>
      <w:numPr>
        <w:ilvl w:val="8"/>
        <w:numId w:val="2"/>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1"/>
    <w:next w:val="2"/>
    <w:link w:val="1Char0"/>
    <w:qFormat/>
    <w:rsid w:val="00035EA3"/>
  </w:style>
  <w:style w:type="paragraph" w:styleId="a3">
    <w:name w:val="Document Map"/>
    <w:basedOn w:val="a"/>
    <w:semiHidden/>
    <w:qFormat/>
    <w:rsid w:val="00035EA3"/>
    <w:pPr>
      <w:shd w:val="clear" w:color="auto" w:fill="000080"/>
    </w:pPr>
  </w:style>
  <w:style w:type="paragraph" w:styleId="a4">
    <w:name w:val="annotation text"/>
    <w:basedOn w:val="a"/>
    <w:link w:val="Char"/>
    <w:qFormat/>
    <w:rsid w:val="00035EA3"/>
    <w:pPr>
      <w:jc w:val="left"/>
    </w:pPr>
  </w:style>
  <w:style w:type="paragraph" w:styleId="30">
    <w:name w:val="toc 3"/>
    <w:next w:val="a"/>
    <w:uiPriority w:val="39"/>
    <w:unhideWhenUsed/>
    <w:qFormat/>
    <w:rsid w:val="00035EA3"/>
    <w:pPr>
      <w:spacing w:after="100"/>
      <w:ind w:left="440"/>
    </w:pPr>
  </w:style>
  <w:style w:type="paragraph" w:styleId="a5">
    <w:name w:val="Balloon Text"/>
    <w:link w:val="Char0"/>
    <w:uiPriority w:val="99"/>
    <w:semiHidden/>
    <w:unhideWhenUsed/>
    <w:qFormat/>
    <w:rsid w:val="00035EA3"/>
    <w:rPr>
      <w:rFonts w:ascii="Tahoma" w:hAnsi="Tahoma" w:cs="Tahoma"/>
      <w:sz w:val="16"/>
      <w:szCs w:val="16"/>
    </w:rPr>
  </w:style>
  <w:style w:type="paragraph" w:styleId="a6">
    <w:name w:val="footer"/>
    <w:basedOn w:val="a"/>
    <w:link w:val="Char1"/>
    <w:qFormat/>
    <w:rsid w:val="00035EA3"/>
    <w:pPr>
      <w:tabs>
        <w:tab w:val="center" w:pos="4153"/>
        <w:tab w:val="right" w:pos="8306"/>
      </w:tabs>
      <w:snapToGrid w:val="0"/>
      <w:jc w:val="left"/>
    </w:pPr>
    <w:rPr>
      <w:sz w:val="18"/>
      <w:szCs w:val="18"/>
      <w:lang w:val="zh-CN"/>
    </w:rPr>
  </w:style>
  <w:style w:type="paragraph" w:styleId="a7">
    <w:name w:val="header"/>
    <w:basedOn w:val="a"/>
    <w:link w:val="Char2"/>
    <w:qFormat/>
    <w:rsid w:val="00035EA3"/>
    <w:pPr>
      <w:pBdr>
        <w:bottom w:val="single" w:sz="6" w:space="1" w:color="auto"/>
      </w:pBdr>
      <w:tabs>
        <w:tab w:val="center" w:pos="4153"/>
        <w:tab w:val="right" w:pos="8306"/>
      </w:tabs>
      <w:snapToGrid w:val="0"/>
      <w:jc w:val="center"/>
    </w:pPr>
    <w:rPr>
      <w:sz w:val="18"/>
      <w:szCs w:val="18"/>
      <w:lang w:val="zh-CN"/>
    </w:rPr>
  </w:style>
  <w:style w:type="paragraph" w:styleId="11">
    <w:name w:val="toc 1"/>
    <w:next w:val="a"/>
    <w:uiPriority w:val="39"/>
    <w:unhideWhenUsed/>
    <w:qFormat/>
    <w:rsid w:val="00035EA3"/>
    <w:pPr>
      <w:spacing w:after="100"/>
    </w:pPr>
  </w:style>
  <w:style w:type="paragraph" w:styleId="40">
    <w:name w:val="toc 4"/>
    <w:next w:val="a"/>
    <w:uiPriority w:val="39"/>
    <w:unhideWhenUsed/>
    <w:qFormat/>
    <w:rsid w:val="00035EA3"/>
    <w:pPr>
      <w:spacing w:after="100"/>
      <w:ind w:left="660"/>
    </w:pPr>
  </w:style>
  <w:style w:type="paragraph" w:styleId="a8">
    <w:name w:val="footnote text"/>
    <w:basedOn w:val="a"/>
    <w:qFormat/>
    <w:rsid w:val="00035EA3"/>
    <w:pPr>
      <w:snapToGrid w:val="0"/>
      <w:jc w:val="left"/>
    </w:pPr>
    <w:rPr>
      <w:sz w:val="18"/>
      <w:szCs w:val="20"/>
    </w:rPr>
  </w:style>
  <w:style w:type="paragraph" w:styleId="20">
    <w:name w:val="toc 2"/>
    <w:next w:val="a"/>
    <w:uiPriority w:val="39"/>
    <w:unhideWhenUsed/>
    <w:qFormat/>
    <w:rsid w:val="00035EA3"/>
    <w:pPr>
      <w:spacing w:after="100"/>
      <w:ind w:left="220"/>
    </w:pPr>
  </w:style>
  <w:style w:type="paragraph" w:styleId="a9">
    <w:name w:val="annotation subject"/>
    <w:basedOn w:val="a4"/>
    <w:next w:val="a4"/>
    <w:link w:val="Char3"/>
    <w:qFormat/>
    <w:rsid w:val="00035EA3"/>
    <w:rPr>
      <w:b/>
      <w:bCs/>
    </w:rPr>
  </w:style>
  <w:style w:type="table" w:styleId="aa">
    <w:name w:val="Table Grid"/>
    <w:basedOn w:val="a1"/>
    <w:qFormat/>
    <w:rsid w:val="00035EA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qFormat/>
    <w:rsid w:val="00035EA3"/>
    <w:rPr>
      <w:color w:val="0563C1" w:themeColor="hyperlink"/>
      <w:u w:val="single"/>
    </w:rPr>
  </w:style>
  <w:style w:type="character" w:styleId="ac">
    <w:name w:val="annotation reference"/>
    <w:basedOn w:val="a0"/>
    <w:qFormat/>
    <w:rsid w:val="00035EA3"/>
    <w:rPr>
      <w:sz w:val="21"/>
      <w:szCs w:val="21"/>
    </w:rPr>
  </w:style>
  <w:style w:type="character" w:styleId="ad">
    <w:name w:val="footnote reference"/>
    <w:qFormat/>
    <w:rsid w:val="00035EA3"/>
    <w:rPr>
      <w:vertAlign w:val="superscript"/>
    </w:rPr>
  </w:style>
  <w:style w:type="paragraph" w:customStyle="1" w:styleId="Char4">
    <w:name w:val="Char"/>
    <w:basedOn w:val="a"/>
    <w:qFormat/>
    <w:rsid w:val="00035EA3"/>
  </w:style>
  <w:style w:type="character" w:customStyle="1" w:styleId="Char2">
    <w:name w:val="页眉 Char"/>
    <w:link w:val="a7"/>
    <w:qFormat/>
    <w:rsid w:val="00035EA3"/>
    <w:rPr>
      <w:kern w:val="2"/>
      <w:sz w:val="18"/>
      <w:szCs w:val="18"/>
    </w:rPr>
  </w:style>
  <w:style w:type="character" w:customStyle="1" w:styleId="Char1">
    <w:name w:val="页脚 Char"/>
    <w:link w:val="a6"/>
    <w:qFormat/>
    <w:rsid w:val="00035EA3"/>
    <w:rPr>
      <w:kern w:val="2"/>
      <w:sz w:val="18"/>
      <w:szCs w:val="18"/>
    </w:rPr>
  </w:style>
  <w:style w:type="character" w:customStyle="1" w:styleId="1Char">
    <w:name w:val="标题 1 Char"/>
    <w:link w:val="1"/>
    <w:qFormat/>
    <w:rsid w:val="00035EA3"/>
    <w:rPr>
      <w:b/>
      <w:bCs/>
      <w:kern w:val="44"/>
      <w:sz w:val="28"/>
      <w:szCs w:val="24"/>
      <w:lang w:val="zh-CN" w:eastAsia="zh-CN"/>
    </w:rPr>
  </w:style>
  <w:style w:type="character" w:customStyle="1" w:styleId="1Char0">
    <w:name w:val="样式1 Char"/>
    <w:basedOn w:val="1Char"/>
    <w:link w:val="10"/>
    <w:qFormat/>
    <w:rsid w:val="00035EA3"/>
    <w:rPr>
      <w:kern w:val="44"/>
      <w:sz w:val="28"/>
      <w:szCs w:val="24"/>
      <w:lang w:val="zh-CN" w:eastAsia="zh-CN"/>
    </w:rPr>
  </w:style>
  <w:style w:type="character" w:styleId="ae">
    <w:name w:val="Placeholder Text"/>
    <w:basedOn w:val="a0"/>
    <w:uiPriority w:val="99"/>
    <w:semiHidden/>
    <w:qFormat/>
    <w:rsid w:val="00035EA3"/>
    <w:rPr>
      <w:color w:val="808080"/>
    </w:rPr>
  </w:style>
  <w:style w:type="paragraph" w:customStyle="1" w:styleId="TOC1">
    <w:name w:val="TOC 标题1"/>
    <w:uiPriority w:val="39"/>
    <w:semiHidden/>
    <w:unhideWhenUsed/>
    <w:qFormat/>
    <w:rsid w:val="00035EA3"/>
    <w:rPr>
      <w:lang w:eastAsia="ja-JP"/>
    </w:rPr>
  </w:style>
  <w:style w:type="character" w:customStyle="1" w:styleId="Char0">
    <w:name w:val="批注框文本 Char"/>
    <w:link w:val="a5"/>
    <w:uiPriority w:val="99"/>
    <w:semiHidden/>
    <w:qFormat/>
    <w:rsid w:val="00035EA3"/>
    <w:rPr>
      <w:rFonts w:ascii="Tahoma" w:hAnsi="Tahoma" w:cs="Tahoma"/>
      <w:sz w:val="16"/>
      <w:szCs w:val="16"/>
    </w:rPr>
  </w:style>
  <w:style w:type="character" w:customStyle="1" w:styleId="Char">
    <w:name w:val="批注文字 Char"/>
    <w:basedOn w:val="a0"/>
    <w:link w:val="a4"/>
    <w:qFormat/>
    <w:rsid w:val="00035EA3"/>
    <w:rPr>
      <w:kern w:val="2"/>
      <w:sz w:val="21"/>
      <w:szCs w:val="24"/>
    </w:rPr>
  </w:style>
  <w:style w:type="character" w:customStyle="1" w:styleId="Char3">
    <w:name w:val="批注主题 Char"/>
    <w:basedOn w:val="Char"/>
    <w:link w:val="a9"/>
    <w:qFormat/>
    <w:rsid w:val="00035EA3"/>
    <w:rPr>
      <w:b/>
      <w:bCs/>
      <w:kern w:val="2"/>
      <w:sz w:val="21"/>
      <w:szCs w:val="24"/>
    </w:rPr>
  </w:style>
  <w:style w:type="paragraph" w:customStyle="1" w:styleId="Default">
    <w:name w:val="Default"/>
    <w:qFormat/>
    <w:rsid w:val="00035EA3"/>
    <w:pPr>
      <w:widowControl w:val="0"/>
      <w:autoSpaceDE w:val="0"/>
      <w:autoSpaceDN w:val="0"/>
      <w:adjustRightInd w:val="0"/>
    </w:pPr>
    <w:rPr>
      <w:rFonts w:ascii="宋体" w:cs="宋体"/>
      <w:color w:val="000000"/>
      <w:sz w:val="24"/>
      <w:szCs w:val="24"/>
    </w:rPr>
  </w:style>
  <w:style w:type="character" w:customStyle="1" w:styleId="2Char">
    <w:name w:val="标题 2 Char"/>
    <w:basedOn w:val="a0"/>
    <w:link w:val="2"/>
    <w:qFormat/>
    <w:rsid w:val="00035EA3"/>
    <w:rPr>
      <w:b/>
      <w:bCs/>
      <w:kern w:val="44"/>
      <w:sz w:val="28"/>
      <w:szCs w:val="24"/>
      <w:lang w:val="zh-CN" w:eastAsia="zh-CN"/>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22522;&#37329;&#24320;&#25918;&#26085;&#24120;&#19994;&#21153;&#20844;&#21578;)_LS0000_&#20844;&#21215;&#20020;&#26102;&#20844;&#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共同基金_临时公告(基金开放日常业务公告)_LS0000_公募临时公告.dotx</Template>
  <TotalTime>0</TotalTime>
  <Pages>3</Pages>
  <Words>633</Words>
  <Characters>3611</Characters>
  <Application>Microsoft Office Word</Application>
  <DocSecurity>4</DocSecurity>
  <Lines>30</Lines>
  <Paragraphs>8</Paragraphs>
  <ScaleCrop>false</ScaleCrop>
  <Company>fullgoal</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基金开放日常申购（、赎回、转换、定期定额投资）业务公告</dc:title>
  <dc:creator>bianliya</dc:creator>
  <cp:lastModifiedBy>ZHONGM</cp:lastModifiedBy>
  <cp:revision>2</cp:revision>
  <dcterms:created xsi:type="dcterms:W3CDTF">2026-01-26T16:01:00Z</dcterms:created>
  <dcterms:modified xsi:type="dcterms:W3CDTF">2026-01-26T16:01:00Z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EE18272D23494C18BC3E242C5C4FDFC5</vt:lpwstr>
  </property>
  <property fmtid="{D5CDD505-2E9C-101B-9397-08002B2CF9AE}" pid="4" name="KSOTemplateDocerSaveRecord">
    <vt:lpwstr>eyJoZGlkIjoiMjEwNzU4NjYzODM2MzYzYzM4MTc0ZWU1M2ZiYjZkYWIiLCJ1c2VySWQiOiIzNDAxMTI0MjMifQ==</vt:lpwstr>
  </property>
</Properties>
</file>