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ED1" w:rsidRDefault="00274FB7">
      <w:pPr>
        <w:tabs>
          <w:tab w:val="right" w:leader="dot" w:pos="9080"/>
        </w:tabs>
        <w:jc w:val="center"/>
        <w:rPr>
          <w:rFonts w:ascii="宋体" w:hAnsi="宋体" w:cs="宋体"/>
          <w:b/>
          <w:bCs/>
          <w:sz w:val="28"/>
          <w:szCs w:val="28"/>
        </w:rPr>
      </w:pPr>
      <w:r>
        <w:rPr>
          <w:rFonts w:ascii="宋体" w:hAnsi="宋体" w:cs="宋体" w:hint="eastAsia"/>
          <w:b/>
          <w:bCs/>
          <w:sz w:val="28"/>
          <w:szCs w:val="28"/>
        </w:rPr>
        <w:t>长江中证全指指数增强型发起式证券投资基金</w:t>
      </w:r>
    </w:p>
    <w:p w:rsidR="005A5ED1" w:rsidRDefault="00274FB7">
      <w:pPr>
        <w:tabs>
          <w:tab w:val="right" w:leader="dot" w:pos="9080"/>
        </w:tabs>
        <w:jc w:val="center"/>
        <w:rPr>
          <w:rFonts w:ascii="宋体" w:hAnsi="宋体" w:cs="宋体"/>
          <w:b/>
          <w:bCs/>
          <w:sz w:val="28"/>
          <w:szCs w:val="28"/>
        </w:rPr>
      </w:pPr>
      <w:r>
        <w:rPr>
          <w:rFonts w:ascii="宋体" w:hAnsi="宋体" w:cs="宋体" w:hint="eastAsia"/>
          <w:b/>
          <w:bCs/>
          <w:sz w:val="28"/>
          <w:szCs w:val="28"/>
        </w:rPr>
        <w:t>开放日常申购、赎回、定期定额投资业务公告</w:t>
      </w:r>
    </w:p>
    <w:p w:rsidR="005A5ED1" w:rsidRDefault="00274FB7">
      <w:pPr>
        <w:jc w:val="center"/>
        <w:rPr>
          <w:rFonts w:ascii="宋体" w:hAnsi="宋体"/>
          <w:sz w:val="24"/>
          <w:szCs w:val="24"/>
        </w:rPr>
      </w:pPr>
      <w:r>
        <w:rPr>
          <w:rFonts w:ascii="宋体" w:hAnsi="宋体" w:cs="宋体" w:hint="eastAsia"/>
          <w:sz w:val="24"/>
          <w:szCs w:val="24"/>
        </w:rPr>
        <w:t>公告送出日期</w:t>
      </w:r>
      <w:r>
        <w:rPr>
          <w:rFonts w:ascii="宋体" w:hAnsi="宋体" w:cs="宋体" w:hint="eastAsia"/>
          <w:sz w:val="24"/>
          <w:szCs w:val="24"/>
        </w:rPr>
        <w:t>:</w:t>
      </w:r>
      <w:r>
        <w:rPr>
          <w:rFonts w:ascii="宋体" w:hAnsi="宋体" w:cs="宋体"/>
          <w:sz w:val="24"/>
        </w:rPr>
        <w:t>2026</w:t>
      </w:r>
      <w:r>
        <w:rPr>
          <w:rFonts w:ascii="宋体" w:hAnsi="宋体" w:cs="宋体"/>
          <w:sz w:val="24"/>
        </w:rPr>
        <w:t>年</w:t>
      </w:r>
      <w:r>
        <w:rPr>
          <w:rFonts w:ascii="宋体" w:hAnsi="宋体" w:cs="宋体"/>
          <w:sz w:val="24"/>
        </w:rPr>
        <w:t>01</w:t>
      </w:r>
      <w:r>
        <w:rPr>
          <w:rFonts w:ascii="宋体" w:hAnsi="宋体" w:cs="宋体"/>
          <w:sz w:val="24"/>
        </w:rPr>
        <w:t>月</w:t>
      </w:r>
      <w:r>
        <w:rPr>
          <w:rFonts w:ascii="宋体" w:hAnsi="宋体" w:cs="宋体"/>
          <w:sz w:val="24"/>
        </w:rPr>
        <w:t>27</w:t>
      </w:r>
      <w:r>
        <w:rPr>
          <w:rFonts w:ascii="宋体" w:hAnsi="宋体" w:cs="宋体"/>
          <w:sz w:val="24"/>
        </w:rPr>
        <w:t>日</w:t>
      </w:r>
    </w:p>
    <w:p w:rsidR="005A5ED1" w:rsidRDefault="005A5ED1"/>
    <w:p w:rsidR="005A5ED1" w:rsidRDefault="00274FB7" w:rsidP="00274FB7">
      <w:pPr>
        <w:pStyle w:val="1"/>
        <w:spacing w:beforeLines="50" w:afterLines="50" w:line="360" w:lineRule="auto"/>
        <w:jc w:val="left"/>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3157"/>
        <w:gridCol w:w="3272"/>
      </w:tblGrid>
      <w:tr w:rsidR="005A5ED1">
        <w:tc>
          <w:tcPr>
            <w:tcW w:w="1538" w:type="pct"/>
            <w:vAlign w:val="center"/>
          </w:tcPr>
          <w:p w:rsidR="005A5ED1" w:rsidRDefault="00274FB7">
            <w:pPr>
              <w:spacing w:line="240" w:lineRule="auto"/>
              <w:jc w:val="left"/>
            </w:pPr>
            <w:r>
              <w:rPr>
                <w:rFonts w:ascii="宋体" w:hAnsi="宋体" w:cs="宋体"/>
              </w:rPr>
              <w:t>基金名称</w:t>
            </w:r>
          </w:p>
        </w:tc>
        <w:tc>
          <w:tcPr>
            <w:tcW w:w="3462" w:type="pct"/>
            <w:gridSpan w:val="2"/>
            <w:vAlign w:val="center"/>
          </w:tcPr>
          <w:p w:rsidR="005A5ED1" w:rsidRDefault="00274FB7">
            <w:pPr>
              <w:spacing w:line="240" w:lineRule="auto"/>
              <w:jc w:val="left"/>
            </w:pPr>
            <w:r>
              <w:rPr>
                <w:rFonts w:ascii="宋体" w:hAnsi="宋体" w:cs="宋体"/>
              </w:rPr>
              <w:t>长江中证全指指数增强型发起式证券投资基金</w:t>
            </w:r>
          </w:p>
        </w:tc>
      </w:tr>
      <w:tr w:rsidR="005A5ED1">
        <w:tc>
          <w:tcPr>
            <w:tcW w:w="0" w:type="dxa"/>
            <w:vAlign w:val="center"/>
          </w:tcPr>
          <w:p w:rsidR="005A5ED1" w:rsidRDefault="00274FB7">
            <w:pPr>
              <w:spacing w:line="240" w:lineRule="auto"/>
              <w:jc w:val="left"/>
            </w:pPr>
            <w:r>
              <w:rPr>
                <w:rFonts w:ascii="宋体" w:hAnsi="宋体" w:cs="宋体"/>
              </w:rPr>
              <w:t>基金简称</w:t>
            </w:r>
          </w:p>
        </w:tc>
        <w:tc>
          <w:tcPr>
            <w:tcW w:w="0" w:type="dxa"/>
            <w:gridSpan w:val="2"/>
            <w:vAlign w:val="center"/>
          </w:tcPr>
          <w:p w:rsidR="005A5ED1" w:rsidRDefault="00274FB7">
            <w:pPr>
              <w:spacing w:line="240" w:lineRule="auto"/>
              <w:jc w:val="left"/>
            </w:pPr>
            <w:r>
              <w:rPr>
                <w:rFonts w:ascii="宋体" w:hAnsi="宋体" w:cs="宋体"/>
              </w:rPr>
              <w:t>长江中证全指指数增强发起</w:t>
            </w:r>
          </w:p>
        </w:tc>
      </w:tr>
      <w:tr w:rsidR="005A5ED1">
        <w:tc>
          <w:tcPr>
            <w:tcW w:w="0" w:type="dxa"/>
            <w:vAlign w:val="center"/>
          </w:tcPr>
          <w:p w:rsidR="005A5ED1" w:rsidRDefault="00274FB7">
            <w:pPr>
              <w:spacing w:line="240" w:lineRule="auto"/>
              <w:jc w:val="left"/>
            </w:pPr>
            <w:r>
              <w:rPr>
                <w:rFonts w:ascii="宋体" w:hAnsi="宋体" w:cs="宋体"/>
              </w:rPr>
              <w:t>基金主代码</w:t>
            </w:r>
          </w:p>
        </w:tc>
        <w:tc>
          <w:tcPr>
            <w:tcW w:w="0" w:type="dxa"/>
            <w:gridSpan w:val="2"/>
            <w:vAlign w:val="center"/>
          </w:tcPr>
          <w:p w:rsidR="005A5ED1" w:rsidRDefault="00274FB7">
            <w:pPr>
              <w:spacing w:line="240" w:lineRule="auto"/>
              <w:jc w:val="left"/>
            </w:pPr>
            <w:r>
              <w:rPr>
                <w:rFonts w:ascii="宋体" w:hAnsi="宋体" w:cs="宋体"/>
              </w:rPr>
              <w:t>026183</w:t>
            </w:r>
          </w:p>
        </w:tc>
      </w:tr>
      <w:tr w:rsidR="005A5ED1">
        <w:tc>
          <w:tcPr>
            <w:tcW w:w="0" w:type="dxa"/>
            <w:vAlign w:val="center"/>
          </w:tcPr>
          <w:p w:rsidR="005A5ED1" w:rsidRDefault="00274FB7">
            <w:pPr>
              <w:spacing w:line="240" w:lineRule="auto"/>
              <w:jc w:val="left"/>
            </w:pPr>
            <w:r>
              <w:rPr>
                <w:rFonts w:ascii="宋体" w:hAnsi="宋体" w:cs="宋体"/>
              </w:rPr>
              <w:t>基金运作方式</w:t>
            </w:r>
          </w:p>
        </w:tc>
        <w:tc>
          <w:tcPr>
            <w:tcW w:w="0" w:type="dxa"/>
            <w:gridSpan w:val="2"/>
            <w:vAlign w:val="center"/>
          </w:tcPr>
          <w:p w:rsidR="005A5ED1" w:rsidRDefault="00274FB7">
            <w:pPr>
              <w:spacing w:line="240" w:lineRule="auto"/>
              <w:jc w:val="left"/>
            </w:pPr>
            <w:r>
              <w:rPr>
                <w:rFonts w:ascii="宋体" w:hAnsi="宋体" w:cs="宋体"/>
              </w:rPr>
              <w:t>契约型开放式</w:t>
            </w:r>
          </w:p>
        </w:tc>
      </w:tr>
      <w:tr w:rsidR="005A5ED1">
        <w:tc>
          <w:tcPr>
            <w:tcW w:w="0" w:type="dxa"/>
            <w:vAlign w:val="center"/>
          </w:tcPr>
          <w:p w:rsidR="005A5ED1" w:rsidRDefault="00274FB7">
            <w:pPr>
              <w:spacing w:line="240" w:lineRule="auto"/>
              <w:jc w:val="left"/>
            </w:pPr>
            <w:r>
              <w:rPr>
                <w:rFonts w:ascii="宋体" w:hAnsi="宋体" w:cs="宋体"/>
              </w:rPr>
              <w:t>基金合同生效日</w:t>
            </w:r>
          </w:p>
        </w:tc>
        <w:tc>
          <w:tcPr>
            <w:tcW w:w="0" w:type="dxa"/>
            <w:gridSpan w:val="2"/>
            <w:vAlign w:val="center"/>
          </w:tcPr>
          <w:p w:rsidR="005A5ED1" w:rsidRDefault="00274FB7">
            <w:pPr>
              <w:spacing w:line="240" w:lineRule="auto"/>
              <w:jc w:val="lef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29</w:t>
            </w:r>
            <w:r>
              <w:rPr>
                <w:rFonts w:ascii="宋体" w:hAnsi="宋体" w:cs="宋体"/>
              </w:rPr>
              <w:t>日</w:t>
            </w:r>
          </w:p>
        </w:tc>
      </w:tr>
      <w:tr w:rsidR="005A5ED1">
        <w:tc>
          <w:tcPr>
            <w:tcW w:w="0" w:type="dxa"/>
            <w:vAlign w:val="center"/>
          </w:tcPr>
          <w:p w:rsidR="005A5ED1" w:rsidRDefault="00274FB7">
            <w:pPr>
              <w:spacing w:line="240" w:lineRule="auto"/>
              <w:jc w:val="left"/>
            </w:pPr>
            <w:r>
              <w:rPr>
                <w:rFonts w:ascii="宋体" w:hAnsi="宋体" w:cs="宋体"/>
              </w:rPr>
              <w:t>基金管理人名称</w:t>
            </w:r>
          </w:p>
        </w:tc>
        <w:tc>
          <w:tcPr>
            <w:tcW w:w="0" w:type="dxa"/>
            <w:gridSpan w:val="2"/>
            <w:vAlign w:val="center"/>
          </w:tcPr>
          <w:p w:rsidR="005A5ED1" w:rsidRDefault="00274FB7">
            <w:pPr>
              <w:spacing w:line="240" w:lineRule="auto"/>
              <w:jc w:val="left"/>
            </w:pPr>
            <w:r>
              <w:rPr>
                <w:rFonts w:ascii="宋体" w:hAnsi="宋体" w:cs="宋体"/>
              </w:rPr>
              <w:t>长江证券（上海）资产管理有限公司</w:t>
            </w:r>
          </w:p>
        </w:tc>
      </w:tr>
      <w:tr w:rsidR="005A5ED1">
        <w:tc>
          <w:tcPr>
            <w:tcW w:w="0" w:type="dxa"/>
            <w:vAlign w:val="center"/>
          </w:tcPr>
          <w:p w:rsidR="005A5ED1" w:rsidRDefault="00274FB7">
            <w:pPr>
              <w:spacing w:line="240" w:lineRule="auto"/>
              <w:jc w:val="left"/>
            </w:pPr>
            <w:r>
              <w:rPr>
                <w:rFonts w:ascii="宋体" w:hAnsi="宋体" w:cs="宋体"/>
              </w:rPr>
              <w:t>基金托管人名称</w:t>
            </w:r>
          </w:p>
        </w:tc>
        <w:tc>
          <w:tcPr>
            <w:tcW w:w="0" w:type="dxa"/>
            <w:gridSpan w:val="2"/>
            <w:vAlign w:val="center"/>
          </w:tcPr>
          <w:p w:rsidR="005A5ED1" w:rsidRDefault="00274FB7">
            <w:pPr>
              <w:spacing w:line="240" w:lineRule="auto"/>
              <w:jc w:val="left"/>
            </w:pPr>
            <w:r>
              <w:rPr>
                <w:rFonts w:ascii="宋体" w:hAnsi="宋体" w:cs="宋体"/>
              </w:rPr>
              <w:t>平安银行股份有限公司</w:t>
            </w:r>
          </w:p>
        </w:tc>
      </w:tr>
      <w:tr w:rsidR="005A5ED1">
        <w:tc>
          <w:tcPr>
            <w:tcW w:w="0" w:type="dxa"/>
            <w:vAlign w:val="center"/>
          </w:tcPr>
          <w:p w:rsidR="005A5ED1" w:rsidRDefault="00274FB7">
            <w:pPr>
              <w:spacing w:line="240" w:lineRule="auto"/>
              <w:jc w:val="left"/>
            </w:pPr>
            <w:r>
              <w:rPr>
                <w:rFonts w:ascii="宋体" w:hAnsi="宋体" w:cs="宋体"/>
              </w:rPr>
              <w:t>基金注册登记机构名称</w:t>
            </w:r>
          </w:p>
        </w:tc>
        <w:tc>
          <w:tcPr>
            <w:tcW w:w="0" w:type="dxa"/>
            <w:gridSpan w:val="2"/>
            <w:vAlign w:val="center"/>
          </w:tcPr>
          <w:p w:rsidR="005A5ED1" w:rsidRDefault="00274FB7">
            <w:pPr>
              <w:spacing w:line="240" w:lineRule="auto"/>
              <w:jc w:val="left"/>
            </w:pPr>
            <w:r>
              <w:rPr>
                <w:rFonts w:ascii="宋体" w:hAnsi="宋体" w:cs="宋体"/>
              </w:rPr>
              <w:t>长江证券（上海）资产管理有限公司</w:t>
            </w:r>
          </w:p>
        </w:tc>
      </w:tr>
      <w:tr w:rsidR="005A5ED1">
        <w:tc>
          <w:tcPr>
            <w:tcW w:w="0" w:type="dxa"/>
            <w:vAlign w:val="center"/>
          </w:tcPr>
          <w:p w:rsidR="005A5ED1" w:rsidRDefault="00274FB7">
            <w:pPr>
              <w:spacing w:line="240" w:lineRule="auto"/>
              <w:jc w:val="left"/>
            </w:pPr>
            <w:r>
              <w:rPr>
                <w:rFonts w:ascii="宋体" w:hAnsi="宋体" w:cs="宋体"/>
              </w:rPr>
              <w:t>公告依据</w:t>
            </w:r>
          </w:p>
        </w:tc>
        <w:tc>
          <w:tcPr>
            <w:tcW w:w="0" w:type="dxa"/>
            <w:gridSpan w:val="2"/>
            <w:vAlign w:val="center"/>
          </w:tcPr>
          <w:p w:rsidR="005A5ED1" w:rsidRDefault="00274FB7">
            <w:pPr>
              <w:spacing w:line="240" w:lineRule="auto"/>
              <w:jc w:val="left"/>
            </w:pPr>
            <w:r>
              <w:rPr>
                <w:rFonts w:ascii="宋体" w:hAnsi="宋体" w:cs="宋体"/>
              </w:rPr>
              <w:t>根据《中华人民共和国证券投资基金法》、《公开募集证券投资基金信息披露管理办法》、《长江中证全指指数增强型发起式证券投资基金基金合同》和《长江中证全指指数增强型发起式证券投资基金招募说明书》等有关规定。</w:t>
            </w:r>
          </w:p>
        </w:tc>
      </w:tr>
      <w:tr w:rsidR="005A5ED1">
        <w:tc>
          <w:tcPr>
            <w:tcW w:w="0" w:type="dxa"/>
            <w:vAlign w:val="center"/>
          </w:tcPr>
          <w:p w:rsidR="005A5ED1" w:rsidRDefault="00274FB7">
            <w:pPr>
              <w:spacing w:line="240" w:lineRule="auto"/>
              <w:jc w:val="left"/>
            </w:pPr>
            <w:r>
              <w:rPr>
                <w:rFonts w:ascii="宋体" w:hAnsi="宋体" w:cs="宋体"/>
              </w:rPr>
              <w:t>申购起始日</w:t>
            </w:r>
          </w:p>
        </w:tc>
        <w:tc>
          <w:tcPr>
            <w:tcW w:w="0" w:type="dxa"/>
            <w:gridSpan w:val="2"/>
            <w:vAlign w:val="center"/>
          </w:tcPr>
          <w:p w:rsidR="005A5ED1" w:rsidRDefault="00274FB7">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29</w:t>
            </w:r>
            <w:r>
              <w:rPr>
                <w:rFonts w:ascii="宋体" w:hAnsi="宋体" w:cs="宋体"/>
              </w:rPr>
              <w:t>日</w:t>
            </w:r>
          </w:p>
        </w:tc>
      </w:tr>
      <w:tr w:rsidR="005A5ED1">
        <w:tc>
          <w:tcPr>
            <w:tcW w:w="0" w:type="dxa"/>
            <w:vAlign w:val="center"/>
          </w:tcPr>
          <w:p w:rsidR="005A5ED1" w:rsidRDefault="00274FB7">
            <w:pPr>
              <w:spacing w:line="240" w:lineRule="auto"/>
              <w:jc w:val="left"/>
            </w:pPr>
            <w:r>
              <w:rPr>
                <w:rFonts w:ascii="宋体" w:hAnsi="宋体" w:cs="宋体"/>
              </w:rPr>
              <w:t>赎回起始日</w:t>
            </w:r>
          </w:p>
        </w:tc>
        <w:tc>
          <w:tcPr>
            <w:tcW w:w="0" w:type="dxa"/>
            <w:gridSpan w:val="2"/>
            <w:vAlign w:val="center"/>
          </w:tcPr>
          <w:p w:rsidR="005A5ED1" w:rsidRDefault="00274FB7">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29</w:t>
            </w:r>
            <w:r>
              <w:rPr>
                <w:rFonts w:ascii="宋体" w:hAnsi="宋体" w:cs="宋体"/>
              </w:rPr>
              <w:t>日</w:t>
            </w:r>
          </w:p>
        </w:tc>
      </w:tr>
      <w:tr w:rsidR="005A5ED1">
        <w:tc>
          <w:tcPr>
            <w:tcW w:w="0" w:type="dxa"/>
            <w:vAlign w:val="center"/>
          </w:tcPr>
          <w:p w:rsidR="005A5ED1" w:rsidRDefault="00274FB7">
            <w:pPr>
              <w:spacing w:line="240" w:lineRule="auto"/>
              <w:jc w:val="left"/>
            </w:pPr>
            <w:r>
              <w:rPr>
                <w:rFonts w:ascii="宋体" w:hAnsi="宋体" w:cs="宋体"/>
              </w:rPr>
              <w:t>定期定额投资起始日</w:t>
            </w:r>
          </w:p>
        </w:tc>
        <w:tc>
          <w:tcPr>
            <w:tcW w:w="0" w:type="dxa"/>
            <w:gridSpan w:val="2"/>
            <w:vAlign w:val="center"/>
          </w:tcPr>
          <w:p w:rsidR="005A5ED1" w:rsidRDefault="00274FB7">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29</w:t>
            </w:r>
            <w:r>
              <w:rPr>
                <w:rFonts w:ascii="宋体" w:hAnsi="宋体" w:cs="宋体"/>
              </w:rPr>
              <w:t>日</w:t>
            </w:r>
          </w:p>
        </w:tc>
      </w:tr>
      <w:tr w:rsidR="005A5ED1">
        <w:tc>
          <w:tcPr>
            <w:tcW w:w="1538" w:type="pct"/>
            <w:vAlign w:val="center"/>
          </w:tcPr>
          <w:p w:rsidR="005A5ED1" w:rsidRDefault="00274FB7">
            <w:pPr>
              <w:spacing w:line="240" w:lineRule="auto"/>
              <w:jc w:val="left"/>
            </w:pPr>
            <w:r>
              <w:rPr>
                <w:rFonts w:ascii="宋体" w:hAnsi="宋体" w:cs="宋体"/>
              </w:rPr>
              <w:t>下属分级基金的基金简称</w:t>
            </w:r>
          </w:p>
        </w:tc>
        <w:tc>
          <w:tcPr>
            <w:tcW w:w="1700" w:type="pct"/>
            <w:vAlign w:val="center"/>
          </w:tcPr>
          <w:p w:rsidR="005A5ED1" w:rsidRDefault="00274FB7">
            <w:pPr>
              <w:spacing w:line="240" w:lineRule="auto"/>
              <w:jc w:val="left"/>
            </w:pPr>
            <w:r>
              <w:rPr>
                <w:rFonts w:ascii="宋体" w:hAnsi="宋体" w:cs="宋体"/>
              </w:rPr>
              <w:t>长江中证全指指数增强发起</w:t>
            </w:r>
            <w:r>
              <w:rPr>
                <w:rFonts w:ascii="宋体" w:hAnsi="宋体" w:cs="宋体"/>
              </w:rPr>
              <w:t>A</w:t>
            </w:r>
          </w:p>
        </w:tc>
        <w:tc>
          <w:tcPr>
            <w:tcW w:w="1700" w:type="pct"/>
            <w:vAlign w:val="center"/>
          </w:tcPr>
          <w:p w:rsidR="005A5ED1" w:rsidRDefault="00274FB7">
            <w:pPr>
              <w:spacing w:line="240" w:lineRule="auto"/>
              <w:jc w:val="left"/>
            </w:pPr>
            <w:r>
              <w:rPr>
                <w:rFonts w:ascii="宋体" w:hAnsi="宋体" w:cs="宋体"/>
              </w:rPr>
              <w:t>长江中证全指指数增强发起</w:t>
            </w:r>
            <w:r>
              <w:rPr>
                <w:rFonts w:ascii="宋体" w:hAnsi="宋体" w:cs="宋体"/>
              </w:rPr>
              <w:t>C</w:t>
            </w:r>
          </w:p>
        </w:tc>
      </w:tr>
      <w:tr w:rsidR="005A5ED1">
        <w:tc>
          <w:tcPr>
            <w:tcW w:w="0" w:type="dxa"/>
            <w:vAlign w:val="center"/>
          </w:tcPr>
          <w:p w:rsidR="005A5ED1" w:rsidRDefault="00274FB7">
            <w:pPr>
              <w:spacing w:line="240" w:lineRule="auto"/>
              <w:jc w:val="left"/>
            </w:pPr>
            <w:r>
              <w:rPr>
                <w:rFonts w:ascii="宋体" w:hAnsi="宋体" w:cs="宋体"/>
              </w:rPr>
              <w:t>下属分级基金的交易代码</w:t>
            </w:r>
          </w:p>
        </w:tc>
        <w:tc>
          <w:tcPr>
            <w:tcW w:w="1700" w:type="pct"/>
            <w:vAlign w:val="center"/>
          </w:tcPr>
          <w:p w:rsidR="005A5ED1" w:rsidRDefault="00274FB7">
            <w:pPr>
              <w:spacing w:line="240" w:lineRule="auto"/>
              <w:jc w:val="left"/>
            </w:pPr>
            <w:r>
              <w:rPr>
                <w:rFonts w:ascii="宋体" w:hAnsi="宋体" w:cs="宋体"/>
              </w:rPr>
              <w:t>026183</w:t>
            </w:r>
          </w:p>
        </w:tc>
        <w:tc>
          <w:tcPr>
            <w:tcW w:w="1700" w:type="pct"/>
            <w:vAlign w:val="center"/>
          </w:tcPr>
          <w:p w:rsidR="005A5ED1" w:rsidRDefault="00274FB7">
            <w:pPr>
              <w:spacing w:line="240" w:lineRule="auto"/>
              <w:jc w:val="left"/>
            </w:pPr>
            <w:r>
              <w:rPr>
                <w:rFonts w:ascii="宋体" w:hAnsi="宋体" w:cs="宋体"/>
              </w:rPr>
              <w:t>026184</w:t>
            </w:r>
          </w:p>
        </w:tc>
      </w:tr>
      <w:tr w:rsidR="005A5ED1">
        <w:tc>
          <w:tcPr>
            <w:tcW w:w="0" w:type="dxa"/>
            <w:vAlign w:val="center"/>
          </w:tcPr>
          <w:p w:rsidR="005A5ED1" w:rsidRDefault="00274FB7">
            <w:pPr>
              <w:spacing w:line="240" w:lineRule="auto"/>
              <w:jc w:val="left"/>
            </w:pPr>
            <w:r>
              <w:rPr>
                <w:rFonts w:ascii="宋体" w:hAnsi="宋体" w:cs="宋体"/>
              </w:rPr>
              <w:t>该分级基金是否开放申购、赎回、定期定额投资</w:t>
            </w:r>
          </w:p>
        </w:tc>
        <w:tc>
          <w:tcPr>
            <w:tcW w:w="1700" w:type="pct"/>
            <w:vAlign w:val="center"/>
          </w:tcPr>
          <w:p w:rsidR="005A5ED1" w:rsidRDefault="00274FB7">
            <w:pPr>
              <w:spacing w:line="240" w:lineRule="auto"/>
              <w:jc w:val="left"/>
            </w:pPr>
            <w:r>
              <w:rPr>
                <w:rFonts w:ascii="宋体" w:hAnsi="宋体" w:cs="宋体" w:hint="eastAsia"/>
              </w:rPr>
              <w:t>是</w:t>
            </w:r>
          </w:p>
        </w:tc>
        <w:tc>
          <w:tcPr>
            <w:tcW w:w="1700" w:type="pct"/>
            <w:vAlign w:val="center"/>
          </w:tcPr>
          <w:p w:rsidR="005A5ED1" w:rsidRDefault="00274FB7">
            <w:pPr>
              <w:spacing w:line="240" w:lineRule="auto"/>
              <w:jc w:val="left"/>
            </w:pPr>
            <w:r>
              <w:rPr>
                <w:rFonts w:ascii="宋体" w:hAnsi="宋体" w:cs="宋体" w:hint="eastAsia"/>
              </w:rPr>
              <w:t>是</w:t>
            </w:r>
          </w:p>
        </w:tc>
      </w:tr>
    </w:tbl>
    <w:p w:rsidR="005A5ED1" w:rsidRDefault="00274FB7">
      <w:pPr>
        <w:jc w:val="left"/>
      </w:pPr>
      <w:r>
        <w:rPr>
          <w:rFonts w:ascii="宋体" w:hAnsi="宋体" w:cs="宋体"/>
        </w:rPr>
        <w:t>注：长江中证全指指数增强型发起式证券投资基金以下简称</w:t>
      </w:r>
      <w:r>
        <w:rPr>
          <w:rFonts w:ascii="宋体" w:hAnsi="宋体" w:cs="宋体"/>
        </w:rPr>
        <w:t>“</w:t>
      </w:r>
      <w:r>
        <w:rPr>
          <w:rFonts w:ascii="宋体" w:hAnsi="宋体" w:cs="宋体"/>
        </w:rPr>
        <w:t>本基金</w:t>
      </w:r>
      <w:r>
        <w:rPr>
          <w:rFonts w:ascii="宋体" w:hAnsi="宋体" w:cs="宋体"/>
        </w:rPr>
        <w:t>”</w:t>
      </w:r>
      <w:r>
        <w:rPr>
          <w:rFonts w:ascii="宋体" w:hAnsi="宋体" w:cs="宋体"/>
        </w:rPr>
        <w:t>。</w:t>
      </w:r>
    </w:p>
    <w:p w:rsidR="005A5ED1" w:rsidRDefault="00274FB7" w:rsidP="00274FB7">
      <w:pPr>
        <w:pStyle w:val="1"/>
        <w:spacing w:beforeLines="50" w:afterLines="50" w:line="360" w:lineRule="auto"/>
        <w:jc w:val="left"/>
        <w:rPr>
          <w:rFonts w:ascii="宋体" w:hAnsi="宋体" w:cs="宋体"/>
        </w:rPr>
      </w:pPr>
      <w:r>
        <w:rPr>
          <w:rFonts w:ascii="宋体" w:hAnsi="宋体" w:cs="宋体"/>
        </w:rPr>
        <w:t xml:space="preserve">2 </w:t>
      </w:r>
      <w:r>
        <w:rPr>
          <w:rFonts w:ascii="宋体" w:hAnsi="宋体" w:cs="宋体"/>
        </w:rPr>
        <w:t>日常申购、赎回、定期定额投资业务的办理时间</w:t>
      </w:r>
    </w:p>
    <w:p w:rsidR="005A5ED1" w:rsidRDefault="00274FB7">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）自</w:t>
      </w:r>
      <w:r>
        <w:rPr>
          <w:rFonts w:ascii="宋体" w:hAnsi="宋体" w:cs="宋体"/>
        </w:rPr>
        <w:t>2026</w:t>
      </w:r>
      <w:r>
        <w:rPr>
          <w:rFonts w:ascii="宋体" w:hAnsi="宋体" w:cs="宋体"/>
        </w:rPr>
        <w:t>年</w:t>
      </w:r>
      <w:r>
        <w:rPr>
          <w:rFonts w:ascii="宋体" w:hAnsi="宋体" w:cs="宋体"/>
        </w:rPr>
        <w:t>1</w:t>
      </w:r>
      <w:r>
        <w:rPr>
          <w:rFonts w:ascii="宋体" w:hAnsi="宋体" w:cs="宋体"/>
        </w:rPr>
        <w:t>月</w:t>
      </w:r>
      <w:r>
        <w:rPr>
          <w:rFonts w:ascii="宋体" w:hAnsi="宋体" w:cs="宋体"/>
        </w:rPr>
        <w:t>29</w:t>
      </w:r>
      <w:r>
        <w:rPr>
          <w:rFonts w:ascii="宋体" w:hAnsi="宋体" w:cs="宋体"/>
        </w:rPr>
        <w:t>日起，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开放申购、赎回业务，具体以届时发布的公告为准），但基金管理人根据法律法规、中国证监会的要求或基金合同的规定公告暂停申购、赎回时除外。</w:t>
      </w:r>
      <w:r>
        <w:rPr>
          <w:rFonts w:ascii="宋体" w:hAnsi="宋体" w:cs="宋体"/>
        </w:rPr>
        <w:cr/>
      </w:r>
      <w:r>
        <w:rPr>
          <w:rFonts w:ascii="宋体" w:hAnsi="宋体" w:cs="宋体"/>
        </w:rPr>
        <w:t xml:space="preserve">    </w:t>
      </w:r>
      <w:r>
        <w:rPr>
          <w:rFonts w:ascii="宋体" w:hAnsi="宋体" w:cs="宋体"/>
        </w:rPr>
        <w:t>基金合同生效后，若出现新的证券</w:t>
      </w:r>
      <w:r>
        <w:rPr>
          <w:rFonts w:ascii="宋体" w:hAnsi="宋体" w:cs="宋体"/>
        </w:rPr>
        <w:t>/</w:t>
      </w:r>
      <w:r>
        <w:rPr>
          <w:rFonts w:ascii="宋体" w:hAnsi="宋体" w:cs="宋体"/>
        </w:rPr>
        <w:t>期货交易市场、证券</w:t>
      </w:r>
      <w:r>
        <w:rPr>
          <w:rFonts w:ascii="宋体" w:hAnsi="宋体" w:cs="宋体"/>
        </w:rPr>
        <w:t>/</w:t>
      </w:r>
      <w:r>
        <w:rPr>
          <w:rFonts w:ascii="宋体" w:hAnsi="宋体" w:cs="宋体"/>
        </w:rPr>
        <w:t>期货交易所交易时间变更、其他特殊情况或根据业务需要，基金管理人将视情况对前述开放日及开放时间进行相应的调整，但应在实施日前依照《公开募集证券投资基金信息披露管理办法》的有关规定在规定媒介上公告。</w:t>
      </w:r>
      <w:r>
        <w:rPr>
          <w:rFonts w:ascii="宋体" w:hAnsi="宋体" w:cs="宋体"/>
        </w:rPr>
        <w:cr/>
        <w:t xml:space="preserve">    </w:t>
      </w:r>
      <w:r>
        <w:rPr>
          <w:rFonts w:ascii="宋体" w:hAnsi="宋体" w:cs="宋体"/>
        </w:rPr>
        <w:t>基金管理人不得在基金合同约定之外的日期或者时间办理基金份额的申购、赎回。投资人在基</w:t>
      </w:r>
      <w:r>
        <w:rPr>
          <w:rFonts w:ascii="宋体" w:hAnsi="宋体" w:cs="宋体"/>
        </w:rPr>
        <w:lastRenderedPageBreak/>
        <w:t>金合同约定之外的日期和时间提出申购、赎回申请且登记机构确认接受的，其基金份额申购、赎回价格为下一开放日该类别基金份额申购、赎回的价格。</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）自</w:t>
      </w:r>
      <w:r>
        <w:rPr>
          <w:rFonts w:ascii="宋体" w:hAnsi="宋体" w:cs="宋体"/>
        </w:rPr>
        <w:t>2026</w:t>
      </w:r>
      <w:r>
        <w:rPr>
          <w:rFonts w:ascii="宋体" w:hAnsi="宋体" w:cs="宋体"/>
        </w:rPr>
        <w:t>年</w:t>
      </w:r>
      <w:r>
        <w:rPr>
          <w:rFonts w:ascii="宋体" w:hAnsi="宋体" w:cs="宋体"/>
        </w:rPr>
        <w:t>1</w:t>
      </w:r>
      <w:r>
        <w:rPr>
          <w:rFonts w:ascii="宋体" w:hAnsi="宋体" w:cs="宋体"/>
        </w:rPr>
        <w:t>月</w:t>
      </w:r>
      <w:r>
        <w:rPr>
          <w:rFonts w:ascii="宋体" w:hAnsi="宋体" w:cs="宋体"/>
        </w:rPr>
        <w:t>29</w:t>
      </w:r>
      <w:r>
        <w:rPr>
          <w:rFonts w:ascii="宋体" w:hAnsi="宋体" w:cs="宋体"/>
        </w:rPr>
        <w:t>日起，投资者可办理本基金的定期定额投资业务。定期定额投资业务的办理时间与本基金日常申购业务办理时间相同。</w:t>
      </w:r>
    </w:p>
    <w:p w:rsidR="005A5ED1" w:rsidRDefault="00274FB7" w:rsidP="00274FB7">
      <w:pPr>
        <w:pStyle w:val="1"/>
        <w:spacing w:beforeLines="50" w:afterLines="50" w:line="360" w:lineRule="auto"/>
        <w:jc w:val="left"/>
        <w:rPr>
          <w:rFonts w:ascii="宋体" w:hAnsi="宋体" w:cs="宋体"/>
        </w:rPr>
      </w:pPr>
      <w:r>
        <w:rPr>
          <w:rFonts w:ascii="宋体" w:hAnsi="宋体" w:cs="宋体"/>
        </w:rPr>
        <w:t xml:space="preserve">3 </w:t>
      </w:r>
      <w:r>
        <w:rPr>
          <w:rFonts w:ascii="宋体" w:hAnsi="宋体" w:cs="宋体"/>
        </w:rPr>
        <w:t>日常申购业务</w:t>
      </w:r>
    </w:p>
    <w:p w:rsidR="005A5ED1" w:rsidRDefault="00274FB7">
      <w:pPr>
        <w:pStyle w:val="2"/>
      </w:pPr>
      <w:r>
        <w:rPr>
          <w:rFonts w:ascii="宋体" w:hAnsi="宋体" w:cs="宋体"/>
        </w:rPr>
        <w:t xml:space="preserve">3.1 </w:t>
      </w:r>
      <w:r>
        <w:rPr>
          <w:rFonts w:ascii="宋体" w:hAnsi="宋体" w:cs="宋体"/>
        </w:rPr>
        <w:t>申购金额限制</w:t>
      </w:r>
    </w:p>
    <w:p w:rsidR="005A5ED1" w:rsidRDefault="00274FB7">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）投资人通过销售机构申购本基金基金份额单笔最低金额为人民币</w:t>
      </w:r>
      <w:r>
        <w:rPr>
          <w:rFonts w:ascii="宋体" w:hAnsi="宋体" w:cs="宋体"/>
        </w:rPr>
        <w:t>10</w:t>
      </w:r>
      <w:r>
        <w:rPr>
          <w:rFonts w:ascii="宋体" w:hAnsi="宋体" w:cs="宋体"/>
        </w:rPr>
        <w:t>元（含申购费），追加申购单笔最低金额为</w:t>
      </w:r>
      <w:r>
        <w:rPr>
          <w:rFonts w:ascii="宋体" w:hAnsi="宋体" w:cs="宋体"/>
        </w:rPr>
        <w:t>1</w:t>
      </w:r>
      <w:r>
        <w:rPr>
          <w:rFonts w:ascii="宋体" w:hAnsi="宋体" w:cs="宋体"/>
        </w:rPr>
        <w:t>元。各销售机构对本基金最低申购金额及交易级差有其他规定的，以各销售机构的业务规定为准，投资人需遵循销售机构的相关规定。</w:t>
      </w:r>
      <w:r>
        <w:rPr>
          <w:rFonts w:ascii="宋体" w:hAnsi="宋体" w:cs="宋体"/>
        </w:rPr>
        <w:cr/>
        <w:t xml:space="preserve">    </w:t>
      </w:r>
      <w:r>
        <w:rPr>
          <w:rFonts w:ascii="宋体" w:hAnsi="宋体" w:cs="宋体"/>
        </w:rPr>
        <w:t>通过基金管理人的直销柜台首次申购本基金基金份额的最低金额为人民币</w:t>
      </w:r>
      <w:r>
        <w:rPr>
          <w:rFonts w:ascii="宋体" w:hAnsi="宋体" w:cs="宋体" w:hint="eastAsia"/>
        </w:rPr>
        <w:t>1</w:t>
      </w:r>
      <w:r>
        <w:rPr>
          <w:rFonts w:ascii="宋体" w:hAnsi="宋体" w:cs="宋体"/>
        </w:rPr>
        <w:t>,000</w:t>
      </w:r>
      <w:r>
        <w:rPr>
          <w:rFonts w:ascii="宋体" w:hAnsi="宋体" w:cs="宋体"/>
        </w:rPr>
        <w:t>元（含申购费），追加申购单笔最低金额为</w:t>
      </w:r>
      <w:r>
        <w:rPr>
          <w:rFonts w:ascii="宋体" w:hAnsi="宋体" w:cs="宋体"/>
        </w:rPr>
        <w:t>1,00</w:t>
      </w:r>
      <w:r>
        <w:rPr>
          <w:rFonts w:ascii="宋体" w:hAnsi="宋体" w:cs="宋体"/>
        </w:rPr>
        <w:t>0</w:t>
      </w:r>
      <w:r>
        <w:rPr>
          <w:rFonts w:ascii="宋体" w:hAnsi="宋体" w:cs="宋体"/>
        </w:rPr>
        <w:t>元，不设级差限制。通过基金管理人的网上交易系统首次申购本基金基金份额的最低金额为人民币</w:t>
      </w:r>
      <w:r>
        <w:rPr>
          <w:rFonts w:ascii="宋体" w:hAnsi="宋体" w:cs="宋体"/>
        </w:rPr>
        <w:t>10</w:t>
      </w:r>
      <w:r>
        <w:rPr>
          <w:rFonts w:ascii="宋体" w:hAnsi="宋体" w:cs="宋体"/>
        </w:rPr>
        <w:t>元（含申购费），追加申购单笔最低金额为</w:t>
      </w:r>
      <w:r>
        <w:rPr>
          <w:rFonts w:ascii="宋体" w:hAnsi="宋体" w:cs="宋体"/>
        </w:rPr>
        <w:t>1</w:t>
      </w:r>
      <w:r>
        <w:rPr>
          <w:rFonts w:ascii="宋体" w:hAnsi="宋体" w:cs="宋体"/>
        </w:rPr>
        <w:t>元，不设级差限制。其他销售机构的投资者欲转入直销柜台进行交易须受直销柜台最低申购金额的限制。</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）投资人当期分配的基金收益转为相应类别的基金份额时，不受最低申购金额的限制。基金管理人可根据市场情况，调整本基金首次申购的最低金额和追加申购的最低金额。</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）当接受申购申请对存量基金份额持有人利益构成潜在重大不利影响时，基金管理人应当采取设定单一投资者申购金额上限</w:t>
      </w:r>
      <w:r>
        <w:rPr>
          <w:rFonts w:ascii="宋体" w:hAnsi="宋体" w:cs="宋体"/>
        </w:rPr>
        <w:t>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）基金管理人可以设置单日累计申购金额</w:t>
      </w:r>
      <w:r>
        <w:rPr>
          <w:rFonts w:ascii="宋体" w:hAnsi="宋体" w:cs="宋体"/>
        </w:rPr>
        <w:t>/</w:t>
      </w:r>
      <w:r>
        <w:rPr>
          <w:rFonts w:ascii="宋体" w:hAnsi="宋体" w:cs="宋体"/>
        </w:rPr>
        <w:t>净申购金额上限、单个投资者累计持有的基金份额上限、单个账户单日累计申购金额</w:t>
      </w:r>
      <w:r>
        <w:rPr>
          <w:rFonts w:ascii="宋体" w:hAnsi="宋体" w:cs="宋体"/>
        </w:rPr>
        <w:t>/</w:t>
      </w:r>
      <w:r>
        <w:rPr>
          <w:rFonts w:ascii="宋体" w:hAnsi="宋体" w:cs="宋体"/>
        </w:rPr>
        <w:t>净申购金额上限、单笔申购金额上限，并</w:t>
      </w:r>
      <w:r>
        <w:rPr>
          <w:rFonts w:ascii="宋体" w:hAnsi="宋体" w:cs="宋体" w:hint="eastAsia"/>
        </w:rPr>
        <w:t>依照《</w:t>
      </w:r>
      <w:r>
        <w:rPr>
          <w:rFonts w:ascii="宋体" w:hAnsi="宋体" w:cs="宋体"/>
        </w:rPr>
        <w:t>公开募集证券投资基金信息披露管理办法</w:t>
      </w:r>
      <w:r>
        <w:rPr>
          <w:rFonts w:ascii="宋体" w:hAnsi="宋体" w:cs="宋体" w:hint="eastAsia"/>
        </w:rPr>
        <w:t>》的有关规定在规定媒介上公告</w:t>
      </w:r>
      <w:r>
        <w:rPr>
          <w:rFonts w:ascii="宋体" w:hAnsi="宋体" w:cs="宋体"/>
        </w:rPr>
        <w:t>。</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）基金管理人可在法律法规允许的情况下，调整上述规定申购金额的数量</w:t>
      </w:r>
      <w:r>
        <w:rPr>
          <w:rFonts w:ascii="宋体" w:hAnsi="宋体" w:cs="宋体"/>
        </w:rPr>
        <w:t>限制，或者新增基金规模控制措施。基金管理人必须在调整实施前依照《公开募集证券投资基金信息披露管理办法》的有关规定在规定媒介上公告。</w:t>
      </w:r>
    </w:p>
    <w:p w:rsidR="005A5ED1" w:rsidRDefault="005A5ED1"/>
    <w:p w:rsidR="005A5ED1" w:rsidRDefault="00274FB7">
      <w:pPr>
        <w:pStyle w:val="2"/>
      </w:pPr>
      <w:r>
        <w:rPr>
          <w:rFonts w:ascii="宋体" w:hAnsi="宋体" w:cs="宋体"/>
        </w:rPr>
        <w:t xml:space="preserve">3.2 </w:t>
      </w:r>
      <w:r>
        <w:rPr>
          <w:rFonts w:ascii="宋体" w:hAnsi="宋体" w:cs="宋体"/>
        </w:rPr>
        <w:t>申购费率</w:t>
      </w:r>
    </w:p>
    <w:p w:rsidR="005A5ED1" w:rsidRDefault="00274FB7">
      <w:r>
        <w:rPr>
          <w:rFonts w:ascii="宋体" w:hAnsi="宋体" w:cs="宋体"/>
        </w:rPr>
        <w:t xml:space="preserve">    </w:t>
      </w:r>
      <w:r>
        <w:rPr>
          <w:rFonts w:ascii="宋体" w:hAnsi="宋体" w:cs="宋体"/>
        </w:rPr>
        <w:t>（</w:t>
      </w:r>
      <w:r>
        <w:rPr>
          <w:rFonts w:ascii="宋体" w:hAnsi="宋体" w:cs="宋体"/>
        </w:rPr>
        <w:t>1</w:t>
      </w:r>
      <w:r>
        <w:rPr>
          <w:rFonts w:ascii="宋体" w:hAnsi="宋体" w:cs="宋体"/>
        </w:rPr>
        <w:t>）</w:t>
      </w:r>
      <w:r>
        <w:rPr>
          <w:rFonts w:ascii="宋体" w:hAnsi="宋体" w:cs="宋体"/>
        </w:rPr>
        <w:t>A</w:t>
      </w:r>
      <w:r>
        <w:rPr>
          <w:rFonts w:ascii="宋体" w:hAnsi="宋体" w:cs="宋体"/>
        </w:rPr>
        <w:t>类基金份额的申购费用由申购本基金</w:t>
      </w:r>
      <w:r>
        <w:rPr>
          <w:rFonts w:ascii="宋体" w:hAnsi="宋体" w:cs="宋体"/>
        </w:rPr>
        <w:t>A</w:t>
      </w:r>
      <w:r>
        <w:rPr>
          <w:rFonts w:ascii="宋体" w:hAnsi="宋体" w:cs="宋体"/>
        </w:rPr>
        <w:t>类基金份额的投资人承担，不列入基金财产，主要用于本基金的市场推广、销售、登记等各项费用。</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）申购费用</w:t>
      </w:r>
      <w:r>
        <w:rPr>
          <w:rFonts w:ascii="宋体" w:hAnsi="宋体" w:cs="宋体"/>
        </w:rPr>
        <w:cr/>
        <w:t xml:space="preserve">    </w:t>
      </w:r>
      <w:r>
        <w:rPr>
          <w:rFonts w:ascii="宋体" w:hAnsi="宋体" w:cs="宋体"/>
        </w:rPr>
        <w:t>本基金</w:t>
      </w:r>
      <w:r>
        <w:rPr>
          <w:rFonts w:ascii="宋体" w:hAnsi="宋体" w:cs="宋体"/>
        </w:rPr>
        <w:t>A</w:t>
      </w:r>
      <w:r>
        <w:rPr>
          <w:rFonts w:ascii="宋体" w:hAnsi="宋体" w:cs="宋体"/>
        </w:rPr>
        <w:t>类基金份额在申购时收取申购费，申购费率随申购金额的增加而递减。本基金</w:t>
      </w:r>
      <w:r>
        <w:rPr>
          <w:rFonts w:ascii="宋体" w:hAnsi="宋体" w:cs="宋体"/>
        </w:rPr>
        <w:t>C</w:t>
      </w:r>
      <w:r>
        <w:rPr>
          <w:rFonts w:ascii="宋体" w:hAnsi="宋体" w:cs="宋体"/>
        </w:rPr>
        <w:t>类基金份额不收取申购费用。</w:t>
      </w:r>
      <w:r>
        <w:rPr>
          <w:rFonts w:ascii="宋体" w:hAnsi="宋体" w:cs="宋体"/>
        </w:rPr>
        <w:cr/>
        <w:t xml:space="preserve">    </w:t>
      </w:r>
      <w:r>
        <w:rPr>
          <w:rFonts w:ascii="宋体" w:hAnsi="宋体" w:cs="宋体"/>
        </w:rPr>
        <w:t>本基金对通过基金管理人直销柜台申购本基金</w:t>
      </w:r>
      <w:r>
        <w:rPr>
          <w:rFonts w:ascii="宋体" w:hAnsi="宋体" w:cs="宋体"/>
        </w:rPr>
        <w:t>A</w:t>
      </w:r>
      <w:r>
        <w:rPr>
          <w:rFonts w:ascii="宋体" w:hAnsi="宋体" w:cs="宋体"/>
        </w:rPr>
        <w:t>类基金份额的特定投资群体与除此之</w:t>
      </w:r>
      <w:r>
        <w:rPr>
          <w:rFonts w:ascii="宋体" w:hAnsi="宋体" w:cs="宋体"/>
        </w:rPr>
        <w:t>外的其他投资者实施差别化的申购费率。</w:t>
      </w:r>
      <w:r>
        <w:rPr>
          <w:rFonts w:ascii="宋体" w:hAnsi="宋体" w:cs="宋体"/>
        </w:rPr>
        <w:cr/>
        <w:t xml:space="preserve">    </w:t>
      </w:r>
      <w:r>
        <w:rPr>
          <w:rFonts w:ascii="宋体" w:hAnsi="宋体" w:cs="宋体"/>
        </w:rPr>
        <w:t>特定投资群体指全国社会保障基金、基本养老保险基金、可以投资基金的地方社会保障基金、</w:t>
      </w:r>
      <w:r>
        <w:rPr>
          <w:rFonts w:ascii="宋体" w:hAnsi="宋体" w:cs="宋体"/>
        </w:rPr>
        <w:lastRenderedPageBreak/>
        <w:t>企业年金基金、职业年金基金，以及个人税收递延型商业养老保险、养老目标证券投资基金等。如将来出现经养老基金监管部门认可的新的养老基金类型，基金管理人可将其纳入特定投资群体范围。非特定投资群体指除特定投资群体外的其他投资人。</w:t>
      </w:r>
      <w:r>
        <w:rPr>
          <w:rFonts w:ascii="宋体" w:hAnsi="宋体" w:cs="宋体"/>
        </w:rPr>
        <w:cr/>
        <w:t xml:space="preserve">    </w:t>
      </w:r>
      <w:r>
        <w:rPr>
          <w:rFonts w:ascii="宋体" w:hAnsi="宋体" w:cs="宋体"/>
        </w:rPr>
        <w:t>通过基金管理人的直销柜台申购本基金</w:t>
      </w:r>
      <w:r>
        <w:rPr>
          <w:rFonts w:ascii="宋体" w:hAnsi="宋体" w:cs="宋体"/>
        </w:rPr>
        <w:t>A</w:t>
      </w:r>
      <w:r>
        <w:rPr>
          <w:rFonts w:ascii="宋体" w:hAnsi="宋体" w:cs="宋体"/>
        </w:rPr>
        <w:t>类基金份额的特定投资群体适用下表特定申购费率，申购本基金</w:t>
      </w:r>
      <w:r>
        <w:rPr>
          <w:rFonts w:ascii="宋体" w:hAnsi="宋体" w:cs="宋体"/>
        </w:rPr>
        <w:t>A</w:t>
      </w:r>
      <w:r>
        <w:rPr>
          <w:rFonts w:ascii="宋体" w:hAnsi="宋体" w:cs="宋体"/>
        </w:rPr>
        <w:t>类基金份额的其他投资人适用下表一般申购费率。</w:t>
      </w:r>
      <w:r>
        <w:rPr>
          <w:rFonts w:ascii="宋体" w:hAnsi="宋体" w:cs="宋体"/>
        </w:rPr>
        <w:cr/>
        <w:t xml:space="preserve">    </w:t>
      </w:r>
      <w:r>
        <w:rPr>
          <w:rFonts w:ascii="宋体" w:hAnsi="宋体" w:cs="宋体"/>
        </w:rPr>
        <w:t>本基金</w:t>
      </w:r>
      <w:r>
        <w:rPr>
          <w:rFonts w:ascii="宋体" w:hAnsi="宋体" w:cs="宋体"/>
        </w:rPr>
        <w:t>A</w:t>
      </w:r>
      <w:r>
        <w:rPr>
          <w:rFonts w:ascii="宋体" w:hAnsi="宋体" w:cs="宋体"/>
        </w:rPr>
        <w:t>类基金份额的申购费用采取前端收费模式（即申购基金时缴纳申购费），申购费率如下：</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4"/>
        <w:gridCol w:w="2964"/>
        <w:gridCol w:w="2964"/>
      </w:tblGrid>
      <w:tr w:rsidR="005A5ED1">
        <w:trPr>
          <w:jc w:val="center"/>
        </w:trPr>
        <w:tc>
          <w:tcPr>
            <w:tcW w:w="1806" w:type="pct"/>
          </w:tcPr>
          <w:p w:rsidR="005A5ED1" w:rsidRDefault="00274FB7">
            <w:pPr>
              <w:tabs>
                <w:tab w:val="left" w:pos="2436"/>
              </w:tabs>
              <w:snapToGrid w:val="0"/>
              <w:spacing w:line="360" w:lineRule="auto"/>
              <w:jc w:val="center"/>
              <w:rPr>
                <w:rFonts w:ascii="宋体" w:hAnsi="宋体" w:cs="宋体"/>
                <w:kern w:val="0"/>
              </w:rPr>
            </w:pPr>
            <w:bookmarkStart w:id="0" w:name="_Hlk192083801"/>
            <w:r>
              <w:rPr>
                <w:rFonts w:ascii="宋体" w:hAnsi="宋体" w:cs="宋体" w:hint="eastAsia"/>
                <w:kern w:val="0"/>
              </w:rPr>
              <w:t>申购金额（</w:t>
            </w:r>
            <w:r>
              <w:rPr>
                <w:rFonts w:ascii="宋体" w:hAnsi="宋体" w:cs="宋体" w:hint="eastAsia"/>
                <w:kern w:val="0"/>
              </w:rPr>
              <w:t>M</w:t>
            </w:r>
            <w:r>
              <w:rPr>
                <w:rFonts w:ascii="宋体" w:hAnsi="宋体" w:cs="宋体" w:hint="eastAsia"/>
                <w:kern w:val="0"/>
              </w:rPr>
              <w:t>）</w:t>
            </w:r>
          </w:p>
        </w:tc>
        <w:tc>
          <w:tcPr>
            <w:tcW w:w="159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一般申购费率</w:t>
            </w:r>
          </w:p>
        </w:tc>
        <w:tc>
          <w:tcPr>
            <w:tcW w:w="159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特定申购费率</w:t>
            </w:r>
          </w:p>
        </w:tc>
      </w:tr>
      <w:tr w:rsidR="005A5ED1">
        <w:trPr>
          <w:jc w:val="center"/>
        </w:trPr>
        <w:tc>
          <w:tcPr>
            <w:tcW w:w="180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M</w:t>
            </w:r>
            <w:r>
              <w:rPr>
                <w:rFonts w:ascii="宋体" w:hAnsi="宋体" w:cs="宋体" w:hint="eastAsia"/>
                <w:kern w:val="0"/>
              </w:rPr>
              <w:t>＜</w:t>
            </w:r>
            <w:r>
              <w:rPr>
                <w:rFonts w:ascii="宋体" w:hAnsi="宋体" w:cs="宋体" w:hint="eastAsia"/>
                <w:kern w:val="0"/>
              </w:rPr>
              <w:t>100</w:t>
            </w:r>
            <w:r>
              <w:rPr>
                <w:rFonts w:ascii="宋体" w:hAnsi="宋体" w:cs="宋体" w:hint="eastAsia"/>
                <w:kern w:val="0"/>
              </w:rPr>
              <w:t>万</w:t>
            </w:r>
          </w:p>
        </w:tc>
        <w:tc>
          <w:tcPr>
            <w:tcW w:w="159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1.20%</w:t>
            </w:r>
          </w:p>
        </w:tc>
        <w:tc>
          <w:tcPr>
            <w:tcW w:w="159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0.12%</w:t>
            </w:r>
          </w:p>
        </w:tc>
      </w:tr>
      <w:tr w:rsidR="005A5ED1">
        <w:trPr>
          <w:jc w:val="center"/>
        </w:trPr>
        <w:tc>
          <w:tcPr>
            <w:tcW w:w="180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100</w:t>
            </w:r>
            <w:r>
              <w:rPr>
                <w:rFonts w:ascii="宋体" w:hAnsi="宋体" w:cs="宋体" w:hint="eastAsia"/>
                <w:kern w:val="0"/>
              </w:rPr>
              <w:t>万≤</w:t>
            </w:r>
            <w:r>
              <w:rPr>
                <w:rFonts w:ascii="宋体" w:hAnsi="宋体" w:cs="宋体" w:hint="eastAsia"/>
                <w:kern w:val="0"/>
              </w:rPr>
              <w:t>M</w:t>
            </w:r>
            <w:r>
              <w:rPr>
                <w:rFonts w:ascii="宋体" w:hAnsi="宋体" w:cs="宋体" w:hint="eastAsia"/>
                <w:kern w:val="0"/>
              </w:rPr>
              <w:t>＜</w:t>
            </w:r>
            <w:r>
              <w:rPr>
                <w:rFonts w:ascii="宋体" w:hAnsi="宋体" w:cs="宋体" w:hint="eastAsia"/>
                <w:kern w:val="0"/>
              </w:rPr>
              <w:t>300</w:t>
            </w:r>
            <w:r>
              <w:rPr>
                <w:rFonts w:ascii="宋体" w:hAnsi="宋体" w:cs="宋体" w:hint="eastAsia"/>
                <w:kern w:val="0"/>
              </w:rPr>
              <w:t>万</w:t>
            </w:r>
          </w:p>
        </w:tc>
        <w:tc>
          <w:tcPr>
            <w:tcW w:w="159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0.80%</w:t>
            </w:r>
          </w:p>
        </w:tc>
        <w:tc>
          <w:tcPr>
            <w:tcW w:w="159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0.08%</w:t>
            </w:r>
          </w:p>
        </w:tc>
      </w:tr>
      <w:tr w:rsidR="005A5ED1">
        <w:trPr>
          <w:jc w:val="center"/>
        </w:trPr>
        <w:tc>
          <w:tcPr>
            <w:tcW w:w="180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300</w:t>
            </w:r>
            <w:r>
              <w:rPr>
                <w:rFonts w:ascii="宋体" w:hAnsi="宋体" w:cs="宋体" w:hint="eastAsia"/>
                <w:kern w:val="0"/>
              </w:rPr>
              <w:t>万≤</w:t>
            </w:r>
            <w:r>
              <w:rPr>
                <w:rFonts w:ascii="宋体" w:hAnsi="宋体" w:cs="宋体" w:hint="eastAsia"/>
                <w:kern w:val="0"/>
              </w:rPr>
              <w:t>M</w:t>
            </w:r>
            <w:r>
              <w:rPr>
                <w:rFonts w:ascii="宋体" w:hAnsi="宋体" w:cs="宋体" w:hint="eastAsia"/>
                <w:kern w:val="0"/>
              </w:rPr>
              <w:t>＜</w:t>
            </w:r>
            <w:r>
              <w:rPr>
                <w:rFonts w:ascii="宋体" w:hAnsi="宋体" w:cs="宋体" w:hint="eastAsia"/>
                <w:kern w:val="0"/>
              </w:rPr>
              <w:t>500</w:t>
            </w:r>
            <w:r>
              <w:rPr>
                <w:rFonts w:ascii="宋体" w:hAnsi="宋体" w:cs="宋体" w:hint="eastAsia"/>
                <w:kern w:val="0"/>
              </w:rPr>
              <w:t>万</w:t>
            </w:r>
          </w:p>
        </w:tc>
        <w:tc>
          <w:tcPr>
            <w:tcW w:w="159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0.40%</w:t>
            </w:r>
          </w:p>
        </w:tc>
        <w:tc>
          <w:tcPr>
            <w:tcW w:w="159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0.04%</w:t>
            </w:r>
          </w:p>
        </w:tc>
      </w:tr>
      <w:tr w:rsidR="005A5ED1">
        <w:trPr>
          <w:jc w:val="center"/>
        </w:trPr>
        <w:tc>
          <w:tcPr>
            <w:tcW w:w="180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M</w:t>
            </w:r>
            <w:r>
              <w:rPr>
                <w:rFonts w:ascii="宋体" w:hAnsi="宋体" w:cs="宋体" w:hint="eastAsia"/>
                <w:kern w:val="0"/>
              </w:rPr>
              <w:t>≥</w:t>
            </w:r>
            <w:r>
              <w:rPr>
                <w:rFonts w:ascii="宋体" w:hAnsi="宋体" w:cs="宋体" w:hint="eastAsia"/>
                <w:kern w:val="0"/>
              </w:rPr>
              <w:t>500</w:t>
            </w:r>
            <w:r>
              <w:rPr>
                <w:rFonts w:ascii="宋体" w:hAnsi="宋体" w:cs="宋体" w:hint="eastAsia"/>
                <w:kern w:val="0"/>
              </w:rPr>
              <w:t>万</w:t>
            </w:r>
          </w:p>
        </w:tc>
        <w:tc>
          <w:tcPr>
            <w:tcW w:w="159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按笔收取，</w:t>
            </w:r>
            <w:r>
              <w:rPr>
                <w:rFonts w:ascii="宋体" w:hAnsi="宋体" w:cs="宋体" w:hint="eastAsia"/>
                <w:kern w:val="0"/>
              </w:rPr>
              <w:t>1,000</w:t>
            </w:r>
            <w:r>
              <w:rPr>
                <w:rFonts w:ascii="宋体" w:hAnsi="宋体" w:cs="宋体" w:hint="eastAsia"/>
                <w:kern w:val="0"/>
              </w:rPr>
              <w:t>元</w:t>
            </w:r>
            <w:r>
              <w:rPr>
                <w:rFonts w:ascii="宋体" w:hAnsi="宋体" w:cs="宋体" w:hint="eastAsia"/>
                <w:kern w:val="0"/>
              </w:rPr>
              <w:t>/</w:t>
            </w:r>
            <w:r>
              <w:rPr>
                <w:rFonts w:ascii="宋体" w:hAnsi="宋体" w:cs="宋体" w:hint="eastAsia"/>
                <w:kern w:val="0"/>
              </w:rPr>
              <w:t>笔</w:t>
            </w:r>
          </w:p>
        </w:tc>
        <w:tc>
          <w:tcPr>
            <w:tcW w:w="1596" w:type="pct"/>
          </w:tcPr>
          <w:p w:rsidR="005A5ED1" w:rsidRDefault="00274FB7">
            <w:pPr>
              <w:tabs>
                <w:tab w:val="left" w:pos="2436"/>
              </w:tabs>
              <w:snapToGrid w:val="0"/>
              <w:spacing w:line="360" w:lineRule="auto"/>
              <w:jc w:val="center"/>
              <w:rPr>
                <w:rFonts w:ascii="宋体" w:hAnsi="宋体" w:cs="宋体"/>
                <w:kern w:val="0"/>
              </w:rPr>
            </w:pPr>
            <w:r>
              <w:rPr>
                <w:rFonts w:ascii="宋体" w:hAnsi="宋体" w:cs="宋体" w:hint="eastAsia"/>
                <w:kern w:val="0"/>
              </w:rPr>
              <w:t>按笔收取，</w:t>
            </w:r>
            <w:r>
              <w:rPr>
                <w:rFonts w:ascii="宋体" w:hAnsi="宋体" w:cs="宋体" w:hint="eastAsia"/>
                <w:kern w:val="0"/>
              </w:rPr>
              <w:t>100</w:t>
            </w:r>
            <w:r>
              <w:rPr>
                <w:rFonts w:ascii="宋体" w:hAnsi="宋体" w:cs="宋体" w:hint="eastAsia"/>
                <w:kern w:val="0"/>
              </w:rPr>
              <w:t>元</w:t>
            </w:r>
            <w:r>
              <w:rPr>
                <w:rFonts w:ascii="宋体" w:hAnsi="宋体" w:cs="宋体" w:hint="eastAsia"/>
                <w:kern w:val="0"/>
              </w:rPr>
              <w:t>/</w:t>
            </w:r>
            <w:r>
              <w:rPr>
                <w:rFonts w:ascii="宋体" w:hAnsi="宋体" w:cs="宋体" w:hint="eastAsia"/>
                <w:kern w:val="0"/>
              </w:rPr>
              <w:t>笔</w:t>
            </w:r>
          </w:p>
        </w:tc>
      </w:tr>
    </w:tbl>
    <w:bookmarkEnd w:id="0"/>
    <w:p w:rsidR="005A5ED1" w:rsidRDefault="00274FB7">
      <w:pPr>
        <w:jc w:val="left"/>
      </w:pPr>
      <w:r>
        <w:rPr>
          <w:rFonts w:ascii="宋体" w:hAnsi="宋体" w:cs="宋体"/>
        </w:rPr>
        <w:t>投资人如果有多笔</w:t>
      </w:r>
      <w:r>
        <w:rPr>
          <w:rFonts w:ascii="宋体" w:hAnsi="宋体" w:cs="宋体"/>
        </w:rPr>
        <w:t>A</w:t>
      </w:r>
      <w:r>
        <w:rPr>
          <w:rFonts w:ascii="宋体" w:hAnsi="宋体" w:cs="宋体"/>
        </w:rPr>
        <w:t>类基金份额的申购，申购费按每笔</w:t>
      </w:r>
      <w:r>
        <w:rPr>
          <w:rFonts w:ascii="宋体" w:hAnsi="宋体" w:cs="宋体"/>
        </w:rPr>
        <w:t>A</w:t>
      </w:r>
      <w:r>
        <w:rPr>
          <w:rFonts w:ascii="宋体" w:hAnsi="宋体" w:cs="宋体"/>
        </w:rPr>
        <w:t>类基金份额申购申请单独计算。</w:t>
      </w:r>
    </w:p>
    <w:p w:rsidR="005A5ED1" w:rsidRDefault="005A5ED1"/>
    <w:p w:rsidR="005A5ED1" w:rsidRDefault="00274FB7">
      <w:pPr>
        <w:pStyle w:val="2"/>
      </w:pPr>
      <w:r>
        <w:rPr>
          <w:rFonts w:ascii="宋体" w:hAnsi="宋体" w:cs="宋体"/>
        </w:rPr>
        <w:t xml:space="preserve">3.3 </w:t>
      </w:r>
      <w:r>
        <w:rPr>
          <w:rFonts w:ascii="宋体" w:hAnsi="宋体" w:cs="宋体"/>
        </w:rPr>
        <w:t>其他与申购相关的事项</w:t>
      </w:r>
    </w:p>
    <w:p w:rsidR="005A5ED1" w:rsidRDefault="00274FB7">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）投资人必须根据销售机构规定的程序，在开放日的具体业务办理时间内提出申购的申请。投资人在提交申购申请时须按销售机构规定的方式备足申购资金，否则所提交的申购申请不成立。</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）投资人申购基金份额时，必须全额交付申购款项，投资人交付申购款项，申购成立；基金份额登记机构确认基金份额时，申购生效。</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）基金管理人应以开放日交易时间结束前受理有效申购申请的当天作为申购</w:t>
      </w:r>
      <w:bookmarkStart w:id="1" w:name="_GoBack"/>
      <w:bookmarkEnd w:id="1"/>
      <w:r>
        <w:rPr>
          <w:rFonts w:ascii="宋体" w:hAnsi="宋体" w:cs="宋体"/>
        </w:rPr>
        <w:t>申请日（</w:t>
      </w:r>
      <w:r>
        <w:rPr>
          <w:rFonts w:ascii="宋体" w:hAnsi="宋体" w:cs="宋体"/>
        </w:rPr>
        <w:t>T</w:t>
      </w:r>
      <w:r>
        <w:rPr>
          <w:rFonts w:ascii="宋体" w:hAnsi="宋体" w:cs="宋体"/>
        </w:rPr>
        <w:t>日），在正常情况下，本基金登记机构在</w:t>
      </w:r>
      <w:r>
        <w:rPr>
          <w:rFonts w:ascii="宋体" w:hAnsi="宋体" w:cs="宋体"/>
        </w:rPr>
        <w:t>T+1</w:t>
      </w:r>
      <w:r>
        <w:rPr>
          <w:rFonts w:ascii="宋体" w:hAnsi="宋体" w:cs="宋体"/>
        </w:rPr>
        <w:t>日内对该交易的有效性进行确认。</w:t>
      </w:r>
      <w:r>
        <w:rPr>
          <w:rFonts w:ascii="宋体" w:hAnsi="宋体" w:cs="宋体"/>
        </w:rPr>
        <w:t>T</w:t>
      </w:r>
      <w:r>
        <w:rPr>
          <w:rFonts w:ascii="宋体" w:hAnsi="宋体" w:cs="宋体"/>
        </w:rPr>
        <w:t>日提交的有效申请，投资人应在</w:t>
      </w:r>
      <w:r>
        <w:rPr>
          <w:rFonts w:ascii="宋体" w:hAnsi="宋体" w:cs="宋体"/>
        </w:rPr>
        <w:t>T+2</w:t>
      </w:r>
      <w:r>
        <w:rPr>
          <w:rFonts w:ascii="宋体" w:hAnsi="宋体" w:cs="宋体"/>
        </w:rPr>
        <w:t>日后</w:t>
      </w:r>
      <w:r>
        <w:rPr>
          <w:rFonts w:ascii="宋体" w:hAnsi="宋体" w:cs="宋体"/>
        </w:rPr>
        <w:t>（包括该日）及时到销售网点柜台或以销售机构规定的其他方式查询申请的确认情况。若申购不成功，则申购款项本金退还给投资人，基金管理人及基金托管人不承担该退回款项产生的利息等损失。因投资者未及时进行查询而造成的后果由投资者自行承担。</w:t>
      </w:r>
      <w:r>
        <w:rPr>
          <w:rFonts w:ascii="宋体" w:hAnsi="宋体" w:cs="宋体"/>
        </w:rPr>
        <w:cr/>
        <w:t xml:space="preserve">    </w:t>
      </w:r>
      <w:r>
        <w:rPr>
          <w:rFonts w:ascii="宋体" w:hAnsi="宋体" w:cs="宋体"/>
        </w:rPr>
        <w:t>基金销售机构对申购申请的受理并不代表申请一定成功，而仅代表销售机构确实接收到申请。申购的确认以登记机构的确认结果为准。对于申请的确认情况，投资人应及时查询并妥善行使合法权利。</w:t>
      </w:r>
      <w:r>
        <w:rPr>
          <w:rFonts w:ascii="宋体" w:hAnsi="宋体" w:cs="宋体"/>
        </w:rPr>
        <w:t xml:space="preserve"> </w:t>
      </w:r>
      <w:r>
        <w:rPr>
          <w:rFonts w:ascii="宋体" w:hAnsi="宋体" w:cs="宋体"/>
        </w:rPr>
        <w:cr/>
        <w:t xml:space="preserve">    </w:t>
      </w:r>
      <w:r>
        <w:rPr>
          <w:rFonts w:ascii="宋体" w:hAnsi="宋体" w:cs="宋体"/>
        </w:rPr>
        <w:t>基金管理人可在法律法规允许的情况下，对上述原则进行调整。基金管理人必须在新规则开始实施前依</w:t>
      </w:r>
      <w:r>
        <w:rPr>
          <w:rFonts w:ascii="宋体" w:hAnsi="宋体" w:cs="宋体"/>
        </w:rPr>
        <w:t>照《公开募集证券投资基金信息披露管理办法》的有关规定在规定媒介上公告。</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）基金管理人可以在基金合同约定的范围内调整费率或收费方式，并最迟应于新的费率或收费方式实施日前依照《公开募集证券投资基金信息披露管理办法》的有关规定在规定媒介上公告。</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基金管理人可以在不违反法律法规规定及基金合同约定且在对基金份额持有人利益无实质性不利影响的情形下根据市场情况制定基金促销计划，定期或不定期地开展基金促销活动。在基金促销活动期间，按相关监管部门要求履行必要手续后，基金管理人可以对基金销售费用实行一</w:t>
      </w:r>
      <w:r>
        <w:rPr>
          <w:rFonts w:ascii="宋体" w:hAnsi="宋体" w:cs="宋体"/>
        </w:rPr>
        <w:t>定的优惠。</w:t>
      </w:r>
      <w:r>
        <w:rPr>
          <w:rFonts w:ascii="宋体" w:hAnsi="宋体" w:cs="宋体"/>
        </w:rPr>
        <w:cr/>
        <w:t xml:space="preserve">    </w:t>
      </w:r>
      <w:r>
        <w:rPr>
          <w:rFonts w:ascii="宋体" w:hAnsi="宋体" w:cs="宋体"/>
        </w:rPr>
        <w:t>（</w:t>
      </w:r>
      <w:r>
        <w:rPr>
          <w:rFonts w:ascii="宋体" w:hAnsi="宋体" w:cs="宋体"/>
        </w:rPr>
        <w:t>6</w:t>
      </w:r>
      <w:r>
        <w:rPr>
          <w:rFonts w:ascii="宋体" w:hAnsi="宋体" w:cs="宋体"/>
        </w:rPr>
        <w:t>）当本基金发生大额申购情形时，基金管理人可以采用摆动定价机制，以确保基金估值的公平性。具体处理原则与操作规范遵循相关法律法规以及监管部门、自律规则的规定。</w:t>
      </w:r>
    </w:p>
    <w:p w:rsidR="005A5ED1" w:rsidRDefault="00274FB7" w:rsidP="00274FB7">
      <w:pPr>
        <w:pStyle w:val="1"/>
        <w:spacing w:beforeLines="50" w:afterLines="50" w:line="360" w:lineRule="auto"/>
        <w:jc w:val="left"/>
        <w:rPr>
          <w:rFonts w:ascii="宋体" w:hAnsi="宋体" w:cs="宋体"/>
        </w:rPr>
        <w:pPrChange w:id="2" w:author="ZHONGM" w:date="2026-01-27T00:01:00Z">
          <w:pPr>
            <w:pStyle w:val="1"/>
            <w:spacing w:beforeLines="50" w:afterLines="50" w:line="360" w:lineRule="auto"/>
            <w:jc w:val="left"/>
          </w:pPr>
        </w:pPrChange>
      </w:pPr>
      <w:r>
        <w:rPr>
          <w:rFonts w:ascii="宋体" w:hAnsi="宋体" w:cs="宋体"/>
        </w:rPr>
        <w:t xml:space="preserve">4 </w:t>
      </w:r>
      <w:r>
        <w:rPr>
          <w:rFonts w:ascii="宋体" w:hAnsi="宋体" w:cs="宋体"/>
        </w:rPr>
        <w:t>日常赎回业务</w:t>
      </w:r>
    </w:p>
    <w:p w:rsidR="005A5ED1" w:rsidRDefault="00274FB7">
      <w:pPr>
        <w:pStyle w:val="2"/>
      </w:pPr>
      <w:r>
        <w:rPr>
          <w:rFonts w:ascii="宋体" w:hAnsi="宋体" w:cs="宋体"/>
        </w:rPr>
        <w:t xml:space="preserve">4.1 </w:t>
      </w:r>
      <w:r>
        <w:rPr>
          <w:rFonts w:ascii="宋体" w:hAnsi="宋体" w:cs="宋体"/>
        </w:rPr>
        <w:t>赎回份额限制</w:t>
      </w:r>
    </w:p>
    <w:p w:rsidR="005A5ED1" w:rsidRDefault="00274FB7">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）投资者可将其全部或部分基金份额赎回。基金份额持有人在销售机构赎回时，每笔赎回申请的最低份额为</w:t>
      </w:r>
      <w:r>
        <w:rPr>
          <w:rFonts w:ascii="宋体" w:hAnsi="宋体" w:cs="宋体"/>
        </w:rPr>
        <w:t>10</w:t>
      </w:r>
      <w:r>
        <w:rPr>
          <w:rFonts w:ascii="宋体" w:hAnsi="宋体" w:cs="宋体"/>
        </w:rPr>
        <w:t>份（包含</w:t>
      </w:r>
      <w:r>
        <w:rPr>
          <w:rFonts w:ascii="宋体" w:hAnsi="宋体" w:cs="宋体"/>
        </w:rPr>
        <w:t>10</w:t>
      </w:r>
      <w:r>
        <w:rPr>
          <w:rFonts w:ascii="宋体" w:hAnsi="宋体" w:cs="宋体"/>
        </w:rPr>
        <w:t>份）基金份额，投资人全额赎回时不受上述限制。本基金份额持有人单个基金账户的最低份额余额为</w:t>
      </w:r>
      <w:r>
        <w:rPr>
          <w:rFonts w:ascii="宋体" w:hAnsi="宋体" w:cs="宋体"/>
        </w:rPr>
        <w:t>10</w:t>
      </w:r>
      <w:r>
        <w:rPr>
          <w:rFonts w:ascii="宋体" w:hAnsi="宋体" w:cs="宋体"/>
        </w:rPr>
        <w:t>份（包含</w:t>
      </w:r>
      <w:r>
        <w:rPr>
          <w:rFonts w:ascii="宋体" w:hAnsi="宋体" w:cs="宋体"/>
        </w:rPr>
        <w:t>10</w:t>
      </w:r>
      <w:r>
        <w:rPr>
          <w:rFonts w:ascii="宋体" w:hAnsi="宋体" w:cs="宋体"/>
        </w:rPr>
        <w:t>份）。基金份额持有人赎回时或赎回后单个基金账户保留的基金份额余额不</w:t>
      </w:r>
      <w:r>
        <w:rPr>
          <w:rFonts w:ascii="宋体" w:hAnsi="宋体" w:cs="宋体"/>
        </w:rPr>
        <w:t>足</w:t>
      </w:r>
      <w:r>
        <w:rPr>
          <w:rFonts w:ascii="宋体" w:hAnsi="宋体" w:cs="宋体"/>
        </w:rPr>
        <w:t>10</w:t>
      </w:r>
      <w:r>
        <w:rPr>
          <w:rFonts w:ascii="宋体" w:hAnsi="宋体" w:cs="宋体"/>
        </w:rPr>
        <w:t>份的，在赎回时应全部赎回。如某笔交易类业务</w:t>
      </w:r>
      <w:r>
        <w:rPr>
          <w:rFonts w:ascii="宋体" w:hAnsi="宋体" w:cs="宋体" w:hint="eastAsia"/>
        </w:rPr>
        <w:t>（如赎回、基金转换、转托管等）</w:t>
      </w:r>
      <w:r>
        <w:rPr>
          <w:rFonts w:ascii="宋体" w:hAnsi="宋体" w:cs="宋体"/>
        </w:rPr>
        <w:t>导致单个基金账户的基金份额余额不足</w:t>
      </w:r>
      <w:r>
        <w:rPr>
          <w:rFonts w:ascii="宋体" w:hAnsi="宋体" w:cs="宋体"/>
        </w:rPr>
        <w:t>10</w:t>
      </w:r>
      <w:r>
        <w:rPr>
          <w:rFonts w:ascii="宋体" w:hAnsi="宋体" w:cs="宋体"/>
        </w:rPr>
        <w:t>份（包含</w:t>
      </w:r>
      <w:r>
        <w:rPr>
          <w:rFonts w:ascii="宋体" w:hAnsi="宋体" w:cs="宋体"/>
        </w:rPr>
        <w:t>10</w:t>
      </w:r>
      <w:r>
        <w:rPr>
          <w:rFonts w:ascii="宋体" w:hAnsi="宋体" w:cs="宋体"/>
        </w:rPr>
        <w:t>份）的，登记机构有权对该基金份额持有人基金账户持有的基金份额做全部赎回处理，赎回费按照招募说明书的规定正常收取。</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基金管理人可在法律法规允许的情况下，调整上述规定赎回份额的数量限制，或者新增基金规模控制措施。基金管理人必须在调整实施前依照《公开募集证券投资基金信息披露管理办法》的有关规定在规定媒介上公告。</w:t>
      </w:r>
    </w:p>
    <w:p w:rsidR="005A5ED1" w:rsidRDefault="005A5ED1"/>
    <w:p w:rsidR="005A5ED1" w:rsidRDefault="00274FB7">
      <w:pPr>
        <w:pStyle w:val="2"/>
      </w:pPr>
      <w:r>
        <w:rPr>
          <w:rFonts w:ascii="宋体" w:hAnsi="宋体" w:cs="宋体"/>
        </w:rPr>
        <w:t xml:space="preserve">4.2 </w:t>
      </w:r>
      <w:r>
        <w:rPr>
          <w:rFonts w:ascii="宋体" w:hAnsi="宋体" w:cs="宋体"/>
        </w:rPr>
        <w:t>赎回费率</w:t>
      </w:r>
    </w:p>
    <w:p w:rsidR="005A5ED1" w:rsidRDefault="00274FB7">
      <w:pPr>
        <w:jc w:val="left"/>
      </w:pPr>
      <w:r>
        <w:rPr>
          <w:rFonts w:ascii="宋体" w:hAnsi="宋体" w:cs="宋体"/>
        </w:rPr>
        <w:t xml:space="preserve">    </w:t>
      </w:r>
      <w:r>
        <w:rPr>
          <w:rFonts w:ascii="宋体" w:hAnsi="宋体" w:cs="宋体"/>
        </w:rPr>
        <w:t>赎回费用由赎回</w:t>
      </w:r>
      <w:r>
        <w:rPr>
          <w:rFonts w:ascii="宋体" w:hAnsi="宋体" w:cs="宋体"/>
        </w:rPr>
        <w:t>A</w:t>
      </w:r>
      <w:r>
        <w:rPr>
          <w:rFonts w:ascii="宋体" w:hAnsi="宋体" w:cs="宋体"/>
        </w:rPr>
        <w:t>类或</w:t>
      </w:r>
      <w:r>
        <w:rPr>
          <w:rFonts w:ascii="宋体" w:hAnsi="宋体" w:cs="宋体"/>
        </w:rPr>
        <w:t>C</w:t>
      </w:r>
      <w:r>
        <w:rPr>
          <w:rFonts w:ascii="宋体" w:hAnsi="宋体" w:cs="宋体"/>
        </w:rPr>
        <w:t>类基金份额的</w:t>
      </w:r>
      <w:r>
        <w:rPr>
          <w:rFonts w:ascii="宋体" w:hAnsi="宋体" w:cs="宋体"/>
        </w:rPr>
        <w:t>基金份额持有人承担，在基金份额持有人赎回基金份额时收取。本基金对持续持有期少于</w:t>
      </w:r>
      <w:r>
        <w:rPr>
          <w:rFonts w:ascii="宋体" w:hAnsi="宋体" w:cs="宋体"/>
        </w:rPr>
        <w:t>7</w:t>
      </w:r>
      <w:r>
        <w:rPr>
          <w:rFonts w:ascii="宋体" w:hAnsi="宋体" w:cs="宋体"/>
        </w:rPr>
        <w:t>日的基金份额持有人收取的赎回费，将全额计入基金财产。本基金赎回费用按基金份额持有人持有该部分基金份额的时间分段设定如下：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3"/>
        <w:gridCol w:w="3115"/>
        <w:gridCol w:w="3116"/>
      </w:tblGrid>
      <w:tr w:rsidR="005A5ED1">
        <w:trPr>
          <w:jc w:val="center"/>
        </w:trPr>
        <w:tc>
          <w:tcPr>
            <w:tcW w:w="1644" w:type="pct"/>
          </w:tcPr>
          <w:p w:rsidR="005A5ED1" w:rsidRDefault="00274FB7">
            <w:pPr>
              <w:pStyle w:val="a6"/>
              <w:snapToGrid w:val="0"/>
              <w:spacing w:after="0"/>
              <w:jc w:val="center"/>
              <w:rPr>
                <w:rFonts w:ascii="宋体" w:hAnsi="宋体" w:cs="宋体"/>
                <w:color w:val="000000"/>
              </w:rPr>
            </w:pPr>
            <w:bookmarkStart w:id="3" w:name="_Hlk192083832"/>
            <w:bookmarkStart w:id="4" w:name="OLE_LINK5"/>
            <w:r>
              <w:rPr>
                <w:rFonts w:ascii="宋体" w:hAnsi="宋体" w:cs="宋体" w:hint="eastAsia"/>
                <w:color w:val="000000"/>
              </w:rPr>
              <w:t>持有时间（</w:t>
            </w:r>
            <w:r>
              <w:rPr>
                <w:rFonts w:ascii="宋体" w:hAnsi="宋体" w:cs="宋体" w:hint="eastAsia"/>
                <w:color w:val="000000"/>
              </w:rPr>
              <w:t>N</w:t>
            </w:r>
            <w:r>
              <w:rPr>
                <w:rFonts w:ascii="宋体" w:hAnsi="宋体" w:cs="宋体" w:hint="eastAsia"/>
                <w:color w:val="000000"/>
              </w:rPr>
              <w:t>）</w:t>
            </w:r>
          </w:p>
        </w:tc>
        <w:tc>
          <w:tcPr>
            <w:tcW w:w="1677" w:type="pct"/>
          </w:tcPr>
          <w:p w:rsidR="005A5ED1" w:rsidRDefault="00274FB7">
            <w:pPr>
              <w:pStyle w:val="a6"/>
              <w:snapToGrid w:val="0"/>
              <w:spacing w:after="0"/>
              <w:jc w:val="center"/>
              <w:rPr>
                <w:rFonts w:ascii="宋体" w:hAnsi="宋体" w:cs="宋体"/>
                <w:color w:val="000000"/>
              </w:rPr>
            </w:pPr>
            <w:r>
              <w:rPr>
                <w:rFonts w:ascii="宋体" w:hAnsi="宋体" w:cs="宋体" w:hint="eastAsia"/>
                <w:color w:val="000000"/>
              </w:rPr>
              <w:t>A</w:t>
            </w:r>
            <w:r>
              <w:rPr>
                <w:rFonts w:ascii="宋体" w:hAnsi="宋体" w:cs="宋体" w:hint="eastAsia"/>
                <w:color w:val="000000"/>
              </w:rPr>
              <w:t>类基金份额赎回费率</w:t>
            </w:r>
          </w:p>
        </w:tc>
        <w:tc>
          <w:tcPr>
            <w:tcW w:w="1677" w:type="pct"/>
          </w:tcPr>
          <w:p w:rsidR="005A5ED1" w:rsidRDefault="00274FB7">
            <w:pPr>
              <w:pStyle w:val="a6"/>
              <w:snapToGrid w:val="0"/>
              <w:spacing w:after="0"/>
              <w:jc w:val="center"/>
              <w:rPr>
                <w:rFonts w:ascii="宋体" w:hAnsi="宋体" w:cs="宋体"/>
                <w:color w:val="000000"/>
              </w:rPr>
            </w:pPr>
            <w:r>
              <w:rPr>
                <w:rFonts w:ascii="宋体" w:hAnsi="宋体" w:cs="宋体" w:hint="eastAsia"/>
              </w:rPr>
              <w:t>C</w:t>
            </w:r>
            <w:r>
              <w:rPr>
                <w:rFonts w:ascii="宋体" w:hAnsi="宋体" w:cs="宋体" w:hint="eastAsia"/>
              </w:rPr>
              <w:t>类基金份额赎回费率</w:t>
            </w:r>
          </w:p>
        </w:tc>
      </w:tr>
      <w:tr w:rsidR="005A5ED1">
        <w:trPr>
          <w:jc w:val="center"/>
        </w:trPr>
        <w:tc>
          <w:tcPr>
            <w:tcW w:w="1644" w:type="pct"/>
          </w:tcPr>
          <w:p w:rsidR="005A5ED1" w:rsidRDefault="00274FB7">
            <w:pPr>
              <w:pStyle w:val="a6"/>
              <w:snapToGrid w:val="0"/>
              <w:spacing w:after="0"/>
              <w:jc w:val="center"/>
              <w:rPr>
                <w:rFonts w:ascii="宋体" w:hAnsi="宋体" w:cs="宋体"/>
                <w:color w:val="000000"/>
              </w:rPr>
            </w:pPr>
            <w:r>
              <w:rPr>
                <w:rFonts w:ascii="宋体" w:hAnsi="宋体" w:cs="宋体" w:hint="eastAsia"/>
              </w:rPr>
              <w:t>N</w:t>
            </w:r>
            <w:r>
              <w:rPr>
                <w:rFonts w:ascii="宋体" w:hAnsi="宋体" w:cs="宋体" w:hint="eastAsia"/>
              </w:rPr>
              <w:t>＜</w:t>
            </w:r>
            <w:r>
              <w:rPr>
                <w:rFonts w:ascii="宋体" w:hAnsi="宋体" w:cs="宋体" w:hint="eastAsia"/>
              </w:rPr>
              <w:t>7</w:t>
            </w:r>
            <w:r>
              <w:rPr>
                <w:rFonts w:ascii="宋体" w:hAnsi="宋体" w:cs="宋体" w:hint="eastAsia"/>
              </w:rPr>
              <w:t>天</w:t>
            </w:r>
          </w:p>
        </w:tc>
        <w:tc>
          <w:tcPr>
            <w:tcW w:w="1677" w:type="pct"/>
          </w:tcPr>
          <w:p w:rsidR="005A5ED1" w:rsidRDefault="00274FB7">
            <w:pPr>
              <w:pStyle w:val="a6"/>
              <w:snapToGrid w:val="0"/>
              <w:spacing w:after="0"/>
              <w:jc w:val="center"/>
              <w:rPr>
                <w:rFonts w:ascii="宋体" w:hAnsi="宋体" w:cs="宋体"/>
                <w:color w:val="000000"/>
              </w:rPr>
            </w:pPr>
            <w:r>
              <w:rPr>
                <w:rFonts w:ascii="宋体" w:hAnsi="宋体" w:cs="宋体" w:hint="eastAsia"/>
              </w:rPr>
              <w:t>1.50%</w:t>
            </w:r>
          </w:p>
        </w:tc>
        <w:tc>
          <w:tcPr>
            <w:tcW w:w="1677" w:type="pct"/>
          </w:tcPr>
          <w:p w:rsidR="005A5ED1" w:rsidRDefault="00274FB7">
            <w:pPr>
              <w:pStyle w:val="a6"/>
              <w:snapToGrid w:val="0"/>
              <w:spacing w:after="0"/>
              <w:jc w:val="center"/>
              <w:rPr>
                <w:rFonts w:ascii="宋体" w:hAnsi="宋体" w:cs="宋体"/>
              </w:rPr>
            </w:pPr>
            <w:r>
              <w:rPr>
                <w:rFonts w:ascii="宋体" w:hAnsi="宋体" w:cs="宋体" w:hint="eastAsia"/>
              </w:rPr>
              <w:t>1.50%</w:t>
            </w:r>
          </w:p>
        </w:tc>
      </w:tr>
      <w:tr w:rsidR="005A5ED1">
        <w:trPr>
          <w:jc w:val="center"/>
        </w:trPr>
        <w:tc>
          <w:tcPr>
            <w:tcW w:w="1644" w:type="pct"/>
          </w:tcPr>
          <w:p w:rsidR="005A5ED1" w:rsidRDefault="00274FB7">
            <w:pPr>
              <w:pStyle w:val="a6"/>
              <w:snapToGrid w:val="0"/>
              <w:spacing w:after="0"/>
              <w:jc w:val="center"/>
              <w:rPr>
                <w:rFonts w:ascii="宋体" w:hAnsi="宋体" w:cs="宋体"/>
                <w:color w:val="000000"/>
              </w:rPr>
            </w:pPr>
            <w:r>
              <w:rPr>
                <w:rFonts w:ascii="宋体" w:hAnsi="宋体" w:cs="宋体" w:hint="eastAsia"/>
              </w:rPr>
              <w:t>N</w:t>
            </w:r>
            <w:r>
              <w:rPr>
                <w:rFonts w:ascii="宋体" w:hAnsi="宋体" w:cs="宋体" w:hint="eastAsia"/>
              </w:rPr>
              <w:t>≥</w:t>
            </w:r>
            <w:r>
              <w:rPr>
                <w:rFonts w:ascii="宋体" w:hAnsi="宋体" w:cs="宋体" w:hint="eastAsia"/>
              </w:rPr>
              <w:t>7</w:t>
            </w:r>
            <w:r>
              <w:rPr>
                <w:rFonts w:ascii="宋体" w:hAnsi="宋体" w:cs="宋体" w:hint="eastAsia"/>
              </w:rPr>
              <w:t>天</w:t>
            </w:r>
          </w:p>
        </w:tc>
        <w:tc>
          <w:tcPr>
            <w:tcW w:w="1677" w:type="pct"/>
          </w:tcPr>
          <w:p w:rsidR="005A5ED1" w:rsidRDefault="00274FB7">
            <w:pPr>
              <w:pStyle w:val="a6"/>
              <w:snapToGrid w:val="0"/>
              <w:spacing w:after="0"/>
              <w:jc w:val="center"/>
              <w:rPr>
                <w:rFonts w:ascii="宋体" w:hAnsi="宋体" w:cs="宋体"/>
                <w:color w:val="000000"/>
              </w:rPr>
            </w:pPr>
            <w:r>
              <w:rPr>
                <w:rFonts w:ascii="宋体" w:hAnsi="宋体" w:cs="宋体" w:hint="eastAsia"/>
              </w:rPr>
              <w:t>0.00%</w:t>
            </w:r>
          </w:p>
        </w:tc>
        <w:tc>
          <w:tcPr>
            <w:tcW w:w="1677" w:type="pct"/>
          </w:tcPr>
          <w:p w:rsidR="005A5ED1" w:rsidRDefault="00274FB7">
            <w:pPr>
              <w:pStyle w:val="a6"/>
              <w:snapToGrid w:val="0"/>
              <w:spacing w:after="0"/>
              <w:jc w:val="center"/>
              <w:rPr>
                <w:rFonts w:ascii="宋体" w:hAnsi="宋体" w:cs="宋体"/>
              </w:rPr>
            </w:pPr>
            <w:r>
              <w:rPr>
                <w:rFonts w:ascii="宋体" w:hAnsi="宋体" w:cs="宋体" w:hint="eastAsia"/>
              </w:rPr>
              <w:t>0.00%</w:t>
            </w:r>
          </w:p>
        </w:tc>
      </w:tr>
    </w:tbl>
    <w:bookmarkEnd w:id="3"/>
    <w:bookmarkEnd w:id="4"/>
    <w:p w:rsidR="005A5ED1" w:rsidRDefault="00274FB7">
      <w:pPr>
        <w:jc w:val="left"/>
      </w:pPr>
      <w:r>
        <w:rPr>
          <w:rFonts w:ascii="宋体" w:hAnsi="宋体" w:cs="宋体"/>
        </w:rPr>
        <w:t>注：持有时间：指投资者基金份额登记日（基金合同生效日或申购确认日）到基金份额赎回确认日（不含当日）的自然天数，红利再投资所获得的基金份额，持有时间按原对应持有基金份额的持有期计算。</w:t>
      </w:r>
    </w:p>
    <w:p w:rsidR="005A5ED1" w:rsidRDefault="005A5ED1"/>
    <w:p w:rsidR="005A5ED1" w:rsidRDefault="00274FB7">
      <w:pPr>
        <w:pStyle w:val="2"/>
      </w:pPr>
      <w:r>
        <w:rPr>
          <w:rFonts w:ascii="宋体" w:hAnsi="宋体" w:cs="宋体"/>
        </w:rPr>
        <w:t xml:space="preserve">4.3 </w:t>
      </w:r>
      <w:r>
        <w:rPr>
          <w:rFonts w:ascii="宋体" w:hAnsi="宋体" w:cs="宋体"/>
        </w:rPr>
        <w:t>其他与赎回相关的事项</w:t>
      </w:r>
    </w:p>
    <w:p w:rsidR="005A5ED1" w:rsidRDefault="00274FB7">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）投资人必须根据销售机构规定的程序，在开放日的具体业务办理时间内提出赎回的申请。投资人在提交赎回申请时须持有足够的基金份额余额，否则所提交的赎回申请不成立。</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）基金份额持有人递交赎回申请，赎回成立；基金份额登记机构确认赎回时，赎回生效。投资者赎回申请生效后，基金管理人将在</w:t>
      </w:r>
      <w:r>
        <w:rPr>
          <w:rFonts w:ascii="宋体" w:hAnsi="宋体" w:cs="宋体"/>
        </w:rPr>
        <w:t>T</w:t>
      </w:r>
      <w:r>
        <w:rPr>
          <w:rFonts w:ascii="宋体" w:hAnsi="宋体" w:cs="宋体"/>
        </w:rPr>
        <w:t>＋</w:t>
      </w:r>
      <w:r>
        <w:rPr>
          <w:rFonts w:ascii="宋体" w:hAnsi="宋体" w:cs="宋体"/>
        </w:rPr>
        <w:t>7</w:t>
      </w:r>
      <w:r>
        <w:rPr>
          <w:rFonts w:ascii="宋体" w:hAnsi="宋体" w:cs="宋体"/>
        </w:rPr>
        <w:t>日（包括该日）内支付赎回款项。</w:t>
      </w:r>
      <w:r>
        <w:rPr>
          <w:rFonts w:ascii="宋体" w:hAnsi="宋体" w:cs="宋体"/>
        </w:rPr>
        <w:cr/>
        <w:t xml:space="preserve">    </w:t>
      </w:r>
      <w:r>
        <w:rPr>
          <w:rFonts w:ascii="宋体" w:hAnsi="宋体" w:cs="宋体"/>
        </w:rPr>
        <w:t>若遇证券、期货交易所或交易市场数据传输延迟、通讯系统故障、银行数据交换系统故障、港股通交易系统或港股通资金交收规则限制或其他非基金管理人及基金托管人所能控制的因素影响业务处理流程时，赎回款项顺延至上述情况消除后的下一个工作日划出。在发生巨额赎回或基金合同载明的其他暂停赎回或延缓支付赎回款项的情形时，款项的支付办法参照基金合同有关条款处理。</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）基金管理人应以开放日交易时间结束前受理有效赎回申请的当天作为赎回申请日（</w:t>
      </w:r>
      <w:r>
        <w:rPr>
          <w:rFonts w:ascii="宋体" w:hAnsi="宋体" w:cs="宋体"/>
        </w:rPr>
        <w:t>T</w:t>
      </w:r>
      <w:r>
        <w:rPr>
          <w:rFonts w:ascii="宋体" w:hAnsi="宋体" w:cs="宋体"/>
        </w:rPr>
        <w:t>日），在正常情况下，本基金登记机构在</w:t>
      </w:r>
      <w:r>
        <w:rPr>
          <w:rFonts w:ascii="宋体" w:hAnsi="宋体" w:cs="宋体"/>
        </w:rPr>
        <w:t>T</w:t>
      </w:r>
      <w:r>
        <w:rPr>
          <w:rFonts w:ascii="宋体" w:hAnsi="宋体" w:cs="宋体"/>
        </w:rPr>
        <w:t>+1</w:t>
      </w:r>
      <w:r>
        <w:rPr>
          <w:rFonts w:ascii="宋体" w:hAnsi="宋体" w:cs="宋体"/>
        </w:rPr>
        <w:t>日内对该交易的有效性进行确认。</w:t>
      </w:r>
      <w:r>
        <w:rPr>
          <w:rFonts w:ascii="宋体" w:hAnsi="宋体" w:cs="宋体"/>
        </w:rPr>
        <w:t>T</w:t>
      </w:r>
      <w:r>
        <w:rPr>
          <w:rFonts w:ascii="宋体" w:hAnsi="宋体" w:cs="宋体"/>
        </w:rPr>
        <w:t>日提交的有效申请，投资人应在</w:t>
      </w:r>
      <w:r>
        <w:rPr>
          <w:rFonts w:ascii="宋体" w:hAnsi="宋体" w:cs="宋体"/>
        </w:rPr>
        <w:t>T+2</w:t>
      </w:r>
      <w:r>
        <w:rPr>
          <w:rFonts w:ascii="宋体" w:hAnsi="宋体" w:cs="宋体"/>
        </w:rPr>
        <w:t>日后（包括该日）及时到销售网点柜台或以销售机构规定的其他方式查询申请的确认情况。</w:t>
      </w:r>
      <w:r>
        <w:rPr>
          <w:rFonts w:ascii="宋体" w:hAnsi="宋体" w:cs="宋体"/>
        </w:rPr>
        <w:cr/>
        <w:t xml:space="preserve">    </w:t>
      </w:r>
      <w:r>
        <w:rPr>
          <w:rFonts w:ascii="宋体" w:hAnsi="宋体" w:cs="宋体"/>
        </w:rPr>
        <w:t>基金销售机构对赎回申请的受理并不代表申请一定成功，而仅代表销售机构确实接收到申请。赎回的确认以登记机构的确认结果为准。对于申请的确认情况，投资人应及时查询并妥善行使合法权利。</w:t>
      </w:r>
      <w:r>
        <w:rPr>
          <w:rFonts w:ascii="宋体" w:hAnsi="宋体" w:cs="宋体"/>
        </w:rPr>
        <w:t xml:space="preserve"> </w:t>
      </w:r>
      <w:r>
        <w:rPr>
          <w:rFonts w:ascii="宋体" w:hAnsi="宋体" w:cs="宋体"/>
        </w:rPr>
        <w:cr/>
        <w:t xml:space="preserve">    </w:t>
      </w:r>
      <w:r>
        <w:rPr>
          <w:rFonts w:ascii="宋体" w:hAnsi="宋体" w:cs="宋体"/>
        </w:rPr>
        <w:t>基金管理人可在法律法规允许的情况下，对上述原则进行调整。基金管理人必须在新规则开始实施前依照《公开募集证券投资基金信息披露管理办法》的有关规定在规定媒介上公告。</w:t>
      </w:r>
      <w:r>
        <w:rPr>
          <w:rFonts w:ascii="宋体" w:hAnsi="宋体" w:cs="宋体"/>
        </w:rPr>
        <w:cr/>
        <w:t xml:space="preserve">  </w:t>
      </w:r>
      <w:r>
        <w:rPr>
          <w:rFonts w:ascii="宋体" w:hAnsi="宋体" w:cs="宋体"/>
        </w:rPr>
        <w:t xml:space="preserve">  </w:t>
      </w:r>
      <w:r>
        <w:rPr>
          <w:rFonts w:ascii="宋体" w:hAnsi="宋体" w:cs="宋体"/>
        </w:rPr>
        <w:t>（</w:t>
      </w:r>
      <w:r>
        <w:rPr>
          <w:rFonts w:ascii="宋体" w:hAnsi="宋体" w:cs="宋体"/>
        </w:rPr>
        <w:t>4</w:t>
      </w:r>
      <w:r>
        <w:rPr>
          <w:rFonts w:ascii="宋体" w:hAnsi="宋体" w:cs="宋体"/>
        </w:rPr>
        <w:t>）基金管理人可以在基金合同约定的范围内调整费率或收费方式，并最迟应于新的费率或收费方式实施日前依照《公开募集证券投资基金信息披露管理办法》的有关规定在规定媒介上公告。</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基金管理人可以在不违反法律法规规定及基金合同约定且在对基金份额持有人利益无实质性不利影响的情形下根据市场情况制定基金促销计划，定期或不定期地开展基金促销活动。在基金促销活动期间，按相关监管部门要求履行必要手续后，基金管理人可以对基金销售费用实行一定的优惠。</w:t>
      </w:r>
      <w:r>
        <w:rPr>
          <w:rFonts w:ascii="宋体" w:hAnsi="宋体" w:cs="宋体"/>
        </w:rPr>
        <w:cr/>
        <w:t xml:space="preserve">    </w:t>
      </w:r>
      <w:r>
        <w:rPr>
          <w:rFonts w:ascii="宋体" w:hAnsi="宋体" w:cs="宋体"/>
        </w:rPr>
        <w:t>（</w:t>
      </w:r>
      <w:r>
        <w:rPr>
          <w:rFonts w:ascii="宋体" w:hAnsi="宋体" w:cs="宋体"/>
        </w:rPr>
        <w:t>6</w:t>
      </w:r>
      <w:r>
        <w:rPr>
          <w:rFonts w:ascii="宋体" w:hAnsi="宋体" w:cs="宋体"/>
        </w:rPr>
        <w:t>）当本基金发生大额赎回情形时，基金管理人可以采用摆动</w:t>
      </w:r>
      <w:r>
        <w:rPr>
          <w:rFonts w:ascii="宋体" w:hAnsi="宋体" w:cs="宋体"/>
        </w:rPr>
        <w:t>定价机制，以确保基金估值的公平性。具体处理原则与操作规范遵循相关法律法规以及监管部门、自律规则的规定。</w:t>
      </w:r>
    </w:p>
    <w:p w:rsidR="005A5ED1" w:rsidRDefault="00274FB7" w:rsidP="00274FB7">
      <w:pPr>
        <w:pStyle w:val="1"/>
        <w:spacing w:beforeLines="50" w:afterLines="50" w:line="360" w:lineRule="auto"/>
        <w:jc w:val="left"/>
        <w:rPr>
          <w:rFonts w:ascii="宋体" w:hAnsi="宋体" w:cs="宋体"/>
        </w:rPr>
        <w:pPrChange w:id="5" w:author="ZHONGM" w:date="2026-01-27T00:01:00Z">
          <w:pPr>
            <w:pStyle w:val="1"/>
            <w:spacing w:beforeLines="50" w:afterLines="50" w:line="360" w:lineRule="auto"/>
            <w:jc w:val="left"/>
          </w:pPr>
        </w:pPrChange>
      </w:pPr>
      <w:r>
        <w:rPr>
          <w:rFonts w:ascii="宋体" w:hAnsi="宋体" w:cs="宋体"/>
        </w:rPr>
        <w:t xml:space="preserve">5 </w:t>
      </w:r>
      <w:r>
        <w:rPr>
          <w:rFonts w:ascii="宋体" w:hAnsi="宋体" w:cs="宋体"/>
        </w:rPr>
        <w:t>定期定额投资业务</w:t>
      </w:r>
    </w:p>
    <w:p w:rsidR="005A5ED1" w:rsidRDefault="00274FB7">
      <w:pPr>
        <w:jc w:val="left"/>
      </w:pPr>
      <w:r>
        <w:rPr>
          <w:rFonts w:ascii="宋体" w:hAnsi="宋体" w:cs="宋体"/>
        </w:rPr>
        <w:t xml:space="preserve">    </w:t>
      </w:r>
      <w:r>
        <w:rPr>
          <w:rFonts w:ascii="宋体" w:hAnsi="宋体" w:cs="宋体"/>
        </w:rPr>
        <w:t>定期定额投资业务是指投资者通过有关销售机构提出申请，约定每期申购日、申购金额及扣款方式，由销售机构于每期约定申购日在投资人指定银行账户内自动完成扣款及受理基金申购申请的一种投资方式。现将该业务有关事项说明如下：</w:t>
      </w:r>
      <w:r>
        <w:rPr>
          <w:rFonts w:ascii="宋体" w:hAnsi="宋体" w:cs="宋体"/>
        </w:rPr>
        <w:cr/>
        <w:t xml:space="preserve">    </w:t>
      </w:r>
      <w:r>
        <w:rPr>
          <w:rFonts w:ascii="宋体" w:hAnsi="宋体" w:cs="宋体"/>
        </w:rPr>
        <w:t>（</w:t>
      </w:r>
      <w:r>
        <w:rPr>
          <w:rFonts w:ascii="宋体" w:hAnsi="宋体" w:cs="宋体"/>
        </w:rPr>
        <w:t>1</w:t>
      </w:r>
      <w:r>
        <w:rPr>
          <w:rFonts w:ascii="宋体" w:hAnsi="宋体" w:cs="宋体"/>
        </w:rPr>
        <w:t>）适用投资者范围</w:t>
      </w:r>
      <w:r>
        <w:rPr>
          <w:rFonts w:ascii="宋体" w:hAnsi="宋体" w:cs="宋体"/>
        </w:rPr>
        <w:cr/>
        <w:t xml:space="preserve">    </w:t>
      </w:r>
      <w:r>
        <w:rPr>
          <w:rFonts w:ascii="宋体" w:hAnsi="宋体" w:cs="宋体"/>
        </w:rPr>
        <w:t>适用于依据中华人民共和国有关法律法规和基金合同规定可以投资证券投资基金的个人投资者。</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）申请方式</w:t>
      </w:r>
      <w:r>
        <w:rPr>
          <w:rFonts w:ascii="宋体" w:hAnsi="宋体" w:cs="宋体"/>
        </w:rPr>
        <w:cr/>
        <w:t xml:space="preserve">    ①</w:t>
      </w:r>
      <w:r>
        <w:rPr>
          <w:rFonts w:ascii="宋体" w:hAnsi="宋体" w:cs="宋体"/>
        </w:rPr>
        <w:t>凡申请办</w:t>
      </w:r>
      <w:r>
        <w:rPr>
          <w:rFonts w:ascii="宋体" w:hAnsi="宋体" w:cs="宋体"/>
        </w:rPr>
        <w:t>理本基金定期定额投资业务的投资者须首先开立基金管理人开放式基金账户（已开户者除外），开户程序依照各基金销售机构规定办理；</w:t>
      </w:r>
      <w:r>
        <w:rPr>
          <w:rFonts w:ascii="宋体" w:hAnsi="宋体" w:cs="宋体"/>
        </w:rPr>
        <w:cr/>
        <w:t xml:space="preserve">    ②</w:t>
      </w:r>
      <w:r>
        <w:rPr>
          <w:rFonts w:ascii="宋体" w:hAnsi="宋体" w:cs="宋体"/>
        </w:rPr>
        <w:t>已开立基金管理人开放式基金账户的投资者携带本人有效身份证件及销售机构规定的相关业务凭证（如有），到基金指定的销售场所申请办理此业务，具体办理程序遵循各销售机构的规定。</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）申购日期</w:t>
      </w:r>
      <w:r>
        <w:rPr>
          <w:rFonts w:ascii="宋体" w:hAnsi="宋体" w:cs="宋体"/>
        </w:rPr>
        <w:cr/>
        <w:t xml:space="preserve">    </w:t>
      </w:r>
      <w:r>
        <w:rPr>
          <w:rFonts w:ascii="宋体" w:hAnsi="宋体" w:cs="宋体"/>
        </w:rPr>
        <w:t>投资者应与销售机构约定每期固定申购日期。</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）申购金额</w:t>
      </w:r>
      <w:r>
        <w:rPr>
          <w:rFonts w:ascii="宋体" w:hAnsi="宋体" w:cs="宋体"/>
        </w:rPr>
        <w:cr/>
        <w:t xml:space="preserve">    </w:t>
      </w:r>
      <w:r>
        <w:rPr>
          <w:rFonts w:ascii="宋体" w:hAnsi="宋体" w:cs="宋体"/>
        </w:rPr>
        <w:t>投资者可与各销售机构约定每期固定申购金额，每期最低金额不受基金招募说明书中有关申购金额的限制。投资人通过代</w:t>
      </w:r>
      <w:r>
        <w:rPr>
          <w:rFonts w:ascii="宋体" w:hAnsi="宋体" w:cs="宋体"/>
        </w:rPr>
        <w:t>销机构办理本基金定期定额投资业务，每期最低申购金额应遵循代销机构的规定。</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）扣款方式</w:t>
      </w:r>
      <w:r>
        <w:rPr>
          <w:rFonts w:ascii="宋体" w:hAnsi="宋体" w:cs="宋体"/>
        </w:rPr>
        <w:cr/>
        <w:t xml:space="preserve">    ①</w:t>
      </w:r>
      <w:r>
        <w:rPr>
          <w:rFonts w:ascii="宋体" w:hAnsi="宋体" w:cs="宋体"/>
        </w:rPr>
        <w:t>销售机构将按照投资者申请时所约定的每期固定申购日期、申购金额扣款，若遇非基金申购开放日则实际申购日顺延至基金下一申购开放日，扣款是否顺延以销售机构的具体规定为准。投资者定期定期投资申购的实际申购日期为基金申购申请日（</w:t>
      </w:r>
      <w:r>
        <w:rPr>
          <w:rFonts w:ascii="宋体" w:hAnsi="宋体" w:cs="宋体"/>
        </w:rPr>
        <w:t>T</w:t>
      </w:r>
      <w:r>
        <w:rPr>
          <w:rFonts w:ascii="宋体" w:hAnsi="宋体" w:cs="宋体"/>
        </w:rPr>
        <w:t>日）</w:t>
      </w:r>
      <w:r>
        <w:rPr>
          <w:rFonts w:ascii="宋体" w:hAnsi="宋体" w:cs="宋体" w:hint="eastAsia"/>
        </w:rPr>
        <w:t>；</w:t>
      </w:r>
      <w:r>
        <w:rPr>
          <w:rFonts w:ascii="宋体" w:hAnsi="宋体" w:cs="宋体"/>
        </w:rPr>
        <w:cr/>
        <w:t xml:space="preserve">    ②</w:t>
      </w:r>
      <w:r>
        <w:rPr>
          <w:rFonts w:ascii="宋体" w:hAnsi="宋体" w:cs="宋体"/>
        </w:rPr>
        <w:t>投资者须指定一个有效资金账户作为每期固定扣款账户</w:t>
      </w:r>
      <w:r>
        <w:rPr>
          <w:rFonts w:ascii="宋体" w:hAnsi="宋体" w:cs="宋体" w:hint="eastAsia"/>
        </w:rPr>
        <w:t>；</w:t>
      </w:r>
      <w:r>
        <w:rPr>
          <w:rFonts w:ascii="宋体" w:hAnsi="宋体" w:cs="宋体"/>
        </w:rPr>
        <w:cr/>
        <w:t xml:space="preserve">    ③</w:t>
      </w:r>
      <w:r>
        <w:rPr>
          <w:rFonts w:ascii="宋体" w:hAnsi="宋体" w:cs="宋体"/>
        </w:rPr>
        <w:t>具体扣款方式以销售机构的相关业务规则为准。</w:t>
      </w:r>
      <w:r>
        <w:rPr>
          <w:rFonts w:ascii="宋体" w:hAnsi="宋体" w:cs="宋体"/>
        </w:rPr>
        <w:t xml:space="preserve"> </w:t>
      </w:r>
      <w:r>
        <w:rPr>
          <w:rFonts w:ascii="宋体" w:hAnsi="宋体" w:cs="宋体"/>
        </w:rPr>
        <w:cr/>
        <w:t xml:space="preserve">    </w:t>
      </w:r>
      <w:r>
        <w:rPr>
          <w:rFonts w:ascii="宋体" w:hAnsi="宋体" w:cs="宋体"/>
        </w:rPr>
        <w:t>（</w:t>
      </w:r>
      <w:r>
        <w:rPr>
          <w:rFonts w:ascii="宋体" w:hAnsi="宋体" w:cs="宋体"/>
        </w:rPr>
        <w:t>6</w:t>
      </w:r>
      <w:r>
        <w:rPr>
          <w:rFonts w:ascii="宋体" w:hAnsi="宋体" w:cs="宋体"/>
        </w:rPr>
        <w:t>）交易确认</w:t>
      </w:r>
      <w:r>
        <w:rPr>
          <w:rFonts w:ascii="宋体" w:hAnsi="宋体" w:cs="宋体"/>
        </w:rPr>
        <w:cr/>
        <w:t xml:space="preserve">    </w:t>
      </w:r>
      <w:r>
        <w:rPr>
          <w:rFonts w:ascii="宋体" w:hAnsi="宋体" w:cs="宋体"/>
        </w:rPr>
        <w:t>本基金登记机构按照基金定期定</w:t>
      </w:r>
      <w:r>
        <w:rPr>
          <w:rFonts w:ascii="宋体" w:hAnsi="宋体" w:cs="宋体"/>
        </w:rPr>
        <w:t>额投资申请日（</w:t>
      </w:r>
      <w:r>
        <w:rPr>
          <w:rFonts w:ascii="宋体" w:hAnsi="宋体" w:cs="宋体"/>
        </w:rPr>
        <w:t>T</w:t>
      </w:r>
      <w:r>
        <w:rPr>
          <w:rFonts w:ascii="宋体" w:hAnsi="宋体" w:cs="宋体"/>
        </w:rPr>
        <w:t>日）的基金份额净值为基准计算份额，在正常情况下于</w:t>
      </w:r>
      <w:r>
        <w:rPr>
          <w:rFonts w:ascii="宋体" w:hAnsi="宋体" w:cs="宋体"/>
        </w:rPr>
        <w:t>T+1</w:t>
      </w:r>
      <w:r>
        <w:rPr>
          <w:rFonts w:ascii="宋体" w:hAnsi="宋体" w:cs="宋体"/>
        </w:rPr>
        <w:t>工作日对该交易的有效性进行确认，确认成功后直接计入投资者的基金账户</w:t>
      </w:r>
      <w:r>
        <w:rPr>
          <w:rFonts w:ascii="宋体" w:hAnsi="宋体" w:cs="宋体"/>
        </w:rPr>
        <w:t>,</w:t>
      </w:r>
      <w:r>
        <w:rPr>
          <w:rFonts w:ascii="宋体" w:hAnsi="宋体" w:cs="宋体"/>
        </w:rPr>
        <w:t>投资者应在</w:t>
      </w:r>
      <w:r>
        <w:rPr>
          <w:rFonts w:ascii="宋体" w:hAnsi="宋体" w:cs="宋体"/>
        </w:rPr>
        <w:t>T+2</w:t>
      </w:r>
      <w:r>
        <w:rPr>
          <w:rFonts w:ascii="宋体" w:hAnsi="宋体" w:cs="宋体"/>
        </w:rPr>
        <w:t>工作日后（包括该日）及时查询申请的确认情况。</w:t>
      </w:r>
      <w:r>
        <w:rPr>
          <w:rFonts w:ascii="宋体" w:hAnsi="宋体" w:cs="宋体"/>
        </w:rPr>
        <w:t xml:space="preserve"> </w:t>
      </w:r>
      <w:r>
        <w:rPr>
          <w:rFonts w:ascii="宋体" w:hAnsi="宋体" w:cs="宋体"/>
        </w:rPr>
        <w:cr/>
        <w:t xml:space="preserve">    </w:t>
      </w:r>
      <w:r>
        <w:rPr>
          <w:rFonts w:ascii="宋体" w:hAnsi="宋体" w:cs="宋体"/>
        </w:rPr>
        <w:t>（</w:t>
      </w:r>
      <w:r>
        <w:rPr>
          <w:rFonts w:ascii="宋体" w:hAnsi="宋体" w:cs="宋体"/>
        </w:rPr>
        <w:t>7</w:t>
      </w:r>
      <w:r>
        <w:rPr>
          <w:rFonts w:ascii="宋体" w:hAnsi="宋体" w:cs="宋体"/>
        </w:rPr>
        <w:t>）已申购份额的赎回</w:t>
      </w:r>
      <w:r>
        <w:rPr>
          <w:rFonts w:ascii="宋体" w:hAnsi="宋体" w:cs="宋体"/>
        </w:rPr>
        <w:cr/>
        <w:t xml:space="preserve">    </w:t>
      </w:r>
      <w:r>
        <w:rPr>
          <w:rFonts w:ascii="宋体" w:hAnsi="宋体" w:cs="宋体"/>
        </w:rPr>
        <w:t>正常情况下，投资者办理的定期定额申购业务在</w:t>
      </w:r>
      <w:r>
        <w:rPr>
          <w:rFonts w:ascii="宋体" w:hAnsi="宋体" w:cs="宋体"/>
        </w:rPr>
        <w:t>T+1</w:t>
      </w:r>
      <w:r>
        <w:rPr>
          <w:rFonts w:ascii="宋体" w:hAnsi="宋体" w:cs="宋体"/>
        </w:rPr>
        <w:t>工作日经有效性确认后，可以自</w:t>
      </w:r>
      <w:r>
        <w:rPr>
          <w:rFonts w:ascii="宋体" w:hAnsi="宋体" w:cs="宋体"/>
        </w:rPr>
        <w:t>T+2</w:t>
      </w:r>
      <w:r>
        <w:rPr>
          <w:rFonts w:ascii="宋体" w:hAnsi="宋体" w:cs="宋体"/>
        </w:rPr>
        <w:t>日起（</w:t>
      </w:r>
      <w:r>
        <w:rPr>
          <w:rFonts w:ascii="宋体" w:hAnsi="宋体" w:cs="宋体"/>
        </w:rPr>
        <w:t>T</w:t>
      </w:r>
      <w:r>
        <w:rPr>
          <w:rFonts w:ascii="宋体" w:hAnsi="宋体" w:cs="宋体"/>
        </w:rPr>
        <w:t>为定期定额投资申请日）办理基金的赎回。</w:t>
      </w:r>
      <w:r>
        <w:rPr>
          <w:rFonts w:ascii="宋体" w:hAnsi="宋体" w:cs="宋体"/>
        </w:rPr>
        <w:cr/>
        <w:t xml:space="preserve">    </w:t>
      </w:r>
      <w:r>
        <w:rPr>
          <w:rFonts w:ascii="宋体" w:hAnsi="宋体" w:cs="宋体"/>
        </w:rPr>
        <w:t>（</w:t>
      </w:r>
      <w:r>
        <w:rPr>
          <w:rFonts w:ascii="宋体" w:hAnsi="宋体" w:cs="宋体"/>
        </w:rPr>
        <w:t>8</w:t>
      </w:r>
      <w:r>
        <w:rPr>
          <w:rFonts w:ascii="宋体" w:hAnsi="宋体" w:cs="宋体"/>
        </w:rPr>
        <w:t>）定期定额投资业务的变更和终止</w:t>
      </w:r>
      <w:r>
        <w:rPr>
          <w:rFonts w:ascii="宋体" w:hAnsi="宋体" w:cs="宋体"/>
        </w:rPr>
        <w:cr/>
        <w:t xml:space="preserve">    ①</w:t>
      </w:r>
      <w:r>
        <w:rPr>
          <w:rFonts w:ascii="宋体" w:hAnsi="宋体" w:cs="宋体"/>
        </w:rPr>
        <w:t>如果投资者变更每期定期定额申购金额、申购日期、扣款方式或者终止定期定额投资业务，请遵循</w:t>
      </w:r>
      <w:r>
        <w:rPr>
          <w:rFonts w:ascii="宋体" w:hAnsi="宋体" w:cs="宋体"/>
        </w:rPr>
        <w:t>销售机构的相关规定</w:t>
      </w:r>
      <w:r>
        <w:rPr>
          <w:rFonts w:ascii="宋体" w:hAnsi="宋体" w:cs="宋体" w:hint="eastAsia"/>
        </w:rPr>
        <w:t>；</w:t>
      </w:r>
      <w:r>
        <w:rPr>
          <w:rFonts w:ascii="宋体" w:hAnsi="宋体" w:cs="宋体"/>
        </w:rPr>
        <w:cr/>
        <w:t xml:space="preserve">    ②“</w:t>
      </w:r>
      <w:r>
        <w:rPr>
          <w:rFonts w:ascii="宋体" w:hAnsi="宋体" w:cs="宋体"/>
        </w:rPr>
        <w:t>定期定额投资业务</w:t>
      </w:r>
      <w:r>
        <w:rPr>
          <w:rFonts w:ascii="宋体" w:hAnsi="宋体" w:cs="宋体"/>
        </w:rPr>
        <w:t>”</w:t>
      </w:r>
      <w:r>
        <w:rPr>
          <w:rFonts w:ascii="宋体" w:hAnsi="宋体" w:cs="宋体"/>
        </w:rPr>
        <w:t>变更和终止的生效日遵循各销售机构的具体规定。</w:t>
      </w:r>
      <w:r>
        <w:rPr>
          <w:rFonts w:ascii="宋体" w:hAnsi="宋体" w:cs="宋体"/>
        </w:rPr>
        <w:cr/>
        <w:t xml:space="preserve">    </w:t>
      </w:r>
      <w:r>
        <w:rPr>
          <w:rFonts w:ascii="宋体" w:hAnsi="宋体" w:cs="宋体"/>
        </w:rPr>
        <w:t>（</w:t>
      </w:r>
      <w:r>
        <w:rPr>
          <w:rFonts w:ascii="宋体" w:hAnsi="宋体" w:cs="宋体"/>
        </w:rPr>
        <w:t>9</w:t>
      </w:r>
      <w:r>
        <w:rPr>
          <w:rFonts w:ascii="宋体" w:hAnsi="宋体" w:cs="宋体"/>
        </w:rPr>
        <w:t>）当发生限制申购或暂停申购的情形时，除另有公告外，定期定额投资与普通申购按相同的原则确认。</w:t>
      </w:r>
      <w:r>
        <w:rPr>
          <w:rFonts w:ascii="宋体" w:hAnsi="宋体" w:cs="宋体"/>
        </w:rPr>
        <w:t xml:space="preserve"> </w:t>
      </w:r>
      <w:r>
        <w:rPr>
          <w:rFonts w:ascii="宋体" w:hAnsi="宋体" w:cs="宋体"/>
        </w:rPr>
        <w:cr/>
        <w:t xml:space="preserve">    </w:t>
      </w:r>
      <w:r>
        <w:rPr>
          <w:rFonts w:ascii="宋体" w:hAnsi="宋体" w:cs="宋体"/>
        </w:rPr>
        <w:t>（</w:t>
      </w:r>
      <w:r>
        <w:rPr>
          <w:rFonts w:ascii="宋体" w:hAnsi="宋体" w:cs="宋体"/>
        </w:rPr>
        <w:t>10</w:t>
      </w:r>
      <w:r>
        <w:rPr>
          <w:rFonts w:ascii="宋体" w:hAnsi="宋体" w:cs="宋体"/>
        </w:rPr>
        <w:t>）若无另行公告，定期定额投资费率及计费方式与普通申购业务相同。基金管理人已公告参加销售机构定期定额费率优惠活动的，本基金将依照公告内容及各销售机构优惠活动的相关规定执行。</w:t>
      </w:r>
      <w:r>
        <w:rPr>
          <w:rFonts w:ascii="宋体" w:hAnsi="宋体" w:cs="宋体"/>
        </w:rPr>
        <w:cr/>
        <w:t xml:space="preserve">    </w:t>
      </w:r>
      <w:r>
        <w:rPr>
          <w:rFonts w:ascii="宋体" w:hAnsi="宋体" w:cs="宋体"/>
        </w:rPr>
        <w:t>（</w:t>
      </w:r>
      <w:r>
        <w:rPr>
          <w:rFonts w:ascii="宋体" w:hAnsi="宋体" w:cs="宋体"/>
        </w:rPr>
        <w:t>11</w:t>
      </w:r>
      <w:r>
        <w:rPr>
          <w:rFonts w:ascii="宋体" w:hAnsi="宋体" w:cs="宋体"/>
        </w:rPr>
        <w:t>）定期定额投资业务的其它具体办理程序请遵循各销售机构的相关规定。</w:t>
      </w:r>
      <w:r>
        <w:rPr>
          <w:rFonts w:ascii="宋体" w:hAnsi="宋体" w:cs="宋体"/>
        </w:rPr>
        <w:t xml:space="preserve"> </w:t>
      </w:r>
      <w:r>
        <w:rPr>
          <w:rFonts w:ascii="宋体" w:hAnsi="宋体" w:cs="宋体"/>
        </w:rPr>
        <w:cr/>
        <w:t xml:space="preserve">    </w:t>
      </w:r>
      <w:r>
        <w:rPr>
          <w:rFonts w:ascii="宋体" w:hAnsi="宋体" w:cs="宋体"/>
        </w:rPr>
        <w:t>（</w:t>
      </w:r>
      <w:r>
        <w:rPr>
          <w:rFonts w:ascii="宋体" w:hAnsi="宋体" w:cs="宋体"/>
        </w:rPr>
        <w:t>12</w:t>
      </w:r>
      <w:r>
        <w:rPr>
          <w:rFonts w:ascii="宋体" w:hAnsi="宋体" w:cs="宋体"/>
        </w:rPr>
        <w:t>）办理机构</w:t>
      </w:r>
      <w:r>
        <w:rPr>
          <w:rFonts w:ascii="宋体" w:hAnsi="宋体" w:cs="宋体"/>
        </w:rPr>
        <w:cr/>
        <w:t xml:space="preserve">    </w:t>
      </w:r>
      <w:r>
        <w:rPr>
          <w:rFonts w:ascii="宋体" w:hAnsi="宋体" w:cs="宋体"/>
        </w:rPr>
        <w:t>基金管</w:t>
      </w:r>
      <w:r>
        <w:rPr>
          <w:rFonts w:ascii="宋体" w:hAnsi="宋体" w:cs="宋体"/>
        </w:rPr>
        <w:t>理人已对本基金所有销售机构开通了定期定额投资业务的系统支持，销售机构是否开通定期定额投资业务以其规定为准，基金管理人可不再另行公告。</w:t>
      </w:r>
    </w:p>
    <w:p w:rsidR="005A5ED1" w:rsidRDefault="00274FB7" w:rsidP="00274FB7">
      <w:pPr>
        <w:pStyle w:val="1"/>
        <w:spacing w:beforeLines="50" w:afterLines="50" w:line="360" w:lineRule="auto"/>
        <w:jc w:val="left"/>
        <w:rPr>
          <w:rFonts w:ascii="宋体" w:hAnsi="宋体" w:cs="宋体"/>
        </w:rPr>
        <w:pPrChange w:id="6" w:author="ZHONGM" w:date="2026-01-27T00:01:00Z">
          <w:pPr>
            <w:pStyle w:val="1"/>
            <w:spacing w:beforeLines="50" w:afterLines="50" w:line="360" w:lineRule="auto"/>
            <w:jc w:val="left"/>
          </w:pPr>
        </w:pPrChange>
      </w:pPr>
      <w:r>
        <w:rPr>
          <w:rFonts w:ascii="宋体" w:hAnsi="宋体" w:cs="宋体"/>
        </w:rPr>
        <w:t xml:space="preserve">6 </w:t>
      </w:r>
      <w:r>
        <w:rPr>
          <w:rFonts w:ascii="宋体" w:hAnsi="宋体" w:cs="宋体"/>
        </w:rPr>
        <w:t>基金销售机构</w:t>
      </w:r>
    </w:p>
    <w:p w:rsidR="005A5ED1" w:rsidRDefault="00274FB7">
      <w:pPr>
        <w:pStyle w:val="2"/>
      </w:pPr>
      <w:r>
        <w:rPr>
          <w:rFonts w:ascii="宋体" w:hAnsi="宋体" w:cs="宋体"/>
        </w:rPr>
        <w:t xml:space="preserve">6.1 </w:t>
      </w:r>
      <w:r>
        <w:rPr>
          <w:rFonts w:ascii="宋体" w:hAnsi="宋体" w:cs="宋体"/>
        </w:rPr>
        <w:t>场外销售机构</w:t>
      </w:r>
    </w:p>
    <w:p w:rsidR="005A5ED1" w:rsidRDefault="00274FB7">
      <w:r>
        <w:rPr>
          <w:rFonts w:ascii="宋体" w:hAnsi="宋体" w:cs="宋体"/>
          <w:b/>
        </w:rPr>
        <w:t xml:space="preserve">6.1.1 </w:t>
      </w:r>
      <w:r>
        <w:rPr>
          <w:rFonts w:ascii="宋体" w:hAnsi="宋体" w:cs="宋体"/>
          <w:b/>
        </w:rPr>
        <w:t>直销机构</w:t>
      </w:r>
    </w:p>
    <w:p w:rsidR="005A5ED1" w:rsidRDefault="00274FB7">
      <w:pPr>
        <w:jc w:val="left"/>
      </w:pPr>
      <w:r>
        <w:rPr>
          <w:rFonts w:ascii="宋体" w:hAnsi="宋体" w:cs="宋体"/>
        </w:rPr>
        <w:t xml:space="preserve">    </w:t>
      </w:r>
      <w:r>
        <w:rPr>
          <w:rFonts w:ascii="宋体" w:hAnsi="宋体" w:cs="宋体"/>
        </w:rPr>
        <w:t>长江证券（上海）资产管理有限公司</w:t>
      </w:r>
      <w:r>
        <w:rPr>
          <w:rFonts w:ascii="宋体" w:hAnsi="宋体" w:cs="宋体"/>
        </w:rPr>
        <w:cr/>
        <w:t xml:space="preserve">    </w:t>
      </w:r>
      <w:r>
        <w:rPr>
          <w:rFonts w:ascii="宋体" w:hAnsi="宋体" w:cs="宋体"/>
        </w:rPr>
        <w:t>办公地址：上海市虹口区新建路</w:t>
      </w:r>
      <w:r>
        <w:rPr>
          <w:rFonts w:ascii="宋体" w:hAnsi="宋体" w:cs="宋体"/>
        </w:rPr>
        <w:t>200</w:t>
      </w:r>
      <w:r>
        <w:rPr>
          <w:rFonts w:ascii="宋体" w:hAnsi="宋体" w:cs="宋体"/>
        </w:rPr>
        <w:t>号国华金融中心</w:t>
      </w:r>
      <w:r>
        <w:rPr>
          <w:rFonts w:ascii="宋体" w:hAnsi="宋体" w:cs="宋体"/>
        </w:rPr>
        <w:t>B</w:t>
      </w:r>
      <w:r>
        <w:rPr>
          <w:rFonts w:ascii="宋体" w:hAnsi="宋体" w:cs="宋体"/>
        </w:rPr>
        <w:t>栋</w:t>
      </w:r>
      <w:r>
        <w:rPr>
          <w:rFonts w:ascii="宋体" w:hAnsi="宋体" w:cs="宋体"/>
        </w:rPr>
        <w:t>19</w:t>
      </w:r>
      <w:r>
        <w:rPr>
          <w:rFonts w:ascii="宋体" w:hAnsi="宋体" w:cs="宋体"/>
        </w:rPr>
        <w:t>层</w:t>
      </w:r>
      <w:r>
        <w:rPr>
          <w:rFonts w:ascii="宋体" w:hAnsi="宋体" w:cs="宋体"/>
        </w:rPr>
        <w:cr/>
        <w:t xml:space="preserve">    </w:t>
      </w:r>
      <w:r>
        <w:rPr>
          <w:rFonts w:ascii="宋体" w:hAnsi="宋体" w:cs="宋体"/>
        </w:rPr>
        <w:t>客户服务电话：</w:t>
      </w:r>
      <w:r>
        <w:rPr>
          <w:rFonts w:ascii="宋体" w:hAnsi="宋体" w:cs="宋体"/>
        </w:rPr>
        <w:t>4001-166-866</w:t>
      </w:r>
      <w:r>
        <w:rPr>
          <w:rFonts w:ascii="宋体" w:hAnsi="宋体" w:cs="宋体"/>
        </w:rPr>
        <w:cr/>
        <w:t xml:space="preserve">    </w:t>
      </w:r>
      <w:r>
        <w:rPr>
          <w:rFonts w:ascii="宋体" w:hAnsi="宋体" w:cs="宋体"/>
        </w:rPr>
        <w:t>传真：</w:t>
      </w:r>
      <w:r>
        <w:rPr>
          <w:rFonts w:ascii="宋体" w:hAnsi="宋体" w:cs="宋体"/>
        </w:rPr>
        <w:t>021-65779500</w:t>
      </w:r>
      <w:r>
        <w:rPr>
          <w:rFonts w:ascii="宋体" w:hAnsi="宋体" w:cs="宋体"/>
        </w:rPr>
        <w:cr/>
        <w:t xml:space="preserve">    </w:t>
      </w:r>
      <w:r>
        <w:rPr>
          <w:rFonts w:ascii="宋体" w:hAnsi="宋体" w:cs="宋体"/>
        </w:rPr>
        <w:t>网址：</w:t>
      </w:r>
      <w:r>
        <w:rPr>
          <w:rFonts w:ascii="宋体" w:hAnsi="宋体" w:cs="宋体"/>
        </w:rPr>
        <w:t>www.cjzcgl.com</w:t>
      </w:r>
    </w:p>
    <w:p w:rsidR="005A5ED1" w:rsidRDefault="005A5ED1"/>
    <w:p w:rsidR="005A5ED1" w:rsidRDefault="00274FB7">
      <w:r>
        <w:rPr>
          <w:rFonts w:ascii="宋体" w:hAnsi="宋体" w:cs="宋体"/>
          <w:b/>
        </w:rPr>
        <w:t xml:space="preserve">6.1.2 </w:t>
      </w:r>
      <w:r>
        <w:rPr>
          <w:rFonts w:ascii="宋体" w:hAnsi="宋体" w:cs="宋体"/>
          <w:b/>
        </w:rPr>
        <w:t>场外非直销机构</w:t>
      </w:r>
    </w:p>
    <w:p w:rsidR="005A5ED1" w:rsidRDefault="00274FB7">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）北京汇成基金销售有限公司</w:t>
      </w:r>
      <w:r>
        <w:rPr>
          <w:rFonts w:ascii="宋体" w:hAnsi="宋体" w:cs="宋体"/>
        </w:rPr>
        <w:cr/>
      </w:r>
      <w:r>
        <w:rPr>
          <w:rFonts w:ascii="宋体" w:hAnsi="宋体" w:cs="宋体"/>
        </w:rPr>
        <w:t xml:space="preserve">    </w:t>
      </w:r>
      <w:r>
        <w:rPr>
          <w:rFonts w:ascii="宋体" w:hAnsi="宋体" w:cs="宋体"/>
        </w:rPr>
        <w:t>（</w:t>
      </w:r>
      <w:r>
        <w:rPr>
          <w:rFonts w:ascii="宋体" w:hAnsi="宋体" w:cs="宋体"/>
        </w:rPr>
        <w:t>2</w:t>
      </w:r>
      <w:r>
        <w:rPr>
          <w:rFonts w:ascii="宋体" w:hAnsi="宋体" w:cs="宋体"/>
        </w:rPr>
        <w:t>）京东肯特瑞基金销售有限公司</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）平安银行股份有限公司</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）蚂蚁（杭州）基金销售有限公司</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）上海基煜基金销售有限公司</w:t>
      </w:r>
      <w:r>
        <w:rPr>
          <w:rFonts w:ascii="宋体" w:hAnsi="宋体" w:cs="宋体"/>
        </w:rPr>
        <w:cr/>
        <w:t xml:space="preserve">    </w:t>
      </w:r>
      <w:r>
        <w:rPr>
          <w:rFonts w:ascii="宋体" w:hAnsi="宋体" w:cs="宋体"/>
        </w:rPr>
        <w:t>（</w:t>
      </w:r>
      <w:r>
        <w:rPr>
          <w:rFonts w:ascii="宋体" w:hAnsi="宋体" w:cs="宋体"/>
        </w:rPr>
        <w:t>6</w:t>
      </w:r>
      <w:r>
        <w:rPr>
          <w:rFonts w:ascii="宋体" w:hAnsi="宋体" w:cs="宋体"/>
        </w:rPr>
        <w:t>）上海利得基金销售有限公司</w:t>
      </w:r>
      <w:r>
        <w:rPr>
          <w:rFonts w:ascii="宋体" w:hAnsi="宋体" w:cs="宋体"/>
        </w:rPr>
        <w:cr/>
        <w:t xml:space="preserve">    </w:t>
      </w:r>
      <w:r>
        <w:rPr>
          <w:rFonts w:ascii="宋体" w:hAnsi="宋体" w:cs="宋体"/>
        </w:rPr>
        <w:t>（</w:t>
      </w:r>
      <w:r>
        <w:rPr>
          <w:rFonts w:ascii="宋体" w:hAnsi="宋体" w:cs="宋体"/>
        </w:rPr>
        <w:t>7</w:t>
      </w:r>
      <w:r>
        <w:rPr>
          <w:rFonts w:ascii="宋体" w:hAnsi="宋体" w:cs="宋体"/>
        </w:rPr>
        <w:t>）上海陆金所基金销售有限公司</w:t>
      </w:r>
      <w:r>
        <w:rPr>
          <w:rFonts w:ascii="宋体" w:hAnsi="宋体" w:cs="宋体"/>
        </w:rPr>
        <w:cr/>
        <w:t xml:space="preserve">    </w:t>
      </w:r>
      <w:r>
        <w:rPr>
          <w:rFonts w:ascii="宋体" w:hAnsi="宋体" w:cs="宋体"/>
        </w:rPr>
        <w:t>（</w:t>
      </w:r>
      <w:r>
        <w:rPr>
          <w:rFonts w:ascii="宋体" w:hAnsi="宋体" w:cs="宋体"/>
        </w:rPr>
        <w:t>8</w:t>
      </w:r>
      <w:r>
        <w:rPr>
          <w:rFonts w:ascii="宋体" w:hAnsi="宋体" w:cs="宋体"/>
        </w:rPr>
        <w:t>）上海天天基金销售有限公司</w:t>
      </w:r>
      <w:r>
        <w:rPr>
          <w:rFonts w:ascii="宋体" w:hAnsi="宋体" w:cs="宋体"/>
        </w:rPr>
        <w:cr/>
        <w:t xml:space="preserve">    </w:t>
      </w:r>
      <w:r>
        <w:rPr>
          <w:rFonts w:ascii="宋体" w:hAnsi="宋体" w:cs="宋体"/>
        </w:rPr>
        <w:t>（</w:t>
      </w:r>
      <w:r>
        <w:rPr>
          <w:rFonts w:ascii="宋体" w:hAnsi="宋体" w:cs="宋体"/>
        </w:rPr>
        <w:t>9</w:t>
      </w:r>
      <w:r>
        <w:rPr>
          <w:rFonts w:ascii="宋体" w:hAnsi="宋体" w:cs="宋体"/>
        </w:rPr>
        <w:t>）上海万得基金销售有限公司</w:t>
      </w:r>
      <w:r>
        <w:rPr>
          <w:rFonts w:ascii="宋体" w:hAnsi="宋体" w:cs="宋体"/>
        </w:rPr>
        <w:cr/>
        <w:t xml:space="preserve">    </w:t>
      </w:r>
      <w:r>
        <w:rPr>
          <w:rFonts w:ascii="宋体" w:hAnsi="宋体" w:cs="宋体"/>
        </w:rPr>
        <w:t>（</w:t>
      </w:r>
      <w:r>
        <w:rPr>
          <w:rFonts w:ascii="宋体" w:hAnsi="宋体" w:cs="宋体"/>
        </w:rPr>
        <w:t>10</w:t>
      </w:r>
      <w:r>
        <w:rPr>
          <w:rFonts w:ascii="宋体" w:hAnsi="宋体" w:cs="宋体"/>
        </w:rPr>
        <w:t>）长江证券股份有限公司</w:t>
      </w:r>
      <w:r>
        <w:rPr>
          <w:rFonts w:ascii="宋体" w:hAnsi="宋体" w:cs="宋体"/>
        </w:rPr>
        <w:cr/>
        <w:t xml:space="preserve">    </w:t>
      </w:r>
      <w:r>
        <w:rPr>
          <w:rFonts w:ascii="宋体" w:hAnsi="宋体" w:cs="宋体"/>
        </w:rPr>
        <w:t>（</w:t>
      </w:r>
      <w:r>
        <w:rPr>
          <w:rFonts w:ascii="宋体" w:hAnsi="宋体" w:cs="宋体"/>
        </w:rPr>
        <w:t>11</w:t>
      </w:r>
      <w:r>
        <w:rPr>
          <w:rFonts w:ascii="宋体" w:hAnsi="宋体" w:cs="宋体"/>
        </w:rPr>
        <w:t>）珠海盈米基金销售有限公司</w:t>
      </w:r>
      <w:r>
        <w:rPr>
          <w:rFonts w:ascii="宋体" w:hAnsi="宋体" w:cs="宋体"/>
        </w:rPr>
        <w:cr/>
        <w:t xml:space="preserve">    </w:t>
      </w:r>
      <w:r>
        <w:rPr>
          <w:rFonts w:ascii="宋体" w:hAnsi="宋体" w:cs="宋体"/>
        </w:rPr>
        <w:t>（</w:t>
      </w:r>
      <w:r>
        <w:rPr>
          <w:rFonts w:ascii="宋体" w:hAnsi="宋体" w:cs="宋体"/>
        </w:rPr>
        <w:t>12</w:t>
      </w:r>
      <w:r>
        <w:rPr>
          <w:rFonts w:ascii="宋体" w:hAnsi="宋体" w:cs="宋体"/>
        </w:rPr>
        <w:t>）泛华普益基金销售有限公司</w:t>
      </w:r>
      <w:r>
        <w:rPr>
          <w:rFonts w:ascii="宋体" w:hAnsi="宋体" w:cs="宋体"/>
        </w:rPr>
        <w:cr/>
        <w:t xml:space="preserve">    </w:t>
      </w:r>
      <w:r>
        <w:rPr>
          <w:rFonts w:ascii="宋体" w:hAnsi="宋体" w:cs="宋体"/>
        </w:rPr>
        <w:t>（</w:t>
      </w:r>
      <w:r>
        <w:rPr>
          <w:rFonts w:ascii="宋体" w:hAnsi="宋体" w:cs="宋体"/>
        </w:rPr>
        <w:t>13</w:t>
      </w:r>
      <w:r>
        <w:rPr>
          <w:rFonts w:ascii="宋体" w:hAnsi="宋体" w:cs="宋体"/>
        </w:rPr>
        <w:t>）长城证券股份有限公司</w:t>
      </w:r>
    </w:p>
    <w:p w:rsidR="005A5ED1" w:rsidRDefault="00274FB7" w:rsidP="00274FB7">
      <w:pPr>
        <w:pStyle w:val="1"/>
        <w:spacing w:beforeLines="50" w:afterLines="50" w:line="360" w:lineRule="auto"/>
        <w:jc w:val="left"/>
        <w:rPr>
          <w:rFonts w:ascii="宋体" w:hAnsi="宋体" w:cs="宋体"/>
        </w:rPr>
        <w:pPrChange w:id="7" w:author="ZHONGM" w:date="2026-01-27T00:01:00Z">
          <w:pPr>
            <w:pStyle w:val="1"/>
            <w:spacing w:beforeLines="50" w:afterLines="50" w:line="360" w:lineRule="auto"/>
            <w:jc w:val="left"/>
          </w:pPr>
        </w:pPrChange>
      </w:pPr>
      <w:r>
        <w:rPr>
          <w:rFonts w:ascii="宋体" w:hAnsi="宋体" w:cs="宋体"/>
        </w:rPr>
        <w:t xml:space="preserve">7 </w:t>
      </w:r>
      <w:r>
        <w:rPr>
          <w:rFonts w:ascii="宋体" w:hAnsi="宋体" w:cs="宋体"/>
        </w:rPr>
        <w:t>基金份额净值公告</w:t>
      </w:r>
      <w:r>
        <w:rPr>
          <w:rFonts w:ascii="宋体" w:hAnsi="宋体" w:cs="宋体"/>
        </w:rPr>
        <w:t>/</w:t>
      </w:r>
      <w:r>
        <w:rPr>
          <w:rFonts w:ascii="宋体" w:hAnsi="宋体" w:cs="宋体"/>
        </w:rPr>
        <w:t>基金收</w:t>
      </w:r>
      <w:r>
        <w:rPr>
          <w:rFonts w:ascii="宋体" w:hAnsi="宋体" w:cs="宋体"/>
        </w:rPr>
        <w:t>益公告的披露安排</w:t>
      </w:r>
    </w:p>
    <w:p w:rsidR="005A5ED1" w:rsidRDefault="00274FB7">
      <w:pPr>
        <w:jc w:val="left"/>
      </w:pPr>
      <w:r>
        <w:rPr>
          <w:rFonts w:ascii="宋体" w:hAnsi="宋体" w:cs="宋体"/>
        </w:rPr>
        <w:t xml:space="preserve">    </w:t>
      </w:r>
      <w:r>
        <w:rPr>
          <w:rFonts w:ascii="宋体" w:hAnsi="宋体" w:cs="宋体"/>
        </w:rPr>
        <w:t>在开始办理基金份额申购或者赎回后，基金管理人应当在不晚于每个开放日的次日，通过规定网站、基金销售机构网站或者营业网点披露开放日各类基金份额的基金份额净值和各类基金份额的基金份额累计净值。</w:t>
      </w:r>
      <w:r>
        <w:rPr>
          <w:rFonts w:ascii="宋体" w:hAnsi="宋体" w:cs="宋体"/>
        </w:rPr>
        <w:cr/>
        <w:t xml:space="preserve">    </w:t>
      </w:r>
      <w:r>
        <w:rPr>
          <w:rFonts w:ascii="宋体" w:hAnsi="宋体" w:cs="宋体"/>
        </w:rPr>
        <w:t>基金管理人应当在不晚于半年度和年度最后一日的次日，在规定网站披露半年度和年度最后一日各类基金份额的基金份额净值和各类基金份额的基金份额累计净值。</w:t>
      </w:r>
    </w:p>
    <w:p w:rsidR="005A5ED1" w:rsidRDefault="00274FB7" w:rsidP="00274FB7">
      <w:pPr>
        <w:pStyle w:val="1"/>
        <w:spacing w:beforeLines="50" w:afterLines="50" w:line="360" w:lineRule="auto"/>
        <w:jc w:val="left"/>
        <w:rPr>
          <w:rFonts w:ascii="宋体" w:hAnsi="宋体" w:cs="宋体"/>
        </w:rPr>
        <w:pPrChange w:id="8" w:author="ZHONGM" w:date="2026-01-27T00:01:00Z">
          <w:pPr>
            <w:pStyle w:val="1"/>
            <w:spacing w:beforeLines="50" w:afterLines="50" w:line="360" w:lineRule="auto"/>
            <w:jc w:val="left"/>
          </w:pPr>
        </w:pPrChange>
      </w:pPr>
      <w:r>
        <w:rPr>
          <w:rFonts w:ascii="宋体" w:hAnsi="宋体" w:cs="宋体"/>
        </w:rPr>
        <w:t xml:space="preserve">8 </w:t>
      </w:r>
      <w:r>
        <w:rPr>
          <w:rFonts w:ascii="宋体" w:hAnsi="宋体" w:cs="宋体"/>
        </w:rPr>
        <w:t>其他需要提示的事项</w:t>
      </w:r>
    </w:p>
    <w:p w:rsidR="005A5ED1" w:rsidRDefault="00274FB7">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）本公告仅对本基金开放日常申购、赎回及定期定额投资业务的有关事项予以说明。投资人欲了解本基金的详细情况，请仔</w:t>
      </w:r>
      <w:r>
        <w:rPr>
          <w:rFonts w:ascii="宋体" w:hAnsi="宋体" w:cs="宋体"/>
        </w:rPr>
        <w:t>细阅读基金管理人网站（</w:t>
      </w:r>
      <w:r>
        <w:rPr>
          <w:rFonts w:ascii="宋体" w:hAnsi="宋体" w:cs="宋体"/>
        </w:rPr>
        <w:t>www.cjzcgl.com</w:t>
      </w:r>
      <w:r>
        <w:rPr>
          <w:rFonts w:ascii="宋体" w:hAnsi="宋体" w:cs="宋体"/>
        </w:rPr>
        <w:t>）发布的《长江中证全指指数增强型发起式证券投资基金招募说明书》等法律文件，或拨打本公司客户服务热线（</w:t>
      </w:r>
      <w:r>
        <w:rPr>
          <w:rFonts w:ascii="宋体" w:hAnsi="宋体" w:cs="宋体"/>
        </w:rPr>
        <w:t>4001-166-866</w:t>
      </w:r>
      <w:r>
        <w:rPr>
          <w:rFonts w:ascii="宋体" w:hAnsi="宋体" w:cs="宋体"/>
        </w:rPr>
        <w:t>）咨询相关信息。</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）投资人在本基金销售机构办理基金事务，具体办理规则及程序请遵循各销售机构的规定。</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）本公告的解释权归基金管理人所有。</w:t>
      </w:r>
      <w:r>
        <w:rPr>
          <w:rFonts w:ascii="宋体" w:hAnsi="宋体" w:cs="宋体"/>
        </w:rPr>
        <w:cr/>
        <w:t xml:space="preserve">    </w:t>
      </w:r>
      <w:r>
        <w:rPr>
          <w:rFonts w:ascii="宋体" w:hAnsi="宋体" w:cs="宋体"/>
        </w:rPr>
        <w:t>风险提示：基金管理人承诺以诚实信用、勤勉尽责的原则管理和运用基金资产，但不保证基金一定盈利，也不保证最低收益。投资人投资本基金前应认真阅读本基金的《基金合同》、《招募说明</w:t>
      </w:r>
      <w:r>
        <w:rPr>
          <w:rFonts w:ascii="宋体" w:hAnsi="宋体" w:cs="宋体"/>
        </w:rPr>
        <w:t>书》、《基金产品资料概要》等法律文件。</w:t>
      </w:r>
      <w:r>
        <w:rPr>
          <w:rFonts w:ascii="宋体" w:hAnsi="宋体" w:cs="宋体"/>
        </w:rPr>
        <w:cr/>
        <w:t xml:space="preserve">    </w:t>
      </w:r>
      <w:r>
        <w:rPr>
          <w:rFonts w:ascii="宋体" w:hAnsi="宋体" w:cs="宋体"/>
        </w:rPr>
        <w:t>特此公告。</w:t>
      </w:r>
    </w:p>
    <w:p w:rsidR="005A5ED1" w:rsidRDefault="005A5ED1"/>
    <w:p w:rsidR="005A5ED1" w:rsidRDefault="005A5ED1">
      <w:pPr>
        <w:jc w:val="right"/>
        <w:rPr>
          <w:rFonts w:ascii="宋体" w:hAnsi="宋体" w:cs="宋体"/>
        </w:rPr>
      </w:pPr>
    </w:p>
    <w:p w:rsidR="005A5ED1" w:rsidRDefault="00274FB7">
      <w:pPr>
        <w:jc w:val="right"/>
      </w:pPr>
      <w:r>
        <w:rPr>
          <w:rFonts w:ascii="宋体" w:hAnsi="宋体" w:cs="宋体"/>
        </w:rPr>
        <w:t>长江证券（上海）资产管理有限公司</w:t>
      </w:r>
    </w:p>
    <w:p w:rsidR="005A5ED1" w:rsidRDefault="00274FB7">
      <w:pPr>
        <w:jc w:val="righ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27</w:t>
      </w:r>
      <w:r>
        <w:rPr>
          <w:rFonts w:ascii="宋体" w:hAnsi="宋体" w:cs="宋体"/>
        </w:rPr>
        <w:t>日</w:t>
      </w:r>
    </w:p>
    <w:sectPr w:rsidR="005A5ED1" w:rsidSect="005A5ED1">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ED1" w:rsidRDefault="00274FB7">
      <w:pPr>
        <w:spacing w:line="240" w:lineRule="auto"/>
      </w:pPr>
      <w:r>
        <w:separator/>
      </w:r>
    </w:p>
  </w:endnote>
  <w:endnote w:type="continuationSeparator" w:id="0">
    <w:p w:rsidR="005A5ED1" w:rsidRDefault="00274F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ED1" w:rsidRDefault="005A5ED1" w:rsidP="00274FB7">
    <w:pPr>
      <w:pStyle w:val="a8"/>
      <w:ind w:left="5250"/>
      <w:pPrChange w:id="9" w:author="ZHONGM" w:date="2026-01-27T00:01:00Z">
        <w:pPr>
          <w:pStyle w:val="a8"/>
          <w:ind w:left="5250"/>
        </w:pPr>
      </w:pPrChan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ED1" w:rsidRDefault="00274FB7">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rPr>
      <w:t>第</w:t>
    </w:r>
    <w:r w:rsidR="005A5ED1" w:rsidRPr="005A5ED1">
      <w:rPr>
        <w:rFonts w:ascii="宋体" w:hAnsi="宋体" w:cs="Times New Roman" w:hint="eastAsia"/>
        <w:sz w:val="20"/>
        <w:szCs w:val="20"/>
        <w:lang/>
      </w:rPr>
      <w:fldChar w:fldCharType="begin"/>
    </w:r>
    <w:r>
      <w:rPr>
        <w:rFonts w:ascii="宋体" w:hAnsi="宋体" w:cs="宋体" w:hint="eastAsia"/>
        <w:sz w:val="20"/>
        <w:szCs w:val="20"/>
        <w:lang/>
      </w:rPr>
      <w:instrText>PAGE  \* MERGEFORMAT</w:instrText>
    </w:r>
    <w:r w:rsidR="005A5ED1" w:rsidRPr="005A5ED1">
      <w:rPr>
        <w:rFonts w:ascii="宋体" w:hAnsi="宋体" w:cs="Times New Roman" w:hint="eastAsia"/>
        <w:sz w:val="20"/>
        <w:szCs w:val="20"/>
        <w:lang/>
      </w:rPr>
      <w:fldChar w:fldCharType="separate"/>
    </w:r>
    <w:r>
      <w:rPr>
        <w:rFonts w:ascii="宋体" w:hAnsi="宋体" w:cs="宋体"/>
        <w:noProof/>
        <w:sz w:val="20"/>
        <w:szCs w:val="20"/>
        <w:lang/>
      </w:rPr>
      <w:t>1</w:t>
    </w:r>
    <w:r w:rsidR="005A5ED1">
      <w:rPr>
        <w:rFonts w:ascii="宋体" w:hAnsi="宋体" w:cs="宋体" w:hint="eastAsia"/>
        <w:sz w:val="20"/>
        <w:szCs w:val="20"/>
        <w:lang/>
      </w:rPr>
      <w:fldChar w:fldCharType="end"/>
    </w:r>
    <w:r>
      <w:rPr>
        <w:rFonts w:ascii="宋体" w:hAnsi="宋体" w:cs="宋体" w:hint="eastAsia"/>
        <w:sz w:val="20"/>
        <w:szCs w:val="20"/>
        <w:lang/>
      </w:rPr>
      <w:t>页，共</w:t>
    </w:r>
    <w:fldSimple w:instr="NUMPAGES  \* MERGEFORMAT ">
      <w:r>
        <w:rPr>
          <w:rFonts w:ascii="宋体" w:hAnsi="宋体" w:cs="宋体"/>
          <w:noProof/>
          <w:sz w:val="20"/>
          <w:szCs w:val="20"/>
          <w:lang/>
        </w:rPr>
        <w:t>3</w:t>
      </w:r>
    </w:fldSimple>
    <w:r>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ED1" w:rsidRDefault="005A5ED1" w:rsidP="00274FB7">
    <w:pPr>
      <w:pStyle w:val="a8"/>
      <w:ind w:left="5250"/>
      <w:pPrChange w:id="10" w:author="ZHONGM" w:date="2026-01-27T00:01:00Z">
        <w:pPr>
          <w:pStyle w:val="a8"/>
          <w:ind w:left="5250"/>
        </w:pPr>
      </w:pPrChan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ED1" w:rsidRDefault="00274FB7">
      <w:r>
        <w:separator/>
      </w:r>
    </w:p>
  </w:footnote>
  <w:footnote w:type="continuationSeparator" w:id="0">
    <w:p w:rsidR="005A5ED1" w:rsidRDefault="0027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ED1" w:rsidRDefault="005A5ED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ED1" w:rsidRDefault="00274FB7">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长江中证全指指数增强型发起式证券投资基金开放日常申购、赎回、定期定额投资业务公告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ED1" w:rsidRDefault="005A5ED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74FB7"/>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A5ED1"/>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C38762E"/>
    <w:rsid w:val="0E673885"/>
    <w:rsid w:val="17FF4F08"/>
    <w:rsid w:val="1FD5A936"/>
    <w:rsid w:val="312016A7"/>
    <w:rsid w:val="328572ED"/>
    <w:rsid w:val="3E9A1429"/>
    <w:rsid w:val="3EEE1DDF"/>
    <w:rsid w:val="3FB5185B"/>
    <w:rsid w:val="56894428"/>
    <w:rsid w:val="5EE34946"/>
    <w:rsid w:val="5FEE3864"/>
    <w:rsid w:val="62671060"/>
    <w:rsid w:val="656804E1"/>
    <w:rsid w:val="67517C74"/>
    <w:rsid w:val="6D8F3F0F"/>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D1"/>
    <w:pPr>
      <w:widowControl w:val="0"/>
      <w:spacing w:line="288" w:lineRule="auto"/>
      <w:jc w:val="both"/>
    </w:pPr>
    <w:rPr>
      <w:rFonts w:eastAsia="宋体"/>
      <w:kern w:val="2"/>
      <w:sz w:val="21"/>
      <w:szCs w:val="21"/>
    </w:rPr>
  </w:style>
  <w:style w:type="paragraph" w:styleId="1">
    <w:name w:val="heading 1"/>
    <w:basedOn w:val="a"/>
    <w:next w:val="a"/>
    <w:link w:val="1Char"/>
    <w:uiPriority w:val="9"/>
    <w:qFormat/>
    <w:rsid w:val="005A5ED1"/>
    <w:pPr>
      <w:spacing w:before="340" w:after="330" w:line="576" w:lineRule="auto"/>
      <w:jc w:val="center"/>
      <w:outlineLvl w:val="0"/>
    </w:pPr>
    <w:rPr>
      <w:b/>
      <w:bCs/>
      <w:kern w:val="44"/>
      <w:sz w:val="24"/>
      <w:szCs w:val="44"/>
    </w:rPr>
  </w:style>
  <w:style w:type="paragraph" w:styleId="2">
    <w:name w:val="heading 2"/>
    <w:basedOn w:val="a"/>
    <w:next w:val="a"/>
    <w:link w:val="2Char"/>
    <w:uiPriority w:val="9"/>
    <w:unhideWhenUsed/>
    <w:qFormat/>
    <w:rsid w:val="005A5ED1"/>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5A5ED1"/>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5A5ED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5A5ED1"/>
    <w:pPr>
      <w:ind w:left="1260"/>
      <w:jc w:val="left"/>
    </w:pPr>
    <w:rPr>
      <w:sz w:val="18"/>
      <w:szCs w:val="18"/>
    </w:rPr>
  </w:style>
  <w:style w:type="paragraph" w:styleId="a3">
    <w:name w:val="Normal Indent"/>
    <w:basedOn w:val="a"/>
    <w:link w:val="Char"/>
    <w:uiPriority w:val="99"/>
    <w:semiHidden/>
    <w:unhideWhenUsed/>
    <w:qFormat/>
    <w:rsid w:val="005A5ED1"/>
    <w:pPr>
      <w:ind w:firstLineChars="200" w:firstLine="420"/>
    </w:pPr>
  </w:style>
  <w:style w:type="paragraph" w:styleId="a4">
    <w:name w:val="Document Map"/>
    <w:basedOn w:val="a"/>
    <w:link w:val="Char0"/>
    <w:uiPriority w:val="99"/>
    <w:semiHidden/>
    <w:unhideWhenUsed/>
    <w:qFormat/>
    <w:rsid w:val="005A5ED1"/>
    <w:rPr>
      <w:rFonts w:ascii="宋体"/>
      <w:sz w:val="18"/>
      <w:szCs w:val="18"/>
    </w:rPr>
  </w:style>
  <w:style w:type="paragraph" w:styleId="a5">
    <w:name w:val="annotation text"/>
    <w:basedOn w:val="a"/>
    <w:link w:val="Char1"/>
    <w:uiPriority w:val="99"/>
    <w:semiHidden/>
    <w:unhideWhenUsed/>
    <w:qFormat/>
    <w:rsid w:val="005A5ED1"/>
    <w:pPr>
      <w:jc w:val="left"/>
    </w:pPr>
  </w:style>
  <w:style w:type="paragraph" w:styleId="a6">
    <w:name w:val="Body Text"/>
    <w:basedOn w:val="a"/>
    <w:link w:val="Char2"/>
    <w:uiPriority w:val="99"/>
    <w:semiHidden/>
    <w:unhideWhenUsed/>
    <w:qFormat/>
    <w:rsid w:val="005A5ED1"/>
    <w:pPr>
      <w:spacing w:after="120"/>
    </w:pPr>
  </w:style>
  <w:style w:type="paragraph" w:styleId="5">
    <w:name w:val="toc 5"/>
    <w:basedOn w:val="a"/>
    <w:next w:val="a"/>
    <w:autoRedefine/>
    <w:uiPriority w:val="39"/>
    <w:unhideWhenUsed/>
    <w:qFormat/>
    <w:rsid w:val="005A5ED1"/>
    <w:pPr>
      <w:ind w:left="840"/>
      <w:jc w:val="left"/>
    </w:pPr>
    <w:rPr>
      <w:sz w:val="18"/>
      <w:szCs w:val="18"/>
    </w:rPr>
  </w:style>
  <w:style w:type="paragraph" w:styleId="30">
    <w:name w:val="toc 3"/>
    <w:basedOn w:val="a"/>
    <w:next w:val="a"/>
    <w:autoRedefine/>
    <w:uiPriority w:val="39"/>
    <w:unhideWhenUsed/>
    <w:qFormat/>
    <w:rsid w:val="005A5ED1"/>
    <w:pPr>
      <w:spacing w:line="240" w:lineRule="auto"/>
      <w:ind w:left="420"/>
      <w:jc w:val="left"/>
    </w:pPr>
    <w:rPr>
      <w:i/>
      <w:iCs/>
      <w:szCs w:val="20"/>
    </w:rPr>
  </w:style>
  <w:style w:type="paragraph" w:styleId="a7">
    <w:name w:val="Plain Text"/>
    <w:basedOn w:val="a"/>
    <w:link w:val="Char3"/>
    <w:uiPriority w:val="99"/>
    <w:semiHidden/>
    <w:unhideWhenUsed/>
    <w:qFormat/>
    <w:rsid w:val="005A5ED1"/>
    <w:rPr>
      <w:rFonts w:asciiTheme="minorEastAsia" w:hAnsi="Courier New" w:cs="Courier New"/>
    </w:rPr>
  </w:style>
  <w:style w:type="paragraph" w:styleId="8">
    <w:name w:val="toc 8"/>
    <w:basedOn w:val="a"/>
    <w:next w:val="a"/>
    <w:autoRedefine/>
    <w:uiPriority w:val="39"/>
    <w:unhideWhenUsed/>
    <w:qFormat/>
    <w:rsid w:val="005A5ED1"/>
    <w:pPr>
      <w:ind w:left="1470"/>
      <w:jc w:val="left"/>
    </w:pPr>
    <w:rPr>
      <w:rFonts w:eastAsiaTheme="minorHAnsi"/>
      <w:sz w:val="18"/>
      <w:szCs w:val="18"/>
    </w:rPr>
  </w:style>
  <w:style w:type="paragraph" w:styleId="a8">
    <w:name w:val="Date"/>
    <w:basedOn w:val="a"/>
    <w:next w:val="a"/>
    <w:link w:val="Char4"/>
    <w:uiPriority w:val="99"/>
    <w:semiHidden/>
    <w:unhideWhenUsed/>
    <w:qFormat/>
    <w:rsid w:val="005A5ED1"/>
    <w:pPr>
      <w:ind w:leftChars="2500" w:left="100"/>
    </w:pPr>
  </w:style>
  <w:style w:type="paragraph" w:styleId="a9">
    <w:name w:val="Balloon Text"/>
    <w:basedOn w:val="a"/>
    <w:link w:val="Char5"/>
    <w:uiPriority w:val="99"/>
    <w:semiHidden/>
    <w:unhideWhenUsed/>
    <w:qFormat/>
    <w:rsid w:val="005A5ED1"/>
    <w:rPr>
      <w:sz w:val="18"/>
      <w:szCs w:val="18"/>
    </w:rPr>
  </w:style>
  <w:style w:type="paragraph" w:styleId="aa">
    <w:name w:val="footer"/>
    <w:basedOn w:val="a"/>
    <w:link w:val="Char6"/>
    <w:uiPriority w:val="99"/>
    <w:unhideWhenUsed/>
    <w:qFormat/>
    <w:rsid w:val="005A5ED1"/>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5A5ED1"/>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5A5ED1"/>
    <w:pPr>
      <w:tabs>
        <w:tab w:val="right" w:leader="dot" w:pos="9060"/>
      </w:tabs>
      <w:spacing w:line="240" w:lineRule="auto"/>
      <w:jc w:val="left"/>
    </w:pPr>
    <w:rPr>
      <w:b/>
      <w:bCs/>
      <w:caps/>
      <w:szCs w:val="20"/>
    </w:rPr>
  </w:style>
  <w:style w:type="paragraph" w:styleId="40">
    <w:name w:val="toc 4"/>
    <w:basedOn w:val="a"/>
    <w:next w:val="a"/>
    <w:autoRedefine/>
    <w:uiPriority w:val="39"/>
    <w:unhideWhenUsed/>
    <w:qFormat/>
    <w:rsid w:val="005A5ED1"/>
    <w:pPr>
      <w:ind w:left="630"/>
      <w:jc w:val="left"/>
    </w:pPr>
    <w:rPr>
      <w:sz w:val="18"/>
      <w:szCs w:val="18"/>
    </w:rPr>
  </w:style>
  <w:style w:type="paragraph" w:styleId="6">
    <w:name w:val="toc 6"/>
    <w:basedOn w:val="a"/>
    <w:next w:val="a"/>
    <w:autoRedefine/>
    <w:uiPriority w:val="39"/>
    <w:unhideWhenUsed/>
    <w:qFormat/>
    <w:rsid w:val="005A5ED1"/>
    <w:pPr>
      <w:ind w:left="1050"/>
      <w:jc w:val="left"/>
    </w:pPr>
    <w:rPr>
      <w:sz w:val="18"/>
      <w:szCs w:val="18"/>
    </w:rPr>
  </w:style>
  <w:style w:type="paragraph" w:styleId="20">
    <w:name w:val="toc 2"/>
    <w:basedOn w:val="a"/>
    <w:next w:val="a"/>
    <w:autoRedefine/>
    <w:uiPriority w:val="39"/>
    <w:unhideWhenUsed/>
    <w:qFormat/>
    <w:rsid w:val="005A5ED1"/>
    <w:pPr>
      <w:spacing w:line="240" w:lineRule="auto"/>
      <w:ind w:left="210"/>
      <w:jc w:val="left"/>
    </w:pPr>
    <w:rPr>
      <w:smallCaps/>
      <w:szCs w:val="20"/>
    </w:rPr>
  </w:style>
  <w:style w:type="paragraph" w:styleId="9">
    <w:name w:val="toc 9"/>
    <w:basedOn w:val="a"/>
    <w:next w:val="a"/>
    <w:autoRedefine/>
    <w:uiPriority w:val="39"/>
    <w:unhideWhenUsed/>
    <w:qFormat/>
    <w:rsid w:val="005A5ED1"/>
    <w:pPr>
      <w:ind w:left="1680"/>
      <w:jc w:val="left"/>
    </w:pPr>
    <w:rPr>
      <w:rFonts w:eastAsiaTheme="minorHAnsi"/>
      <w:sz w:val="18"/>
      <w:szCs w:val="18"/>
    </w:rPr>
  </w:style>
  <w:style w:type="paragraph" w:styleId="ac">
    <w:name w:val="Normal (Web)"/>
    <w:basedOn w:val="a"/>
    <w:uiPriority w:val="99"/>
    <w:semiHidden/>
    <w:unhideWhenUsed/>
    <w:qFormat/>
    <w:rsid w:val="005A5ED1"/>
    <w:rPr>
      <w:rFonts w:ascii="Times New Roman" w:hAnsi="Times New Roman" w:cs="宋体"/>
      <w:sz w:val="24"/>
      <w:szCs w:val="24"/>
    </w:rPr>
  </w:style>
  <w:style w:type="paragraph" w:styleId="ad">
    <w:name w:val="Title"/>
    <w:basedOn w:val="a"/>
    <w:next w:val="a"/>
    <w:link w:val="Char8"/>
    <w:uiPriority w:val="10"/>
    <w:qFormat/>
    <w:rsid w:val="005A5ED1"/>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qFormat/>
    <w:rsid w:val="005A5ED1"/>
    <w:rPr>
      <w:b/>
      <w:bCs/>
    </w:rPr>
  </w:style>
  <w:style w:type="table" w:styleId="af">
    <w:name w:val="Table Grid"/>
    <w:basedOn w:val="a1"/>
    <w:uiPriority w:val="39"/>
    <w:qFormat/>
    <w:rsid w:val="005A5ED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qFormat/>
    <w:rsid w:val="005A5ED1"/>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5A5ED1"/>
    <w:rPr>
      <w:b/>
      <w:bCs/>
    </w:rPr>
  </w:style>
  <w:style w:type="character" w:styleId="af1">
    <w:name w:val="Hyperlink"/>
    <w:basedOn w:val="a0"/>
    <w:uiPriority w:val="99"/>
    <w:unhideWhenUsed/>
    <w:qFormat/>
    <w:rsid w:val="005A5ED1"/>
    <w:rPr>
      <w:color w:val="0000FF"/>
      <w:u w:val="single"/>
    </w:rPr>
  </w:style>
  <w:style w:type="character" w:styleId="HTML">
    <w:name w:val="HTML Code"/>
    <w:basedOn w:val="a0"/>
    <w:uiPriority w:val="99"/>
    <w:semiHidden/>
    <w:unhideWhenUsed/>
    <w:qFormat/>
    <w:rsid w:val="005A5ED1"/>
    <w:rPr>
      <w:rFonts w:ascii="Courier New" w:hAnsi="Courier New" w:cs="Courier New"/>
      <w:sz w:val="20"/>
      <w:szCs w:val="20"/>
    </w:rPr>
  </w:style>
  <w:style w:type="character" w:styleId="af2">
    <w:name w:val="annotation reference"/>
    <w:basedOn w:val="a0"/>
    <w:uiPriority w:val="99"/>
    <w:semiHidden/>
    <w:unhideWhenUsed/>
    <w:qFormat/>
    <w:rsid w:val="005A5ED1"/>
    <w:rPr>
      <w:sz w:val="21"/>
      <w:szCs w:val="21"/>
    </w:rPr>
  </w:style>
  <w:style w:type="paragraph" w:customStyle="1" w:styleId="af3">
    <w:name w:val="代码样式"/>
    <w:link w:val="Chara"/>
    <w:qFormat/>
    <w:rsid w:val="005A5ED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sid w:val="005A5ED1"/>
    <w:rPr>
      <w:shd w:val="clear" w:color="auto" w:fill="A8D08D" w:themeFill="accent6" w:themeFillTint="99"/>
    </w:rPr>
  </w:style>
  <w:style w:type="character" w:customStyle="1" w:styleId="1Char">
    <w:name w:val="标题 1 Char"/>
    <w:basedOn w:val="a0"/>
    <w:link w:val="1"/>
    <w:uiPriority w:val="9"/>
    <w:qFormat/>
    <w:rsid w:val="005A5ED1"/>
    <w:rPr>
      <w:rFonts w:eastAsia="宋体"/>
      <w:b/>
      <w:bCs/>
      <w:kern w:val="44"/>
      <w:sz w:val="24"/>
      <w:szCs w:val="44"/>
    </w:rPr>
  </w:style>
  <w:style w:type="character" w:customStyle="1" w:styleId="2Char">
    <w:name w:val="标题 2 Char"/>
    <w:basedOn w:val="a0"/>
    <w:link w:val="2"/>
    <w:uiPriority w:val="9"/>
    <w:qFormat/>
    <w:rsid w:val="005A5ED1"/>
    <w:rPr>
      <w:rFonts w:asciiTheme="majorHAnsi" w:eastAsia="宋体" w:hAnsiTheme="majorHAnsi" w:cstheme="majorBidi"/>
      <w:b/>
      <w:bCs/>
      <w:sz w:val="24"/>
      <w:szCs w:val="32"/>
    </w:rPr>
  </w:style>
  <w:style w:type="character" w:customStyle="1" w:styleId="3Char">
    <w:name w:val="标题 3 Char"/>
    <w:basedOn w:val="a0"/>
    <w:link w:val="3"/>
    <w:uiPriority w:val="9"/>
    <w:qFormat/>
    <w:rsid w:val="005A5ED1"/>
    <w:rPr>
      <w:rFonts w:eastAsia="宋体"/>
      <w:b/>
      <w:bCs/>
      <w:sz w:val="24"/>
      <w:szCs w:val="32"/>
    </w:rPr>
  </w:style>
  <w:style w:type="character" w:customStyle="1" w:styleId="4Char">
    <w:name w:val="标题 4 Char"/>
    <w:basedOn w:val="a0"/>
    <w:link w:val="4"/>
    <w:uiPriority w:val="9"/>
    <w:semiHidden/>
    <w:qFormat/>
    <w:rsid w:val="005A5ED1"/>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5A5ED1"/>
    <w:rPr>
      <w:rFonts w:asciiTheme="minorHAnsi" w:eastAsiaTheme="minorEastAsia" w:hAnsiTheme="minorHAnsi" w:cstheme="minorBidi"/>
      <w:sz w:val="21"/>
      <w:szCs w:val="22"/>
    </w:rPr>
  </w:style>
  <w:style w:type="character" w:customStyle="1" w:styleId="Char1">
    <w:name w:val="批注文字 Char"/>
    <w:basedOn w:val="a0"/>
    <w:link w:val="a5"/>
    <w:uiPriority w:val="99"/>
    <w:semiHidden/>
    <w:qFormat/>
    <w:rsid w:val="005A5ED1"/>
    <w:rPr>
      <w:rFonts w:asciiTheme="minorHAnsi" w:eastAsiaTheme="minorEastAsia" w:hAnsiTheme="minorHAnsi" w:cstheme="minorBidi"/>
      <w:sz w:val="21"/>
      <w:szCs w:val="22"/>
    </w:rPr>
  </w:style>
  <w:style w:type="character" w:customStyle="1" w:styleId="Char7">
    <w:name w:val="页眉 Char"/>
    <w:basedOn w:val="a0"/>
    <w:link w:val="ab"/>
    <w:uiPriority w:val="99"/>
    <w:qFormat/>
    <w:rsid w:val="005A5ED1"/>
    <w:rPr>
      <w:rFonts w:asciiTheme="minorHAnsi" w:eastAsiaTheme="minorEastAsia" w:hAnsiTheme="minorHAnsi" w:cstheme="minorBidi"/>
      <w:sz w:val="18"/>
      <w:szCs w:val="18"/>
    </w:rPr>
  </w:style>
  <w:style w:type="character" w:customStyle="1" w:styleId="Char6">
    <w:name w:val="页脚 Char"/>
    <w:basedOn w:val="a0"/>
    <w:link w:val="aa"/>
    <w:uiPriority w:val="99"/>
    <w:qFormat/>
    <w:rsid w:val="005A5ED1"/>
    <w:rPr>
      <w:rFonts w:asciiTheme="minorHAnsi" w:eastAsiaTheme="minorEastAsia" w:hAnsiTheme="minorHAnsi" w:cstheme="minorBidi"/>
      <w:sz w:val="18"/>
      <w:szCs w:val="18"/>
    </w:rPr>
  </w:style>
  <w:style w:type="character" w:customStyle="1" w:styleId="Char2">
    <w:name w:val="正文文本 Char"/>
    <w:basedOn w:val="a0"/>
    <w:link w:val="a6"/>
    <w:uiPriority w:val="99"/>
    <w:semiHidden/>
    <w:qFormat/>
    <w:rsid w:val="005A5ED1"/>
    <w:rPr>
      <w:rFonts w:asciiTheme="minorHAnsi" w:eastAsiaTheme="minorEastAsia" w:hAnsiTheme="minorHAnsi" w:cstheme="minorBidi"/>
      <w:sz w:val="21"/>
      <w:szCs w:val="22"/>
    </w:rPr>
  </w:style>
  <w:style w:type="character" w:customStyle="1" w:styleId="Char4">
    <w:name w:val="日期 Char"/>
    <w:basedOn w:val="a0"/>
    <w:link w:val="a8"/>
    <w:uiPriority w:val="99"/>
    <w:semiHidden/>
    <w:qFormat/>
    <w:rsid w:val="005A5ED1"/>
    <w:rPr>
      <w:rFonts w:asciiTheme="minorHAnsi" w:eastAsiaTheme="minorEastAsia" w:hAnsiTheme="minorHAnsi" w:cstheme="minorBidi"/>
      <w:sz w:val="21"/>
      <w:szCs w:val="22"/>
    </w:rPr>
  </w:style>
  <w:style w:type="character" w:customStyle="1" w:styleId="Char3">
    <w:name w:val="纯文本 Char"/>
    <w:basedOn w:val="a0"/>
    <w:link w:val="a7"/>
    <w:uiPriority w:val="99"/>
    <w:semiHidden/>
    <w:qFormat/>
    <w:rsid w:val="005A5ED1"/>
    <w:rPr>
      <w:rFonts w:asciiTheme="minorEastAsia" w:eastAsiaTheme="minorEastAsia" w:hAnsi="Courier New" w:cs="Courier New"/>
      <w:sz w:val="21"/>
      <w:szCs w:val="22"/>
    </w:rPr>
  </w:style>
  <w:style w:type="character" w:customStyle="1" w:styleId="Char9">
    <w:name w:val="批注主题 Char"/>
    <w:basedOn w:val="Char1"/>
    <w:link w:val="ae"/>
    <w:uiPriority w:val="99"/>
    <w:semiHidden/>
    <w:qFormat/>
    <w:rsid w:val="005A5ED1"/>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qFormat/>
    <w:rsid w:val="005A5ED1"/>
    <w:rPr>
      <w:rFonts w:asciiTheme="minorHAnsi" w:eastAsiaTheme="minorEastAsia" w:hAnsiTheme="minorHAnsi" w:cstheme="minorBidi"/>
      <w:sz w:val="18"/>
      <w:szCs w:val="18"/>
    </w:rPr>
  </w:style>
  <w:style w:type="paragraph" w:styleId="af4">
    <w:name w:val="List Paragraph"/>
    <w:basedOn w:val="a"/>
    <w:uiPriority w:val="34"/>
    <w:qFormat/>
    <w:rsid w:val="005A5ED1"/>
    <w:pPr>
      <w:ind w:firstLineChars="200" w:firstLine="420"/>
    </w:pPr>
  </w:style>
  <w:style w:type="character" w:customStyle="1" w:styleId="Char8">
    <w:name w:val="标题 Char"/>
    <w:basedOn w:val="a0"/>
    <w:link w:val="ad"/>
    <w:uiPriority w:val="10"/>
    <w:qFormat/>
    <w:rsid w:val="005A5ED1"/>
    <w:rPr>
      <w:rFonts w:asciiTheme="majorHAnsi" w:eastAsiaTheme="majorEastAsia" w:hAnsiTheme="majorHAnsi" w:cstheme="majorBidi"/>
      <w:b/>
      <w:bCs/>
      <w:sz w:val="32"/>
      <w:szCs w:val="32"/>
    </w:rPr>
  </w:style>
  <w:style w:type="paragraph" w:customStyle="1" w:styleId="biaogeleft">
    <w:name w:val="biaoge_left"/>
    <w:basedOn w:val="a"/>
    <w:qFormat/>
    <w:rsid w:val="005A5ED1"/>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qFormat/>
    <w:rsid w:val="005A5ED1"/>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qFormat/>
    <w:rsid w:val="005A5ED1"/>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5A5ED1"/>
    <w:rPr>
      <w:rFonts w:ascii="宋体" w:eastAsia="宋体" w:hAnsi="宋体"/>
      <w:color w:val="000000" w:themeColor="text1"/>
      <w:sz w:val="21"/>
    </w:rPr>
  </w:style>
  <w:style w:type="paragraph" w:customStyle="1" w:styleId="TOC1">
    <w:name w:val="TOC 标题1"/>
    <w:basedOn w:val="1"/>
    <w:next w:val="a"/>
    <w:uiPriority w:val="39"/>
    <w:unhideWhenUsed/>
    <w:qFormat/>
    <w:rsid w:val="005A5ED1"/>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qFormat/>
    <w:rsid w:val="005A5ED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6248</Characters>
  <Application>Microsoft Office Word</Application>
  <DocSecurity>4</DocSecurity>
  <Lines>52</Lines>
  <Paragraphs>14</Paragraphs>
  <ScaleCrop>false</ScaleCrop>
  <Company>CNSTOCK</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28566CE78C6918B966EB2066D65C6581_42</vt:lpwstr>
  </property>
</Properties>
</file>