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B3" w:rsidRDefault="002E15B3">
      <w:pPr>
        <w:autoSpaceDE w:val="0"/>
        <w:autoSpaceDN w:val="0"/>
        <w:adjustRightInd w:val="0"/>
        <w:spacing w:line="288" w:lineRule="auto"/>
        <w:jc w:val="left"/>
        <w:rPr>
          <w:rFonts w:ascii="MS Sans Serif" w:hAnsi="MS Sans Serif" w:cs="MS Sans Serif"/>
          <w:color w:val="000000"/>
          <w:kern w:val="0"/>
          <w:sz w:val="24"/>
          <w:szCs w:val="24"/>
        </w:rPr>
      </w:pPr>
    </w:p>
    <w:p w:rsidR="002E15B3" w:rsidRDefault="00882A7C">
      <w:pPr>
        <w:pStyle w:val="1"/>
        <w:spacing w:after="360"/>
        <w:rPr>
          <w:color w:val="auto"/>
          <w:sz w:val="28"/>
          <w:szCs w:val="28"/>
        </w:rPr>
      </w:pPr>
      <w:r>
        <w:rPr>
          <w:rFonts w:hint="eastAsia"/>
          <w:color w:val="auto"/>
          <w:sz w:val="28"/>
          <w:szCs w:val="28"/>
        </w:rPr>
        <w:t>浙商兴永纯债三个月定期开放债券型发起式证券投资基金</w:t>
      </w:r>
    </w:p>
    <w:p w:rsidR="002E15B3" w:rsidRDefault="00882A7C">
      <w:pPr>
        <w:pStyle w:val="1"/>
        <w:spacing w:after="360"/>
        <w:rPr>
          <w:color w:val="auto"/>
          <w:sz w:val="28"/>
          <w:szCs w:val="28"/>
        </w:rPr>
      </w:pPr>
      <w:r>
        <w:rPr>
          <w:rFonts w:hint="eastAsia"/>
          <w:color w:val="auto"/>
          <w:sz w:val="28"/>
          <w:szCs w:val="28"/>
        </w:rPr>
        <w:t>开放申购、赎回业务公告</w:t>
      </w:r>
    </w:p>
    <w:p w:rsidR="002E15B3" w:rsidRDefault="002E15B3"/>
    <w:p w:rsidR="002E15B3" w:rsidRDefault="002E15B3">
      <w:pPr>
        <w:autoSpaceDE w:val="0"/>
        <w:autoSpaceDN w:val="0"/>
        <w:adjustRightInd w:val="0"/>
        <w:spacing w:line="288" w:lineRule="auto"/>
        <w:jc w:val="left"/>
        <w:rPr>
          <w:rFonts w:ascii="MS Sans Serif" w:hAnsi="MS Sans Serif" w:cs="MS Sans Serif"/>
          <w:color w:val="000000"/>
          <w:kern w:val="0"/>
          <w:sz w:val="7"/>
          <w:szCs w:val="7"/>
        </w:rPr>
      </w:pPr>
    </w:p>
    <w:p w:rsidR="002E15B3" w:rsidRDefault="00882A7C">
      <w:pPr>
        <w:autoSpaceDE w:val="0"/>
        <w:autoSpaceDN w:val="0"/>
        <w:adjustRightInd w:val="0"/>
        <w:spacing w:before="29" w:line="288" w:lineRule="auto"/>
        <w:ind w:left="15"/>
        <w:jc w:val="center"/>
        <w:rPr>
          <w:rFonts w:ascii="宋体" w:hAnsi="Arial" w:cs="宋体"/>
          <w:color w:val="000000"/>
          <w:kern w:val="0"/>
          <w:sz w:val="24"/>
          <w:szCs w:val="24"/>
        </w:rPr>
      </w:pPr>
      <w:r>
        <w:rPr>
          <w:rFonts w:ascii="宋体" w:hAnsi="Arial" w:cs="宋体" w:hint="eastAsia"/>
          <w:color w:val="000000"/>
          <w:kern w:val="0"/>
          <w:sz w:val="24"/>
          <w:szCs w:val="24"/>
        </w:rPr>
        <w:t>公告送出日期：</w:t>
      </w:r>
      <w:r>
        <w:rPr>
          <w:rFonts w:ascii="宋体" w:hAnsi="Arial" w:cs="宋体"/>
          <w:color w:val="000000"/>
          <w:kern w:val="0"/>
          <w:sz w:val="24"/>
          <w:szCs w:val="24"/>
        </w:rPr>
        <w:t>2026</w:t>
      </w:r>
      <w:r>
        <w:rPr>
          <w:rFonts w:ascii="宋体" w:hAnsi="Arial" w:cs="宋体" w:hint="eastAsia"/>
          <w:color w:val="000000"/>
          <w:kern w:val="0"/>
          <w:sz w:val="24"/>
          <w:szCs w:val="24"/>
        </w:rPr>
        <w:t>年</w:t>
      </w:r>
      <w:r>
        <w:rPr>
          <w:rFonts w:ascii="宋体" w:hAnsi="Arial" w:cs="宋体"/>
          <w:color w:val="000000"/>
          <w:kern w:val="0"/>
          <w:sz w:val="24"/>
          <w:szCs w:val="24"/>
        </w:rPr>
        <w:t>1</w:t>
      </w:r>
      <w:r>
        <w:rPr>
          <w:rFonts w:ascii="宋体" w:hAnsi="Arial" w:cs="宋体" w:hint="eastAsia"/>
          <w:color w:val="000000"/>
          <w:kern w:val="0"/>
          <w:sz w:val="24"/>
          <w:szCs w:val="24"/>
        </w:rPr>
        <w:t>月</w:t>
      </w:r>
      <w:r>
        <w:rPr>
          <w:rFonts w:ascii="宋体" w:hAnsi="Arial" w:cs="宋体"/>
          <w:color w:val="000000"/>
          <w:kern w:val="0"/>
          <w:sz w:val="24"/>
          <w:szCs w:val="24"/>
        </w:rPr>
        <w:t>27</w:t>
      </w:r>
      <w:r>
        <w:rPr>
          <w:rFonts w:ascii="宋体" w:hAnsi="Arial" w:cs="宋体" w:hint="eastAsia"/>
          <w:color w:val="000000"/>
          <w:kern w:val="0"/>
          <w:sz w:val="24"/>
          <w:szCs w:val="24"/>
        </w:rPr>
        <w:t>日</w:t>
      </w:r>
    </w:p>
    <w:p w:rsidR="002E15B3" w:rsidRDefault="002E15B3">
      <w:pPr>
        <w:autoSpaceDE w:val="0"/>
        <w:autoSpaceDN w:val="0"/>
        <w:adjustRightInd w:val="0"/>
        <w:spacing w:before="29" w:line="288" w:lineRule="auto"/>
        <w:ind w:left="15"/>
        <w:jc w:val="center"/>
        <w:rPr>
          <w:rFonts w:ascii="宋体" w:hAnsi="Arial" w:cs="宋体"/>
          <w:color w:val="000000"/>
          <w:kern w:val="0"/>
          <w:sz w:val="24"/>
          <w:szCs w:val="24"/>
        </w:rPr>
      </w:pPr>
    </w:p>
    <w:p w:rsidR="002E15B3" w:rsidRDefault="00882A7C">
      <w:pPr>
        <w:autoSpaceDE w:val="0"/>
        <w:autoSpaceDN w:val="0"/>
        <w:adjustRightInd w:val="0"/>
        <w:spacing w:before="29" w:line="288" w:lineRule="auto"/>
        <w:ind w:left="15"/>
        <w:jc w:val="left"/>
        <w:rPr>
          <w:rFonts w:ascii="宋体" w:hAnsi="Arial" w:cs="宋体"/>
          <w:b/>
          <w:bCs/>
          <w:color w:val="000000"/>
          <w:kern w:val="0"/>
          <w:sz w:val="24"/>
          <w:szCs w:val="24"/>
        </w:rPr>
      </w:pP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公告基本信息</w:t>
      </w:r>
    </w:p>
    <w:tbl>
      <w:tblPr>
        <w:tblW w:w="9030" w:type="dxa"/>
        <w:tblInd w:w="108" w:type="dxa"/>
        <w:tblLayout w:type="fixed"/>
        <w:tblLook w:val="04A0"/>
      </w:tblPr>
      <w:tblGrid>
        <w:gridCol w:w="3612"/>
        <w:gridCol w:w="5418"/>
      </w:tblGrid>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基金名称</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hint="eastAsia"/>
                <w:color w:val="000000"/>
                <w:kern w:val="0"/>
                <w:sz w:val="24"/>
                <w:szCs w:val="24"/>
              </w:rPr>
              <w:t>浙商兴永纯债三个月定期开放债券型发起式证券投资基金</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基金简称</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hint="eastAsia"/>
                <w:color w:val="000000"/>
                <w:kern w:val="0"/>
                <w:sz w:val="24"/>
                <w:szCs w:val="24"/>
              </w:rPr>
              <w:t>浙商兴永三个月定期开放债券</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基金代码</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color w:val="000000"/>
                <w:kern w:val="0"/>
                <w:sz w:val="24"/>
                <w:szCs w:val="24"/>
              </w:rPr>
              <w:t>006284</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基金运作方式</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hint="eastAsia"/>
                <w:color w:val="000000"/>
                <w:kern w:val="0"/>
                <w:sz w:val="24"/>
                <w:szCs w:val="24"/>
              </w:rPr>
              <w:t>契约型开放式</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基金合同生效日</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before="29" w:line="288" w:lineRule="auto"/>
              <w:ind w:left="15"/>
              <w:rPr>
                <w:rFonts w:ascii="宋体" w:hAnsi="Arial" w:cs="宋体"/>
                <w:color w:val="000000"/>
                <w:kern w:val="0"/>
                <w:sz w:val="24"/>
                <w:szCs w:val="24"/>
              </w:rPr>
            </w:pPr>
            <w:r>
              <w:rPr>
                <w:rFonts w:ascii="宋体" w:hAnsi="Arial" w:cs="宋体" w:hint="eastAsia"/>
                <w:color w:val="000000"/>
                <w:kern w:val="0"/>
                <w:sz w:val="24"/>
                <w:szCs w:val="24"/>
              </w:rPr>
              <w:t>2019</w:t>
            </w:r>
            <w:r>
              <w:rPr>
                <w:rFonts w:ascii="宋体" w:hAnsi="Arial" w:cs="宋体" w:hint="eastAsia"/>
                <w:color w:val="000000"/>
                <w:kern w:val="0"/>
                <w:sz w:val="24"/>
                <w:szCs w:val="24"/>
              </w:rPr>
              <w:t>年</w:t>
            </w:r>
            <w:r>
              <w:rPr>
                <w:rFonts w:ascii="宋体" w:hAnsi="Arial" w:cs="宋体" w:hint="eastAsia"/>
                <w:color w:val="000000"/>
                <w:kern w:val="0"/>
                <w:sz w:val="24"/>
                <w:szCs w:val="24"/>
              </w:rPr>
              <w:t>4</w:t>
            </w:r>
            <w:r>
              <w:rPr>
                <w:rFonts w:ascii="宋体" w:hAnsi="Arial" w:cs="宋体" w:hint="eastAsia"/>
                <w:color w:val="000000"/>
                <w:kern w:val="0"/>
                <w:sz w:val="24"/>
                <w:szCs w:val="24"/>
              </w:rPr>
              <w:t>月</w:t>
            </w:r>
            <w:r>
              <w:rPr>
                <w:rFonts w:ascii="宋体" w:hAnsi="Arial" w:cs="宋体" w:hint="eastAsia"/>
                <w:color w:val="000000"/>
                <w:kern w:val="0"/>
                <w:sz w:val="24"/>
                <w:szCs w:val="24"/>
              </w:rPr>
              <w:t>24</w:t>
            </w:r>
            <w:r>
              <w:rPr>
                <w:rFonts w:ascii="宋体" w:hAnsi="Arial" w:cs="宋体" w:hint="eastAsia"/>
                <w:color w:val="000000"/>
                <w:kern w:val="0"/>
                <w:sz w:val="24"/>
                <w:szCs w:val="24"/>
              </w:rPr>
              <w:t>日</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基金管理人名称</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Theme="minorHAnsi" w:cs="宋体"/>
                <w:color w:val="000000"/>
                <w:kern w:val="0"/>
                <w:sz w:val="24"/>
                <w:szCs w:val="24"/>
              </w:rPr>
            </w:pPr>
            <w:r>
              <w:rPr>
                <w:rFonts w:ascii="宋体" w:hAnsiTheme="minorHAnsi" w:cs="宋体" w:hint="eastAsia"/>
                <w:color w:val="000000"/>
                <w:kern w:val="0"/>
                <w:sz w:val="24"/>
                <w:szCs w:val="24"/>
              </w:rPr>
              <w:t>浙商基金管理有限公司</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基金托管人名称</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Theme="minorHAnsi" w:cs="宋体"/>
                <w:color w:val="000000"/>
                <w:kern w:val="0"/>
                <w:sz w:val="24"/>
                <w:szCs w:val="24"/>
              </w:rPr>
            </w:pPr>
            <w:r>
              <w:rPr>
                <w:rFonts w:ascii="宋体" w:hAnsiTheme="minorHAnsi" w:cs="宋体" w:hint="eastAsia"/>
                <w:color w:val="000000"/>
                <w:kern w:val="0"/>
                <w:sz w:val="24"/>
                <w:szCs w:val="24"/>
              </w:rPr>
              <w:t>兴业银行股份有限公司</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基金注册登记机构名称</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hint="eastAsia"/>
                <w:color w:val="000000"/>
                <w:kern w:val="0"/>
                <w:sz w:val="24"/>
                <w:szCs w:val="24"/>
              </w:rPr>
              <w:t>浙商基金管理有限公司</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公告依据</w:t>
            </w:r>
          </w:p>
        </w:tc>
        <w:tc>
          <w:tcPr>
            <w:tcW w:w="5418" w:type="dxa"/>
            <w:tcBorders>
              <w:top w:val="single" w:sz="8" w:space="0" w:color="000000"/>
              <w:left w:val="single" w:sz="8" w:space="0" w:color="000000"/>
              <w:bottom w:val="single" w:sz="8" w:space="0" w:color="000000"/>
              <w:right w:val="single" w:sz="8" w:space="0" w:color="000000"/>
            </w:tcBorders>
            <w:vAlign w:val="bottom"/>
          </w:tcPr>
          <w:p w:rsidR="002E15B3" w:rsidRDefault="00882A7C">
            <w:pPr>
              <w:autoSpaceDE w:val="0"/>
              <w:autoSpaceDN w:val="0"/>
              <w:adjustRightInd w:val="0"/>
              <w:spacing w:line="288" w:lineRule="auto"/>
              <w:rPr>
                <w:rFonts w:ascii="宋体" w:hAnsi="Arial" w:cs="宋体"/>
                <w:color w:val="000000"/>
                <w:kern w:val="0"/>
                <w:sz w:val="23"/>
                <w:szCs w:val="23"/>
              </w:rPr>
            </w:pPr>
            <w:r>
              <w:rPr>
                <w:rFonts w:ascii="宋体" w:hAnsiTheme="minorHAnsi" w:cs="宋体" w:hint="eastAsia"/>
                <w:color w:val="000000"/>
                <w:kern w:val="0"/>
                <w:sz w:val="24"/>
                <w:szCs w:val="24"/>
              </w:rPr>
              <w:t>《中华人民共和国证券投资基金法》、《公开募集证券投资基金运作管理办法》等法律法规以及《浙商兴永纯债三个月定期开放债券型发起式证券投资基金基金合同》和《浙商兴永纯债三个月定期开放债券型发起式证券投资基金招募说明书》</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申购起始日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2E15B3" w:rsidRDefault="00882A7C">
            <w:pPr>
              <w:rPr>
                <w:rFonts w:ascii="宋体" w:hAnsi="Arial" w:cs="宋体"/>
                <w:color w:val="000000"/>
                <w:kern w:val="0"/>
                <w:sz w:val="24"/>
                <w:szCs w:val="24"/>
              </w:rPr>
            </w:pPr>
            <w:r>
              <w:rPr>
                <w:rFonts w:ascii="宋体" w:hAnsi="Arial" w:cs="宋体" w:hint="eastAsia"/>
                <w:color w:val="000000"/>
                <w:kern w:val="0"/>
                <w:sz w:val="24"/>
                <w:szCs w:val="24"/>
              </w:rPr>
              <w:t>202</w:t>
            </w:r>
            <w:r>
              <w:rPr>
                <w:rFonts w:ascii="宋体" w:hAnsi="Arial" w:cs="宋体"/>
                <w:color w:val="000000"/>
                <w:kern w:val="0"/>
                <w:sz w:val="24"/>
                <w:szCs w:val="24"/>
              </w:rPr>
              <w:t>6</w:t>
            </w:r>
            <w:r>
              <w:rPr>
                <w:rFonts w:ascii="宋体" w:hAnsi="Arial" w:cs="宋体" w:hint="eastAsia"/>
                <w:color w:val="000000"/>
                <w:kern w:val="0"/>
                <w:sz w:val="24"/>
                <w:szCs w:val="24"/>
              </w:rPr>
              <w:t>年</w:t>
            </w:r>
            <w:r>
              <w:rPr>
                <w:rFonts w:ascii="宋体" w:hAnsi="Arial" w:cs="宋体"/>
                <w:color w:val="000000"/>
                <w:kern w:val="0"/>
                <w:sz w:val="24"/>
                <w:szCs w:val="24"/>
              </w:rPr>
              <w:t>1</w:t>
            </w:r>
            <w:r>
              <w:rPr>
                <w:rFonts w:ascii="宋体" w:hAnsi="Arial" w:cs="宋体" w:hint="eastAsia"/>
                <w:color w:val="000000"/>
                <w:kern w:val="0"/>
                <w:sz w:val="24"/>
                <w:szCs w:val="24"/>
              </w:rPr>
              <w:t>月</w:t>
            </w:r>
            <w:r>
              <w:rPr>
                <w:rFonts w:ascii="宋体" w:hAnsi="Arial" w:cs="宋体"/>
                <w:color w:val="000000"/>
                <w:kern w:val="0"/>
                <w:sz w:val="24"/>
                <w:szCs w:val="24"/>
              </w:rPr>
              <w:t>29</w:t>
            </w:r>
            <w:r>
              <w:rPr>
                <w:rFonts w:ascii="宋体" w:hAnsi="Arial" w:cs="宋体" w:hint="eastAsia"/>
                <w:color w:val="000000"/>
                <w:kern w:val="0"/>
                <w:sz w:val="24"/>
                <w:szCs w:val="24"/>
              </w:rPr>
              <w:t>日</w:t>
            </w:r>
          </w:p>
        </w:tc>
      </w:tr>
      <w:tr w:rsidR="002E15B3">
        <w:tc>
          <w:tcPr>
            <w:tcW w:w="3612" w:type="dxa"/>
            <w:tcBorders>
              <w:top w:val="single" w:sz="8" w:space="0" w:color="000000"/>
              <w:left w:val="single" w:sz="8" w:space="0" w:color="000000"/>
              <w:bottom w:val="single" w:sz="8" w:space="0" w:color="000000"/>
              <w:right w:val="single" w:sz="8" w:space="0" w:color="000000"/>
            </w:tcBorders>
            <w:vAlign w:val="center"/>
          </w:tcPr>
          <w:p w:rsidR="002E15B3" w:rsidRDefault="00882A7C">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赎回起始日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2E15B3" w:rsidRDefault="00882A7C">
            <w:r>
              <w:rPr>
                <w:rFonts w:ascii="宋体" w:hAnsi="Arial" w:cs="宋体" w:hint="eastAsia"/>
                <w:color w:val="000000"/>
                <w:kern w:val="0"/>
                <w:sz w:val="24"/>
                <w:szCs w:val="24"/>
              </w:rPr>
              <w:t>202</w:t>
            </w:r>
            <w:r>
              <w:rPr>
                <w:rFonts w:ascii="宋体" w:hAnsi="Arial" w:cs="宋体"/>
                <w:color w:val="000000"/>
                <w:kern w:val="0"/>
                <w:sz w:val="24"/>
                <w:szCs w:val="24"/>
              </w:rPr>
              <w:t>6</w:t>
            </w:r>
            <w:r>
              <w:rPr>
                <w:rFonts w:ascii="宋体" w:hAnsi="Arial" w:cs="宋体" w:hint="eastAsia"/>
                <w:color w:val="000000"/>
                <w:kern w:val="0"/>
                <w:sz w:val="24"/>
                <w:szCs w:val="24"/>
              </w:rPr>
              <w:t>年</w:t>
            </w:r>
            <w:r>
              <w:rPr>
                <w:rFonts w:ascii="宋体" w:hAnsi="Arial" w:cs="宋体"/>
                <w:color w:val="000000"/>
                <w:kern w:val="0"/>
                <w:sz w:val="24"/>
                <w:szCs w:val="24"/>
              </w:rPr>
              <w:t>1</w:t>
            </w:r>
            <w:r>
              <w:rPr>
                <w:rFonts w:ascii="宋体" w:hAnsi="Arial" w:cs="宋体" w:hint="eastAsia"/>
                <w:color w:val="000000"/>
                <w:kern w:val="0"/>
                <w:sz w:val="24"/>
                <w:szCs w:val="24"/>
              </w:rPr>
              <w:t>月</w:t>
            </w:r>
            <w:r>
              <w:rPr>
                <w:rFonts w:ascii="宋体" w:hAnsi="Arial" w:cs="宋体"/>
                <w:color w:val="000000"/>
                <w:kern w:val="0"/>
                <w:sz w:val="24"/>
                <w:szCs w:val="24"/>
              </w:rPr>
              <w:t>29</w:t>
            </w:r>
            <w:r>
              <w:rPr>
                <w:rFonts w:ascii="宋体" w:hAnsi="Arial" w:cs="宋体" w:hint="eastAsia"/>
                <w:color w:val="000000"/>
                <w:kern w:val="0"/>
                <w:sz w:val="24"/>
                <w:szCs w:val="24"/>
              </w:rPr>
              <w:t>日</w:t>
            </w:r>
          </w:p>
        </w:tc>
      </w:tr>
    </w:tbl>
    <w:p w:rsidR="002E15B3" w:rsidRDefault="002E15B3">
      <w:pPr>
        <w:autoSpaceDE w:val="0"/>
        <w:autoSpaceDN w:val="0"/>
        <w:adjustRightInd w:val="0"/>
        <w:spacing w:line="288" w:lineRule="auto"/>
        <w:jc w:val="left"/>
        <w:rPr>
          <w:rFonts w:ascii="MS Sans Serif" w:hAnsi="MS Sans Serif" w:cs="MS Sans Serif"/>
          <w:color w:val="000000"/>
          <w:kern w:val="0"/>
          <w:sz w:val="23"/>
          <w:szCs w:val="23"/>
        </w:rPr>
      </w:pP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b/>
          <w:bCs/>
          <w:color w:val="000000"/>
          <w:kern w:val="0"/>
          <w:sz w:val="24"/>
          <w:szCs w:val="24"/>
        </w:rPr>
        <w:t xml:space="preserve">2 </w:t>
      </w:r>
      <w:r>
        <w:rPr>
          <w:rFonts w:ascii="宋体" w:hAnsi="Arial" w:cs="宋体" w:hint="eastAsia"/>
          <w:b/>
          <w:bCs/>
          <w:color w:val="000000"/>
          <w:kern w:val="0"/>
          <w:sz w:val="24"/>
          <w:szCs w:val="24"/>
        </w:rPr>
        <w:t>申购、赎回业务的办理时间</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hint="eastAsia"/>
          <w:b/>
          <w:bCs/>
          <w:color w:val="000000"/>
          <w:kern w:val="0"/>
          <w:sz w:val="24"/>
          <w:szCs w:val="24"/>
        </w:rPr>
        <w:t>2</w:t>
      </w: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封闭期与开放期</w:t>
      </w:r>
    </w:p>
    <w:p w:rsidR="002E15B3" w:rsidRDefault="00882A7C">
      <w:pPr>
        <w:autoSpaceDE w:val="0"/>
        <w:autoSpaceDN w:val="0"/>
        <w:adjustRightInd w:val="0"/>
        <w:spacing w:line="360" w:lineRule="auto"/>
        <w:ind w:firstLineChars="200" w:firstLine="480"/>
        <w:rPr>
          <w:sz w:val="24"/>
          <w:szCs w:val="24"/>
        </w:rPr>
      </w:pPr>
      <w:r>
        <w:rPr>
          <w:rFonts w:hint="eastAsia"/>
          <w:sz w:val="24"/>
          <w:szCs w:val="24"/>
        </w:rPr>
        <w:t>根据基金合同的约定，本基金的第一个封闭期为自基金合同生效之日起（包括基金合同生效之日）至三个月对日的前一日（包括该日）止的期间。首个封闭期结束之后第一个工作日起（包括该日）进入首个开放期，下一个封闭期为首个开放期结束之日次日起（包括该日）至三个月对日的前一日（包括该日）的期间，以此类推。</w:t>
      </w:r>
    </w:p>
    <w:p w:rsidR="002E15B3" w:rsidRDefault="00882A7C">
      <w:pPr>
        <w:autoSpaceDE w:val="0"/>
        <w:autoSpaceDN w:val="0"/>
        <w:adjustRightInd w:val="0"/>
        <w:spacing w:line="360" w:lineRule="auto"/>
        <w:ind w:firstLineChars="200" w:firstLine="480"/>
        <w:rPr>
          <w:sz w:val="24"/>
          <w:szCs w:val="24"/>
        </w:rPr>
      </w:pPr>
      <w:r>
        <w:rPr>
          <w:rFonts w:ascii="Times New Roman" w:hAnsi="Times New Roman" w:hint="eastAsia"/>
          <w:sz w:val="24"/>
          <w:szCs w:val="24"/>
        </w:rPr>
        <w:lastRenderedPageBreak/>
        <w:t>每一个封闭期结束后，本基金即进入开放期，开放期的期限为每个封闭期结束日下一工作日起</w:t>
      </w:r>
      <w:r>
        <w:rPr>
          <w:rFonts w:ascii="Times New Roman" w:hAnsi="Times New Roman" w:hint="eastAsia"/>
          <w:sz w:val="24"/>
          <w:szCs w:val="24"/>
        </w:rPr>
        <w:t>2</w:t>
      </w:r>
      <w:r>
        <w:rPr>
          <w:rFonts w:ascii="Times New Roman" w:hAnsi="Times New Roman" w:hint="eastAsia"/>
          <w:sz w:val="24"/>
          <w:szCs w:val="24"/>
        </w:rPr>
        <w:t>至</w:t>
      </w:r>
      <w:r>
        <w:rPr>
          <w:rFonts w:ascii="Times New Roman" w:hAnsi="Times New Roman" w:hint="eastAsia"/>
          <w:sz w:val="24"/>
          <w:szCs w:val="24"/>
        </w:rPr>
        <w:t>10</w:t>
      </w:r>
      <w:r>
        <w:rPr>
          <w:rFonts w:ascii="Times New Roman" w:hAnsi="Times New Roman" w:hint="eastAsia"/>
          <w:sz w:val="24"/>
          <w:szCs w:val="24"/>
        </w:rPr>
        <w:t>个工作日的期间</w:t>
      </w:r>
      <w:r>
        <w:rPr>
          <w:rFonts w:hint="eastAsia"/>
          <w:sz w:val="24"/>
          <w:szCs w:val="24"/>
        </w:rPr>
        <w:t>。开放期内，本基金采取开放运作模式，投资人可办理基金份额申购、赎回或其他业务。开放期未赎回的份额将自动转入下一个封闭期</w:t>
      </w:r>
      <w:r>
        <w:rPr>
          <w:rFonts w:hint="eastAsia"/>
          <w:sz w:val="24"/>
          <w:szCs w:val="24"/>
        </w:rPr>
        <w:t>。</w:t>
      </w:r>
    </w:p>
    <w:p w:rsidR="002E15B3" w:rsidRDefault="00882A7C">
      <w:pPr>
        <w:autoSpaceDE w:val="0"/>
        <w:autoSpaceDN w:val="0"/>
        <w:adjustRightInd w:val="0"/>
        <w:spacing w:line="360" w:lineRule="auto"/>
        <w:ind w:firstLineChars="200" w:firstLine="480"/>
        <w:rPr>
          <w:rFonts w:ascii="Times New Roman" w:hAnsi="Times New Roman"/>
          <w:sz w:val="24"/>
          <w:szCs w:val="24"/>
        </w:rPr>
      </w:pPr>
      <w:r>
        <w:rPr>
          <w:rFonts w:ascii="Times New Roman" w:hAnsi="Times New Roman"/>
          <w:sz w:val="24"/>
          <w:szCs w:val="24"/>
        </w:rPr>
        <w:t>本基金本</w:t>
      </w:r>
      <w:r>
        <w:rPr>
          <w:rFonts w:ascii="Times New Roman" w:hAnsi="Times New Roman" w:hint="eastAsia"/>
          <w:sz w:val="24"/>
          <w:szCs w:val="24"/>
        </w:rPr>
        <w:t>次</w:t>
      </w:r>
      <w:r>
        <w:rPr>
          <w:rFonts w:ascii="Times New Roman" w:hAnsi="Times New Roman"/>
          <w:sz w:val="24"/>
          <w:szCs w:val="24"/>
        </w:rPr>
        <w:t>开放期为</w:t>
      </w:r>
      <w:r>
        <w:rPr>
          <w:rFonts w:ascii="宋体" w:hAnsi="Arial" w:cs="宋体" w:hint="eastAsia"/>
          <w:color w:val="000000"/>
          <w:kern w:val="0"/>
          <w:sz w:val="24"/>
          <w:szCs w:val="24"/>
        </w:rPr>
        <w:t>202</w:t>
      </w:r>
      <w:r>
        <w:rPr>
          <w:rFonts w:ascii="宋体" w:hAnsi="Arial" w:cs="宋体"/>
          <w:color w:val="000000"/>
          <w:kern w:val="0"/>
          <w:sz w:val="24"/>
          <w:szCs w:val="24"/>
        </w:rPr>
        <w:t>6</w:t>
      </w:r>
      <w:r>
        <w:rPr>
          <w:rFonts w:ascii="宋体" w:hAnsi="Arial" w:cs="宋体" w:hint="eastAsia"/>
          <w:color w:val="000000"/>
          <w:kern w:val="0"/>
          <w:sz w:val="24"/>
          <w:szCs w:val="24"/>
        </w:rPr>
        <w:t>年</w:t>
      </w:r>
      <w:r>
        <w:rPr>
          <w:rFonts w:ascii="宋体" w:hAnsi="Arial" w:cs="宋体"/>
          <w:color w:val="000000"/>
          <w:kern w:val="0"/>
          <w:sz w:val="24"/>
          <w:szCs w:val="24"/>
        </w:rPr>
        <w:t>1</w:t>
      </w:r>
      <w:r>
        <w:rPr>
          <w:rFonts w:ascii="宋体" w:hAnsi="Arial" w:cs="宋体" w:hint="eastAsia"/>
          <w:color w:val="000000"/>
          <w:kern w:val="0"/>
          <w:sz w:val="24"/>
          <w:szCs w:val="24"/>
        </w:rPr>
        <w:t>月</w:t>
      </w:r>
      <w:r>
        <w:rPr>
          <w:rFonts w:ascii="宋体" w:hAnsi="Arial" w:cs="宋体"/>
          <w:color w:val="000000"/>
          <w:kern w:val="0"/>
          <w:sz w:val="24"/>
          <w:szCs w:val="24"/>
        </w:rPr>
        <w:t>29</w:t>
      </w:r>
      <w:r>
        <w:rPr>
          <w:rFonts w:ascii="宋体" w:hAnsi="Arial" w:cs="宋体" w:hint="eastAsia"/>
          <w:color w:val="000000"/>
          <w:kern w:val="0"/>
          <w:sz w:val="24"/>
          <w:szCs w:val="24"/>
        </w:rPr>
        <w:t>日</w:t>
      </w:r>
      <w:r>
        <w:rPr>
          <w:rFonts w:ascii="Times New Roman" w:hAnsi="Times New Roman" w:hint="eastAsia"/>
          <w:sz w:val="24"/>
          <w:szCs w:val="24"/>
        </w:rPr>
        <w:t>至</w:t>
      </w:r>
      <w:r>
        <w:rPr>
          <w:rFonts w:ascii="宋体" w:hAnsi="Arial" w:cs="宋体"/>
          <w:color w:val="000000"/>
          <w:kern w:val="0"/>
          <w:sz w:val="24"/>
          <w:szCs w:val="24"/>
        </w:rPr>
        <w:t>2</w:t>
      </w:r>
      <w:r>
        <w:rPr>
          <w:rFonts w:ascii="宋体" w:hAnsi="Arial" w:cs="宋体" w:hint="eastAsia"/>
          <w:color w:val="000000"/>
          <w:kern w:val="0"/>
          <w:sz w:val="24"/>
          <w:szCs w:val="24"/>
        </w:rPr>
        <w:t>02</w:t>
      </w:r>
      <w:r>
        <w:rPr>
          <w:rFonts w:ascii="宋体" w:hAnsi="Arial" w:cs="宋体"/>
          <w:color w:val="000000"/>
          <w:kern w:val="0"/>
          <w:sz w:val="24"/>
          <w:szCs w:val="24"/>
        </w:rPr>
        <w:t>6</w:t>
      </w:r>
      <w:r>
        <w:rPr>
          <w:rFonts w:ascii="宋体" w:hAnsi="Arial" w:cs="宋体" w:hint="eastAsia"/>
          <w:color w:val="000000"/>
          <w:kern w:val="0"/>
          <w:sz w:val="24"/>
          <w:szCs w:val="24"/>
        </w:rPr>
        <w:t>年</w:t>
      </w:r>
      <w:r>
        <w:rPr>
          <w:rFonts w:ascii="宋体" w:hAnsi="Arial" w:cs="宋体"/>
          <w:color w:val="000000"/>
          <w:kern w:val="0"/>
          <w:sz w:val="24"/>
          <w:szCs w:val="24"/>
        </w:rPr>
        <w:t>2</w:t>
      </w:r>
      <w:r>
        <w:rPr>
          <w:rFonts w:ascii="宋体" w:hAnsi="Arial" w:cs="宋体" w:hint="eastAsia"/>
          <w:color w:val="000000"/>
          <w:kern w:val="0"/>
          <w:sz w:val="24"/>
          <w:szCs w:val="24"/>
        </w:rPr>
        <w:t>月</w:t>
      </w:r>
      <w:r>
        <w:rPr>
          <w:rFonts w:ascii="宋体" w:hAnsi="Arial" w:cs="宋体"/>
          <w:color w:val="000000"/>
          <w:kern w:val="0"/>
          <w:sz w:val="24"/>
          <w:szCs w:val="24"/>
        </w:rPr>
        <w:t>11</w:t>
      </w:r>
      <w:r>
        <w:rPr>
          <w:rFonts w:ascii="宋体" w:hAnsi="Arial" w:cs="宋体" w:hint="eastAsia"/>
          <w:color w:val="000000"/>
          <w:kern w:val="0"/>
          <w:sz w:val="24"/>
          <w:szCs w:val="24"/>
        </w:rPr>
        <w:t>日</w:t>
      </w:r>
      <w:r>
        <w:rPr>
          <w:rFonts w:ascii="Times New Roman" w:hAnsi="Times New Roman"/>
          <w:sz w:val="24"/>
          <w:szCs w:val="24"/>
        </w:rPr>
        <w:t>，在本开放期内本基金受理申购、赎回业务申请。下一个封闭期为本开放期结束之日次日（包括该日）起</w:t>
      </w:r>
      <w:r>
        <w:rPr>
          <w:rFonts w:ascii="Times New Roman" w:hAnsi="Times New Roman"/>
          <w:sz w:val="24"/>
          <w:szCs w:val="24"/>
        </w:rPr>
        <w:t>3</w:t>
      </w:r>
      <w:r>
        <w:rPr>
          <w:rFonts w:ascii="Times New Roman" w:hAnsi="Times New Roman"/>
          <w:sz w:val="24"/>
          <w:szCs w:val="24"/>
        </w:rPr>
        <w:t>个月的期间，即</w:t>
      </w:r>
      <w:r>
        <w:rPr>
          <w:rFonts w:ascii="宋体" w:hAnsi="Arial" w:cs="宋体" w:hint="eastAsia"/>
          <w:color w:val="000000"/>
          <w:kern w:val="0"/>
          <w:sz w:val="24"/>
          <w:szCs w:val="24"/>
        </w:rPr>
        <w:t>202</w:t>
      </w:r>
      <w:r>
        <w:rPr>
          <w:rFonts w:ascii="宋体" w:hAnsi="Arial" w:cs="宋体"/>
          <w:color w:val="000000"/>
          <w:kern w:val="0"/>
          <w:sz w:val="24"/>
          <w:szCs w:val="24"/>
        </w:rPr>
        <w:t>6</w:t>
      </w:r>
      <w:r>
        <w:rPr>
          <w:rFonts w:ascii="宋体" w:hAnsi="Arial" w:cs="宋体" w:hint="eastAsia"/>
          <w:color w:val="000000"/>
          <w:kern w:val="0"/>
          <w:sz w:val="24"/>
          <w:szCs w:val="24"/>
        </w:rPr>
        <w:t>年</w:t>
      </w:r>
      <w:r>
        <w:rPr>
          <w:rFonts w:ascii="宋体" w:hAnsi="Arial" w:cs="宋体"/>
          <w:color w:val="000000"/>
          <w:kern w:val="0"/>
          <w:sz w:val="24"/>
          <w:szCs w:val="24"/>
        </w:rPr>
        <w:t>2</w:t>
      </w:r>
      <w:r>
        <w:rPr>
          <w:rFonts w:ascii="宋体" w:hAnsi="Arial" w:cs="宋体" w:hint="eastAsia"/>
          <w:color w:val="000000"/>
          <w:kern w:val="0"/>
          <w:sz w:val="24"/>
          <w:szCs w:val="24"/>
        </w:rPr>
        <w:t>月</w:t>
      </w:r>
      <w:r>
        <w:rPr>
          <w:rFonts w:ascii="宋体" w:hAnsi="Arial" w:cs="宋体"/>
          <w:color w:val="000000"/>
          <w:kern w:val="0"/>
          <w:sz w:val="24"/>
          <w:szCs w:val="24"/>
        </w:rPr>
        <w:t>12</w:t>
      </w:r>
      <w:r>
        <w:rPr>
          <w:rFonts w:ascii="宋体" w:hAnsi="Arial" w:cs="宋体" w:hint="eastAsia"/>
          <w:color w:val="000000"/>
          <w:kern w:val="0"/>
          <w:sz w:val="24"/>
          <w:szCs w:val="24"/>
        </w:rPr>
        <w:t>日</w:t>
      </w:r>
      <w:r>
        <w:rPr>
          <w:rFonts w:ascii="Times New Roman" w:hAnsi="Times New Roman"/>
          <w:sz w:val="24"/>
          <w:szCs w:val="24"/>
        </w:rPr>
        <w:t>至</w:t>
      </w:r>
      <w:r>
        <w:rPr>
          <w:rFonts w:ascii="宋体" w:hAnsi="Arial" w:cs="宋体" w:hint="eastAsia"/>
          <w:color w:val="000000"/>
          <w:kern w:val="0"/>
          <w:sz w:val="24"/>
          <w:szCs w:val="24"/>
        </w:rPr>
        <w:t>20</w:t>
      </w:r>
      <w:r>
        <w:rPr>
          <w:rFonts w:ascii="宋体" w:hAnsi="Arial" w:cs="宋体"/>
          <w:color w:val="000000"/>
          <w:kern w:val="0"/>
          <w:sz w:val="24"/>
          <w:szCs w:val="24"/>
        </w:rPr>
        <w:t>26</w:t>
      </w:r>
      <w:r>
        <w:rPr>
          <w:rFonts w:ascii="宋体" w:hAnsi="Arial" w:cs="宋体" w:hint="eastAsia"/>
          <w:color w:val="000000"/>
          <w:kern w:val="0"/>
          <w:sz w:val="24"/>
          <w:szCs w:val="24"/>
        </w:rPr>
        <w:t>年</w:t>
      </w:r>
      <w:r>
        <w:rPr>
          <w:rFonts w:ascii="宋体" w:hAnsi="Arial" w:cs="宋体"/>
          <w:color w:val="000000"/>
          <w:kern w:val="0"/>
          <w:sz w:val="24"/>
          <w:szCs w:val="24"/>
        </w:rPr>
        <w:t>5</w:t>
      </w:r>
      <w:r>
        <w:rPr>
          <w:rFonts w:ascii="宋体" w:hAnsi="Arial" w:cs="宋体" w:hint="eastAsia"/>
          <w:color w:val="000000"/>
          <w:kern w:val="0"/>
          <w:sz w:val="24"/>
          <w:szCs w:val="24"/>
        </w:rPr>
        <w:t>月</w:t>
      </w:r>
      <w:r>
        <w:rPr>
          <w:rFonts w:ascii="宋体" w:hAnsi="Arial" w:cs="宋体"/>
          <w:color w:val="000000"/>
          <w:kern w:val="0"/>
          <w:sz w:val="24"/>
          <w:szCs w:val="24"/>
        </w:rPr>
        <w:t>11</w:t>
      </w:r>
      <w:r>
        <w:rPr>
          <w:rFonts w:ascii="宋体" w:hAnsi="Arial" w:cs="宋体" w:hint="eastAsia"/>
          <w:color w:val="000000"/>
          <w:kern w:val="0"/>
          <w:sz w:val="24"/>
          <w:szCs w:val="24"/>
        </w:rPr>
        <w:t>日</w:t>
      </w:r>
      <w:r>
        <w:rPr>
          <w:rFonts w:ascii="Times New Roman" w:hAnsi="Times New Roman"/>
          <w:sz w:val="24"/>
          <w:szCs w:val="24"/>
        </w:rPr>
        <w:t>为本基金的下一个运作封闭期，该封闭期内本基金不办理申购、赎回业务。</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hint="eastAsia"/>
          <w:b/>
          <w:bCs/>
          <w:color w:val="000000"/>
          <w:kern w:val="0"/>
          <w:sz w:val="24"/>
          <w:szCs w:val="24"/>
        </w:rPr>
        <w:t>2.2</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具体办理时间</w:t>
      </w:r>
    </w:p>
    <w:p w:rsidR="002E15B3" w:rsidRDefault="00882A7C">
      <w:pPr>
        <w:spacing w:line="360" w:lineRule="auto"/>
        <w:ind w:firstLineChars="200" w:firstLine="480"/>
        <w:rPr>
          <w:bCs/>
          <w:sz w:val="24"/>
        </w:rPr>
      </w:pPr>
      <w:r>
        <w:rPr>
          <w:bCs/>
          <w:sz w:val="24"/>
        </w:rPr>
        <w:t>本基金办理本基金份额申购、赎回等业务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bookmarkStart w:id="0" w:name="_Hlk493770809"/>
      <w:r>
        <w:rPr>
          <w:rFonts w:hint="eastAsia"/>
          <w:bCs/>
          <w:sz w:val="24"/>
        </w:rPr>
        <w:t>在封闭期内，本基金不办理申购、赎回业务，也不上市交易。</w:t>
      </w:r>
      <w:bookmarkEnd w:id="0"/>
    </w:p>
    <w:p w:rsidR="002E15B3" w:rsidRDefault="00882A7C">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b/>
          <w:bCs/>
          <w:color w:val="000000"/>
          <w:kern w:val="0"/>
          <w:sz w:val="24"/>
          <w:szCs w:val="24"/>
        </w:rPr>
        <w:t xml:space="preserve">3 </w:t>
      </w:r>
      <w:r>
        <w:rPr>
          <w:rFonts w:ascii="宋体" w:hAnsi="Arial" w:cs="宋体" w:hint="eastAsia"/>
          <w:b/>
          <w:bCs/>
          <w:color w:val="000000"/>
          <w:kern w:val="0"/>
          <w:sz w:val="24"/>
          <w:szCs w:val="24"/>
        </w:rPr>
        <w:t>申购业务</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b/>
          <w:bCs/>
          <w:color w:val="000000"/>
          <w:kern w:val="0"/>
          <w:sz w:val="24"/>
          <w:szCs w:val="24"/>
        </w:rPr>
        <w:t xml:space="preserve">3.1 </w:t>
      </w:r>
      <w:r>
        <w:rPr>
          <w:rFonts w:ascii="宋体" w:hAnsi="Arial" w:cs="宋体" w:hint="eastAsia"/>
          <w:b/>
          <w:bCs/>
          <w:color w:val="000000"/>
          <w:kern w:val="0"/>
          <w:sz w:val="24"/>
          <w:szCs w:val="24"/>
        </w:rPr>
        <w:t>申购金额限制</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）首次申购基金份额的最低金额为</w:t>
      </w:r>
      <w:r>
        <w:rPr>
          <w:rFonts w:ascii="宋体" w:cs="宋体"/>
          <w:color w:val="000000"/>
          <w:kern w:val="0"/>
          <w:sz w:val="24"/>
          <w:szCs w:val="24"/>
        </w:rPr>
        <w:t>10</w:t>
      </w:r>
      <w:r>
        <w:rPr>
          <w:rFonts w:ascii="宋体" w:cs="宋体" w:hint="eastAsia"/>
          <w:color w:val="000000"/>
          <w:kern w:val="0"/>
          <w:sz w:val="24"/>
          <w:szCs w:val="24"/>
        </w:rPr>
        <w:t>元，追加申购最低金额为</w:t>
      </w:r>
      <w:r>
        <w:rPr>
          <w:rFonts w:ascii="宋体" w:cs="宋体"/>
          <w:color w:val="000000"/>
          <w:kern w:val="0"/>
          <w:sz w:val="24"/>
          <w:szCs w:val="24"/>
        </w:rPr>
        <w:t>10</w:t>
      </w:r>
      <w:r>
        <w:rPr>
          <w:rFonts w:ascii="宋体" w:cs="宋体" w:hint="eastAsia"/>
          <w:color w:val="000000"/>
          <w:kern w:val="0"/>
          <w:sz w:val="24"/>
          <w:szCs w:val="24"/>
        </w:rPr>
        <w:t>元；详情请见当地销售机构公告；</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2</w:t>
      </w:r>
      <w:r>
        <w:rPr>
          <w:rFonts w:ascii="宋体" w:cs="宋体" w:hint="eastAsia"/>
          <w:color w:val="000000"/>
          <w:kern w:val="0"/>
          <w:sz w:val="24"/>
          <w:szCs w:val="24"/>
        </w:rPr>
        <w:t>）本基金目前对单个投资人累计持有份额不设上限限制，基金管理人可以规定单个投资者累计持有的基金份额数量限制，具体规定见定期更新的招募说明书或相关公告。</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3</w:t>
      </w:r>
      <w:r>
        <w:rPr>
          <w:rFonts w:ascii="宋体" w:cs="宋体" w:hint="eastAsia"/>
          <w:color w:val="000000"/>
          <w:kern w:val="0"/>
          <w:sz w:val="24"/>
          <w:szCs w:val="24"/>
        </w:rPr>
        <w:t>）本基金单一投资者持有的基金份额或者构成一致行动人的多个投资者持有的基金份额可达到或者超过基金总份额的</w:t>
      </w:r>
      <w:r>
        <w:rPr>
          <w:rFonts w:ascii="宋体" w:cs="宋体"/>
          <w:color w:val="000000"/>
          <w:kern w:val="0"/>
          <w:sz w:val="24"/>
          <w:szCs w:val="24"/>
        </w:rPr>
        <w:t>50%</w:t>
      </w:r>
      <w:r>
        <w:rPr>
          <w:rFonts w:ascii="宋体" w:cs="宋体" w:hint="eastAsia"/>
          <w:color w:val="000000"/>
          <w:kern w:val="0"/>
          <w:sz w:val="24"/>
          <w:szCs w:val="24"/>
        </w:rPr>
        <w:t>。</w:t>
      </w:r>
    </w:p>
    <w:p w:rsidR="002E15B3" w:rsidRDefault="00882A7C">
      <w:pPr>
        <w:autoSpaceDE w:val="0"/>
        <w:autoSpaceDN w:val="0"/>
        <w:adjustRightInd w:val="0"/>
        <w:spacing w:before="29" w:line="288" w:lineRule="auto"/>
        <w:ind w:left="15"/>
        <w:jc w:val="left"/>
        <w:rPr>
          <w:rFonts w:ascii="宋体" w:hAnsi="Arial" w:cs="宋体"/>
          <w:b/>
          <w:bCs/>
          <w:color w:val="000000"/>
          <w:kern w:val="0"/>
          <w:sz w:val="24"/>
          <w:szCs w:val="24"/>
        </w:rPr>
      </w:pPr>
      <w:r>
        <w:rPr>
          <w:rFonts w:ascii="宋体" w:hAnsi="Arial" w:cs="宋体"/>
          <w:b/>
          <w:bCs/>
          <w:color w:val="000000"/>
          <w:kern w:val="0"/>
          <w:sz w:val="24"/>
          <w:szCs w:val="24"/>
        </w:rPr>
        <w:t xml:space="preserve">3.2 </w:t>
      </w:r>
      <w:r>
        <w:rPr>
          <w:rFonts w:ascii="宋体" w:hAnsi="Arial" w:cs="宋体" w:hint="eastAsia"/>
          <w:b/>
          <w:bCs/>
          <w:color w:val="000000"/>
          <w:kern w:val="0"/>
          <w:sz w:val="24"/>
          <w:szCs w:val="24"/>
        </w:rPr>
        <w:t>申购费率</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投资者可以多次申购本基金，申购费率按每笔申购申请单独计算。</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本基金基金份额采用前端收费模式收取基</w:t>
      </w:r>
      <w:r>
        <w:rPr>
          <w:rFonts w:ascii="宋体" w:cs="宋体" w:hint="eastAsia"/>
          <w:color w:val="000000"/>
          <w:kern w:val="0"/>
          <w:sz w:val="24"/>
          <w:szCs w:val="24"/>
        </w:rPr>
        <w:t>金申购费用。投资者的申购费用如</w:t>
      </w:r>
      <w:r>
        <w:rPr>
          <w:rFonts w:ascii="宋体" w:cs="宋体" w:hint="eastAsia"/>
          <w:color w:val="000000"/>
          <w:kern w:val="0"/>
          <w:sz w:val="24"/>
          <w:szCs w:val="24"/>
        </w:rPr>
        <w:lastRenderedPageBreak/>
        <w:t>下：</w:t>
      </w:r>
    </w:p>
    <w:p w:rsidR="002E15B3" w:rsidRDefault="00882A7C">
      <w:pPr>
        <w:autoSpaceDE w:val="0"/>
        <w:autoSpaceDN w:val="0"/>
        <w:adjustRightInd w:val="0"/>
        <w:spacing w:line="360" w:lineRule="auto"/>
        <w:ind w:firstLineChars="1350" w:firstLine="3240"/>
        <w:jc w:val="left"/>
        <w:rPr>
          <w:rFonts w:ascii="宋体" w:cs="宋体"/>
          <w:color w:val="000000"/>
          <w:kern w:val="0"/>
          <w:sz w:val="24"/>
          <w:szCs w:val="24"/>
        </w:rPr>
      </w:pPr>
      <w:r>
        <w:rPr>
          <w:rFonts w:ascii="宋体" w:cs="宋体"/>
          <w:color w:val="000000"/>
          <w:kern w:val="0"/>
          <w:sz w:val="24"/>
          <w:szCs w:val="24"/>
        </w:rPr>
        <w:t>表</w:t>
      </w:r>
      <w:r>
        <w:rPr>
          <w:rFonts w:ascii="宋体" w:cs="宋体" w:hint="eastAsia"/>
          <w:color w:val="000000"/>
          <w:kern w:val="0"/>
          <w:sz w:val="24"/>
          <w:szCs w:val="24"/>
        </w:rPr>
        <w:t>1</w:t>
      </w:r>
      <w:r>
        <w:rPr>
          <w:rFonts w:ascii="宋体" w:cs="宋体"/>
          <w:color w:val="000000"/>
          <w:kern w:val="0"/>
          <w:sz w:val="24"/>
          <w:szCs w:val="24"/>
        </w:rPr>
        <w:t>：本基金份额的申购费率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1"/>
        <w:gridCol w:w="3768"/>
      </w:tblGrid>
      <w:tr w:rsidR="002E15B3">
        <w:trPr>
          <w:trHeight w:val="113"/>
        </w:trPr>
        <w:tc>
          <w:tcPr>
            <w:tcW w:w="2791" w:type="pct"/>
          </w:tcPr>
          <w:p w:rsidR="002E15B3" w:rsidRDefault="00882A7C">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金额（</w:t>
            </w:r>
            <w:r>
              <w:rPr>
                <w:rFonts w:ascii="宋体" w:cs="宋体"/>
                <w:color w:val="000000"/>
                <w:kern w:val="0"/>
                <w:sz w:val="24"/>
                <w:szCs w:val="24"/>
              </w:rPr>
              <w:t>M</w:t>
            </w:r>
            <w:r>
              <w:rPr>
                <w:rFonts w:ascii="宋体" w:cs="宋体" w:hint="eastAsia"/>
                <w:color w:val="000000"/>
                <w:kern w:val="0"/>
                <w:sz w:val="24"/>
                <w:szCs w:val="24"/>
              </w:rPr>
              <w:t>）</w:t>
            </w:r>
          </w:p>
        </w:tc>
        <w:tc>
          <w:tcPr>
            <w:tcW w:w="2209" w:type="pct"/>
          </w:tcPr>
          <w:p w:rsidR="002E15B3" w:rsidRDefault="00882A7C">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前端申购费率</w:t>
            </w:r>
          </w:p>
        </w:tc>
      </w:tr>
      <w:tr w:rsidR="002E15B3">
        <w:trPr>
          <w:trHeight w:val="113"/>
        </w:trPr>
        <w:tc>
          <w:tcPr>
            <w:tcW w:w="2791"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w:t>
            </w:r>
            <w:r>
              <w:rPr>
                <w:rFonts w:ascii="宋体" w:cs="宋体" w:hint="eastAsia"/>
                <w:color w:val="000000"/>
                <w:kern w:val="0"/>
                <w:sz w:val="24"/>
                <w:szCs w:val="24"/>
              </w:rPr>
              <w:t>万</w:t>
            </w:r>
          </w:p>
        </w:tc>
        <w:tc>
          <w:tcPr>
            <w:tcW w:w="2209"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0.80%</w:t>
            </w:r>
          </w:p>
        </w:tc>
      </w:tr>
      <w:tr w:rsidR="002E15B3">
        <w:trPr>
          <w:trHeight w:val="113"/>
        </w:trPr>
        <w:tc>
          <w:tcPr>
            <w:tcW w:w="2791"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100</w:t>
            </w:r>
            <w:r>
              <w:rPr>
                <w:rFonts w:ascii="宋体" w:cs="宋体" w:hint="eastAsia"/>
                <w:color w:val="000000"/>
                <w:kern w:val="0"/>
                <w:sz w:val="24"/>
                <w:szCs w:val="24"/>
              </w:rPr>
              <w:t>万</w:t>
            </w:r>
            <w:r>
              <w:rPr>
                <w:rFonts w:ascii="宋体" w:cs="宋体"/>
                <w:color w:val="000000"/>
                <w:kern w:val="0"/>
                <w:sz w:val="24"/>
                <w:szCs w:val="24"/>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300</w:t>
            </w:r>
            <w:r>
              <w:rPr>
                <w:rFonts w:ascii="宋体" w:cs="宋体" w:hint="eastAsia"/>
                <w:color w:val="000000"/>
                <w:kern w:val="0"/>
                <w:sz w:val="24"/>
                <w:szCs w:val="24"/>
              </w:rPr>
              <w:t>万</w:t>
            </w:r>
          </w:p>
        </w:tc>
        <w:tc>
          <w:tcPr>
            <w:tcW w:w="2209"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0.50%</w:t>
            </w:r>
          </w:p>
        </w:tc>
      </w:tr>
      <w:tr w:rsidR="002E15B3">
        <w:trPr>
          <w:trHeight w:val="113"/>
        </w:trPr>
        <w:tc>
          <w:tcPr>
            <w:tcW w:w="2791"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300</w:t>
            </w:r>
            <w:r>
              <w:rPr>
                <w:rFonts w:ascii="宋体" w:cs="宋体" w:hint="eastAsia"/>
                <w:color w:val="000000"/>
                <w:kern w:val="0"/>
                <w:sz w:val="24"/>
                <w:szCs w:val="24"/>
              </w:rPr>
              <w:t>万</w:t>
            </w:r>
            <w:r>
              <w:rPr>
                <w:rFonts w:ascii="宋体" w:cs="宋体"/>
                <w:color w:val="000000"/>
                <w:kern w:val="0"/>
                <w:sz w:val="24"/>
                <w:szCs w:val="24"/>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500</w:t>
            </w:r>
            <w:r>
              <w:rPr>
                <w:rFonts w:ascii="宋体" w:cs="宋体" w:hint="eastAsia"/>
                <w:color w:val="000000"/>
                <w:kern w:val="0"/>
                <w:sz w:val="24"/>
                <w:szCs w:val="24"/>
              </w:rPr>
              <w:t>万</w:t>
            </w:r>
          </w:p>
        </w:tc>
        <w:tc>
          <w:tcPr>
            <w:tcW w:w="2209"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0.30%</w:t>
            </w:r>
          </w:p>
        </w:tc>
      </w:tr>
      <w:tr w:rsidR="002E15B3">
        <w:trPr>
          <w:trHeight w:val="113"/>
        </w:trPr>
        <w:tc>
          <w:tcPr>
            <w:tcW w:w="2791" w:type="pct"/>
          </w:tcPr>
          <w:p w:rsidR="002E15B3" w:rsidRDefault="00882A7C">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w:t>
            </w:r>
            <w:r>
              <w:rPr>
                <w:rFonts w:ascii="宋体" w:cs="宋体"/>
                <w:color w:val="000000"/>
                <w:kern w:val="0"/>
                <w:sz w:val="24"/>
                <w:szCs w:val="24"/>
              </w:rPr>
              <w:t>≥</w:t>
            </w:r>
            <w:r>
              <w:rPr>
                <w:rFonts w:ascii="宋体" w:cs="宋体"/>
                <w:color w:val="000000"/>
                <w:kern w:val="0"/>
                <w:sz w:val="24"/>
                <w:szCs w:val="24"/>
              </w:rPr>
              <w:t>500</w:t>
            </w:r>
            <w:r>
              <w:rPr>
                <w:rFonts w:ascii="宋体" w:cs="宋体" w:hint="eastAsia"/>
                <w:color w:val="000000"/>
                <w:kern w:val="0"/>
                <w:sz w:val="24"/>
                <w:szCs w:val="24"/>
              </w:rPr>
              <w:t>万</w:t>
            </w:r>
          </w:p>
        </w:tc>
        <w:tc>
          <w:tcPr>
            <w:tcW w:w="2209" w:type="pct"/>
          </w:tcPr>
          <w:p w:rsidR="002E15B3" w:rsidRDefault="00882A7C">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每笔</w:t>
            </w:r>
            <w:r>
              <w:rPr>
                <w:rFonts w:ascii="宋体" w:cs="宋体"/>
                <w:color w:val="000000"/>
                <w:kern w:val="0"/>
                <w:sz w:val="24"/>
                <w:szCs w:val="24"/>
              </w:rPr>
              <w:t>1000</w:t>
            </w:r>
            <w:r>
              <w:rPr>
                <w:rFonts w:ascii="宋体" w:cs="宋体" w:hint="eastAsia"/>
                <w:color w:val="000000"/>
                <w:kern w:val="0"/>
                <w:sz w:val="24"/>
                <w:szCs w:val="24"/>
              </w:rPr>
              <w:t>元</w:t>
            </w:r>
          </w:p>
        </w:tc>
      </w:tr>
    </w:tbl>
    <w:p w:rsidR="002E15B3" w:rsidRDefault="00882A7C" w:rsidP="00882A7C">
      <w:pPr>
        <w:autoSpaceDE w:val="0"/>
        <w:autoSpaceDN w:val="0"/>
        <w:adjustRightInd w:val="0"/>
        <w:spacing w:before="29" w:afterLines="50" w:line="288" w:lineRule="auto"/>
        <w:ind w:left="17"/>
        <w:jc w:val="left"/>
        <w:rPr>
          <w:rFonts w:ascii="宋体" w:hAnsi="Arial" w:cs="宋体"/>
          <w:b/>
          <w:bCs/>
          <w:color w:val="000000"/>
          <w:kern w:val="0"/>
          <w:sz w:val="24"/>
          <w:szCs w:val="24"/>
        </w:rPr>
      </w:pPr>
      <w:r>
        <w:rPr>
          <w:rFonts w:ascii="宋体" w:hAnsi="Arial" w:cs="宋体"/>
          <w:b/>
          <w:bCs/>
          <w:color w:val="000000"/>
          <w:kern w:val="0"/>
          <w:sz w:val="24"/>
          <w:szCs w:val="24"/>
        </w:rPr>
        <w:t xml:space="preserve">3.3 </w:t>
      </w:r>
      <w:r>
        <w:rPr>
          <w:rFonts w:ascii="宋体" w:hAnsi="Arial" w:cs="宋体" w:hint="eastAsia"/>
          <w:b/>
          <w:bCs/>
          <w:color w:val="000000"/>
          <w:kern w:val="0"/>
          <w:sz w:val="24"/>
          <w:szCs w:val="24"/>
        </w:rPr>
        <w:t>其他与申购相关的事项</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基金管理人可以根据法律法规规定及基金合同调整费率或收费方式，最新的申购费率和赎回费率在更新的招募说明书中列示。费率如发生变更，基金管理人最迟应于新的费率或收费方式实施日依照《信息披露管理办法》的有关规定在规定媒体上公告。</w:t>
      </w: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b/>
          <w:bCs/>
          <w:color w:val="000000"/>
          <w:kern w:val="0"/>
          <w:sz w:val="24"/>
          <w:szCs w:val="24"/>
        </w:rPr>
        <w:t xml:space="preserve">4 </w:t>
      </w:r>
      <w:r>
        <w:rPr>
          <w:rFonts w:ascii="宋体" w:hAnsi="Arial" w:cs="宋体" w:hint="eastAsia"/>
          <w:b/>
          <w:bCs/>
          <w:color w:val="000000"/>
          <w:kern w:val="0"/>
          <w:sz w:val="24"/>
          <w:szCs w:val="24"/>
        </w:rPr>
        <w:t>赎回业务</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b/>
          <w:bCs/>
          <w:color w:val="000000"/>
          <w:kern w:val="0"/>
          <w:sz w:val="24"/>
          <w:szCs w:val="24"/>
        </w:rPr>
        <w:t xml:space="preserve">4.1 </w:t>
      </w:r>
      <w:r>
        <w:rPr>
          <w:rFonts w:ascii="宋体" w:hAnsi="Arial" w:cs="宋体" w:hint="eastAsia"/>
          <w:b/>
          <w:bCs/>
          <w:color w:val="000000"/>
          <w:kern w:val="0"/>
          <w:sz w:val="24"/>
          <w:szCs w:val="24"/>
        </w:rPr>
        <w:t>赎回份额限制</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每个交易账户最低持有基金份额余额为</w:t>
      </w:r>
      <w:r>
        <w:rPr>
          <w:rFonts w:ascii="宋体" w:cs="宋体" w:hint="eastAsia"/>
          <w:color w:val="000000"/>
          <w:kern w:val="0"/>
          <w:sz w:val="24"/>
          <w:szCs w:val="24"/>
        </w:rPr>
        <w:t>1</w:t>
      </w:r>
      <w:r>
        <w:rPr>
          <w:rFonts w:ascii="宋体" w:cs="宋体" w:hint="eastAsia"/>
          <w:color w:val="000000"/>
          <w:kern w:val="0"/>
          <w:sz w:val="24"/>
          <w:szCs w:val="24"/>
        </w:rPr>
        <w:t>份，若某笔赎回导致单个交易账户的基金份额余额少于</w:t>
      </w:r>
      <w:r>
        <w:rPr>
          <w:rFonts w:ascii="宋体" w:cs="宋体" w:hint="eastAsia"/>
          <w:color w:val="000000"/>
          <w:kern w:val="0"/>
          <w:sz w:val="24"/>
          <w:szCs w:val="24"/>
        </w:rPr>
        <w:t>1</w:t>
      </w:r>
      <w:r>
        <w:rPr>
          <w:rFonts w:ascii="宋体" w:cs="宋体" w:hint="eastAsia"/>
          <w:color w:val="000000"/>
          <w:kern w:val="0"/>
          <w:sz w:val="24"/>
          <w:szCs w:val="24"/>
        </w:rPr>
        <w:t>份时，余额部分基金份额必须一同赎回。</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b/>
          <w:bCs/>
          <w:color w:val="000000"/>
          <w:kern w:val="0"/>
          <w:sz w:val="24"/>
          <w:szCs w:val="24"/>
        </w:rPr>
        <w:t xml:space="preserve">4.2 </w:t>
      </w:r>
      <w:r>
        <w:rPr>
          <w:rFonts w:ascii="宋体" w:hAnsi="Arial" w:cs="宋体" w:hint="eastAsia"/>
          <w:b/>
          <w:bCs/>
          <w:color w:val="000000"/>
          <w:kern w:val="0"/>
          <w:sz w:val="24"/>
          <w:szCs w:val="24"/>
        </w:rPr>
        <w:t>赎回费率</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hint="eastAsia"/>
          <w:color w:val="000000"/>
          <w:kern w:val="0"/>
          <w:sz w:val="24"/>
          <w:szCs w:val="24"/>
        </w:rPr>
        <w:t>赎回费率见下表：</w:t>
      </w:r>
    </w:p>
    <w:p w:rsidR="002E15B3" w:rsidRDefault="00882A7C">
      <w:pPr>
        <w:autoSpaceDE w:val="0"/>
        <w:autoSpaceDN w:val="0"/>
        <w:adjustRightInd w:val="0"/>
        <w:ind w:firstLineChars="1400" w:firstLine="3220"/>
        <w:jc w:val="left"/>
        <w:rPr>
          <w:rFonts w:ascii="宋体" w:hAnsi="Times New Roman" w:cs="宋体"/>
          <w:color w:val="000000"/>
          <w:kern w:val="0"/>
          <w:sz w:val="23"/>
          <w:szCs w:val="23"/>
        </w:rPr>
      </w:pPr>
      <w:r>
        <w:rPr>
          <w:rFonts w:ascii="宋体" w:hAnsi="Times New Roman" w:cs="宋体" w:hint="eastAsia"/>
          <w:color w:val="000000"/>
          <w:kern w:val="0"/>
          <w:sz w:val="23"/>
          <w:szCs w:val="23"/>
        </w:rPr>
        <w:t>表</w:t>
      </w:r>
      <w:r>
        <w:rPr>
          <w:rFonts w:ascii="宋体" w:hAnsi="Times New Roman" w:cs="宋体" w:hint="eastAsia"/>
          <w:color w:val="000000"/>
          <w:kern w:val="0"/>
          <w:sz w:val="23"/>
          <w:szCs w:val="23"/>
        </w:rPr>
        <w:t xml:space="preserve"> 2</w:t>
      </w:r>
      <w:r>
        <w:rPr>
          <w:rFonts w:ascii="宋体" w:hAnsi="Times New Roman" w:cs="宋体" w:hint="eastAsia"/>
          <w:color w:val="000000"/>
          <w:kern w:val="0"/>
          <w:sz w:val="23"/>
          <w:szCs w:val="23"/>
        </w:rPr>
        <w:t>：本基金的赎回费率</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1614"/>
      </w:tblGrid>
      <w:tr w:rsidR="002E15B3">
        <w:trPr>
          <w:trHeight w:val="113"/>
        </w:trPr>
        <w:tc>
          <w:tcPr>
            <w:tcW w:w="1960" w:type="dxa"/>
            <w:tcBorders>
              <w:top w:val="single" w:sz="4" w:space="0" w:color="auto"/>
              <w:left w:val="single" w:sz="4" w:space="0" w:color="auto"/>
              <w:bottom w:val="single" w:sz="4" w:space="0" w:color="auto"/>
              <w:right w:val="single" w:sz="4" w:space="0" w:color="auto"/>
            </w:tcBorders>
            <w:vAlign w:val="center"/>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hint="eastAsia"/>
                <w:color w:val="000000"/>
                <w:kern w:val="0"/>
                <w:sz w:val="23"/>
                <w:szCs w:val="23"/>
              </w:rPr>
              <w:t>持有期间（</w:t>
            </w:r>
            <w:r>
              <w:rPr>
                <w:rFonts w:ascii="宋体" w:hAnsi="Times New Roman" w:cs="宋体"/>
                <w:color w:val="000000"/>
                <w:kern w:val="0"/>
                <w:sz w:val="23"/>
                <w:szCs w:val="23"/>
              </w:rPr>
              <w:t>Y</w:t>
            </w:r>
            <w:r>
              <w:rPr>
                <w:rFonts w:ascii="宋体" w:hAnsi="Times New Roman" w:cs="宋体" w:hint="eastAsia"/>
                <w:color w:val="000000"/>
                <w:kern w:val="0"/>
                <w:sz w:val="23"/>
                <w:szCs w:val="23"/>
              </w:rPr>
              <w:t>）</w:t>
            </w:r>
          </w:p>
        </w:tc>
        <w:tc>
          <w:tcPr>
            <w:tcW w:w="1614" w:type="dxa"/>
            <w:tcBorders>
              <w:top w:val="single" w:sz="4" w:space="0" w:color="auto"/>
              <w:left w:val="single" w:sz="4" w:space="0" w:color="auto"/>
              <w:bottom w:val="single" w:sz="4" w:space="0" w:color="auto"/>
              <w:right w:val="single" w:sz="4" w:space="0" w:color="auto"/>
            </w:tcBorders>
            <w:vAlign w:val="center"/>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hint="eastAsia"/>
                <w:color w:val="000000"/>
                <w:kern w:val="0"/>
                <w:sz w:val="23"/>
                <w:szCs w:val="23"/>
              </w:rPr>
              <w:t>赎回费率</w:t>
            </w:r>
          </w:p>
        </w:tc>
      </w:tr>
      <w:tr w:rsidR="002E15B3">
        <w:trPr>
          <w:trHeight w:val="113"/>
        </w:trPr>
        <w:tc>
          <w:tcPr>
            <w:tcW w:w="1960"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Y</w:t>
            </w:r>
            <w:r>
              <w:rPr>
                <w:rFonts w:ascii="宋体" w:hAnsi="Times New Roman" w:cs="宋体" w:hint="eastAsia"/>
                <w:color w:val="000000"/>
                <w:kern w:val="0"/>
                <w:sz w:val="23"/>
                <w:szCs w:val="23"/>
              </w:rPr>
              <w:t>＜</w:t>
            </w:r>
            <w:r>
              <w:rPr>
                <w:rFonts w:ascii="宋体" w:hAnsi="Times New Roman" w:cs="宋体"/>
                <w:color w:val="000000"/>
                <w:kern w:val="0"/>
                <w:sz w:val="23"/>
                <w:szCs w:val="23"/>
              </w:rPr>
              <w:t>7</w:t>
            </w:r>
            <w:r>
              <w:rPr>
                <w:rFonts w:ascii="宋体" w:hAnsi="Times New Roman" w:cs="宋体" w:hint="eastAsia"/>
                <w:color w:val="000000"/>
                <w:kern w:val="0"/>
                <w:sz w:val="23"/>
                <w:szCs w:val="23"/>
              </w:rPr>
              <w:t>日</w:t>
            </w:r>
          </w:p>
        </w:tc>
        <w:tc>
          <w:tcPr>
            <w:tcW w:w="1614"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1.50%</w:t>
            </w:r>
          </w:p>
        </w:tc>
      </w:tr>
      <w:tr w:rsidR="002E15B3">
        <w:trPr>
          <w:trHeight w:val="113"/>
        </w:trPr>
        <w:tc>
          <w:tcPr>
            <w:tcW w:w="1960"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7</w:t>
            </w:r>
            <w:r>
              <w:rPr>
                <w:rFonts w:ascii="宋体" w:hAnsi="Times New Roman" w:cs="宋体"/>
                <w:color w:val="000000"/>
                <w:kern w:val="0"/>
                <w:sz w:val="23"/>
                <w:szCs w:val="23"/>
              </w:rPr>
              <w:t>≤</w:t>
            </w:r>
            <w:r>
              <w:rPr>
                <w:rFonts w:ascii="宋体" w:hAnsi="Times New Roman" w:cs="宋体"/>
                <w:color w:val="000000"/>
                <w:kern w:val="0"/>
                <w:sz w:val="23"/>
                <w:szCs w:val="23"/>
              </w:rPr>
              <w:t>Y</w:t>
            </w:r>
            <w:r>
              <w:rPr>
                <w:rFonts w:ascii="宋体" w:hAnsi="Times New Roman" w:cs="宋体" w:hint="eastAsia"/>
                <w:color w:val="000000"/>
                <w:kern w:val="0"/>
                <w:sz w:val="23"/>
                <w:szCs w:val="23"/>
              </w:rPr>
              <w:t>＜</w:t>
            </w:r>
            <w:r>
              <w:rPr>
                <w:rFonts w:ascii="宋体" w:hAnsi="Times New Roman" w:cs="宋体"/>
                <w:color w:val="000000"/>
                <w:kern w:val="0"/>
                <w:sz w:val="23"/>
                <w:szCs w:val="23"/>
              </w:rPr>
              <w:t>30</w:t>
            </w:r>
            <w:r>
              <w:rPr>
                <w:rFonts w:ascii="宋体" w:hAnsi="Times New Roman" w:cs="宋体" w:hint="eastAsia"/>
                <w:color w:val="000000"/>
                <w:kern w:val="0"/>
                <w:sz w:val="23"/>
                <w:szCs w:val="23"/>
              </w:rPr>
              <w:t>日</w:t>
            </w:r>
          </w:p>
        </w:tc>
        <w:tc>
          <w:tcPr>
            <w:tcW w:w="1614"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0.75%</w:t>
            </w:r>
          </w:p>
        </w:tc>
      </w:tr>
      <w:tr w:rsidR="002E15B3">
        <w:trPr>
          <w:trHeight w:val="113"/>
        </w:trPr>
        <w:tc>
          <w:tcPr>
            <w:tcW w:w="1960"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Y</w:t>
            </w:r>
            <w:r>
              <w:rPr>
                <w:rFonts w:ascii="宋体" w:hAnsi="Times New Roman" w:cs="宋体"/>
                <w:color w:val="000000"/>
                <w:kern w:val="0"/>
                <w:sz w:val="23"/>
                <w:szCs w:val="23"/>
              </w:rPr>
              <w:t>≥</w:t>
            </w:r>
            <w:r>
              <w:rPr>
                <w:rFonts w:ascii="宋体" w:hAnsi="Times New Roman" w:cs="宋体"/>
                <w:color w:val="000000"/>
                <w:kern w:val="0"/>
                <w:sz w:val="23"/>
                <w:szCs w:val="23"/>
              </w:rPr>
              <w:t>30</w:t>
            </w:r>
            <w:r>
              <w:rPr>
                <w:rFonts w:ascii="宋体" w:hAnsi="Times New Roman" w:cs="宋体" w:hint="eastAsia"/>
                <w:color w:val="000000"/>
                <w:kern w:val="0"/>
                <w:sz w:val="23"/>
                <w:szCs w:val="23"/>
              </w:rPr>
              <w:t>日</w:t>
            </w:r>
          </w:p>
        </w:tc>
        <w:tc>
          <w:tcPr>
            <w:tcW w:w="1614" w:type="dxa"/>
            <w:tcBorders>
              <w:top w:val="single" w:sz="4" w:space="0" w:color="auto"/>
              <w:left w:val="single" w:sz="4" w:space="0" w:color="auto"/>
              <w:bottom w:val="single" w:sz="4" w:space="0" w:color="auto"/>
              <w:right w:val="single" w:sz="4" w:space="0" w:color="auto"/>
            </w:tcBorders>
          </w:tcPr>
          <w:p w:rsidR="002E15B3" w:rsidRDefault="00882A7C">
            <w:pPr>
              <w:autoSpaceDE w:val="0"/>
              <w:autoSpaceDN w:val="0"/>
              <w:adjustRightInd w:val="0"/>
              <w:jc w:val="center"/>
              <w:rPr>
                <w:rFonts w:ascii="宋体" w:hAnsi="Times New Roman" w:cs="宋体"/>
                <w:color w:val="000000"/>
                <w:kern w:val="0"/>
                <w:sz w:val="23"/>
                <w:szCs w:val="23"/>
              </w:rPr>
            </w:pPr>
            <w:r>
              <w:rPr>
                <w:rFonts w:ascii="宋体" w:hAnsi="Times New Roman" w:cs="宋体"/>
                <w:color w:val="000000"/>
                <w:kern w:val="0"/>
                <w:sz w:val="23"/>
                <w:szCs w:val="23"/>
              </w:rPr>
              <w:t>0%</w:t>
            </w:r>
          </w:p>
        </w:tc>
      </w:tr>
    </w:tbl>
    <w:p w:rsidR="002E15B3" w:rsidRDefault="00882A7C">
      <w:pPr>
        <w:pStyle w:val="Default"/>
        <w:spacing w:line="360" w:lineRule="auto"/>
      </w:pPr>
      <w:r>
        <w:rPr>
          <w:rFonts w:hint="eastAsia"/>
        </w:rPr>
        <w:t>注：本基金的赎回费用由基金份额持有人承担，赎回费</w:t>
      </w:r>
      <w:r>
        <w:rPr>
          <w:rFonts w:hint="eastAsia"/>
        </w:rPr>
        <w:t>100%</w:t>
      </w:r>
      <w:r>
        <w:rPr>
          <w:rFonts w:hint="eastAsia"/>
        </w:rPr>
        <w:t>计入基金财产。</w:t>
      </w: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b/>
          <w:bCs/>
          <w:color w:val="000000"/>
          <w:kern w:val="0"/>
          <w:sz w:val="24"/>
          <w:szCs w:val="24"/>
        </w:rPr>
        <w:t xml:space="preserve">4.3 </w:t>
      </w:r>
      <w:r>
        <w:rPr>
          <w:rFonts w:ascii="宋体" w:hAnsi="Arial" w:cs="宋体" w:hint="eastAsia"/>
          <w:b/>
          <w:bCs/>
          <w:color w:val="000000"/>
          <w:kern w:val="0"/>
          <w:sz w:val="24"/>
          <w:szCs w:val="24"/>
        </w:rPr>
        <w:t>其他与赎回相关的事项</w:t>
      </w:r>
    </w:p>
    <w:p w:rsidR="002E15B3" w:rsidRDefault="00882A7C">
      <w:pPr>
        <w:autoSpaceDE w:val="0"/>
        <w:autoSpaceDN w:val="0"/>
        <w:adjustRightInd w:val="0"/>
        <w:spacing w:line="360" w:lineRule="auto"/>
        <w:ind w:firstLineChars="200" w:firstLine="480"/>
        <w:jc w:val="left"/>
        <w:rPr>
          <w:rFonts w:ascii="宋体" w:cs="宋体"/>
          <w:color w:val="000000"/>
          <w:kern w:val="0"/>
          <w:sz w:val="24"/>
          <w:szCs w:val="24"/>
        </w:rPr>
      </w:pPr>
      <w:r>
        <w:rPr>
          <w:rFonts w:ascii="宋体" w:cs="宋体"/>
          <w:color w:val="000000"/>
          <w:kern w:val="0"/>
          <w:sz w:val="24"/>
          <w:szCs w:val="24"/>
        </w:rPr>
        <w:t>基金管理人可以在基金合同约定的范围内调整费率或收费方式，并依照《信息披露办法》的有关规定进行公告。</w:t>
      </w:r>
    </w:p>
    <w:p w:rsidR="002E15B3" w:rsidRDefault="00882A7C" w:rsidP="00882A7C">
      <w:pPr>
        <w:autoSpaceDE w:val="0"/>
        <w:autoSpaceDN w:val="0"/>
        <w:adjustRightInd w:val="0"/>
        <w:spacing w:before="29" w:afterLines="50" w:line="288" w:lineRule="auto"/>
        <w:ind w:left="17"/>
        <w:jc w:val="left"/>
        <w:rPr>
          <w:rFonts w:ascii="宋体" w:hAnsi="Arial" w:cs="宋体"/>
          <w:b/>
          <w:bCs/>
          <w:color w:val="000000"/>
          <w:kern w:val="0"/>
          <w:sz w:val="24"/>
          <w:szCs w:val="24"/>
        </w:rPr>
      </w:pPr>
      <w:bookmarkStart w:id="1" w:name="_Toc275961400"/>
      <w:bookmarkEnd w:id="1"/>
      <w:r>
        <w:rPr>
          <w:rFonts w:ascii="宋体" w:hAnsi="Arial" w:cs="宋体" w:hint="eastAsia"/>
          <w:b/>
          <w:bCs/>
          <w:color w:val="000000"/>
          <w:kern w:val="0"/>
          <w:sz w:val="24"/>
          <w:szCs w:val="24"/>
        </w:rPr>
        <w:t>5</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基金销售机构</w:t>
      </w:r>
    </w:p>
    <w:p w:rsidR="002E15B3" w:rsidRDefault="00882A7C" w:rsidP="00882A7C">
      <w:pPr>
        <w:autoSpaceDE w:val="0"/>
        <w:autoSpaceDN w:val="0"/>
        <w:adjustRightInd w:val="0"/>
        <w:spacing w:before="29" w:afterLines="50" w:line="288" w:lineRule="auto"/>
        <w:ind w:left="17"/>
        <w:jc w:val="left"/>
        <w:rPr>
          <w:rFonts w:ascii="宋体" w:hAnsi="Arial" w:cs="宋体"/>
          <w:b/>
          <w:bCs/>
          <w:color w:val="000000"/>
          <w:kern w:val="0"/>
          <w:sz w:val="24"/>
          <w:szCs w:val="24"/>
        </w:rPr>
      </w:pPr>
      <w:r>
        <w:rPr>
          <w:rFonts w:ascii="宋体" w:hAnsi="Arial" w:cs="宋体" w:hint="eastAsia"/>
          <w:b/>
          <w:bCs/>
          <w:color w:val="000000"/>
          <w:kern w:val="0"/>
          <w:sz w:val="24"/>
          <w:szCs w:val="24"/>
        </w:rPr>
        <w:t>5</w:t>
      </w: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直销机构</w:t>
      </w:r>
    </w:p>
    <w:p w:rsidR="002E15B3" w:rsidRDefault="00882A7C">
      <w:pPr>
        <w:snapToGrid w:val="0"/>
        <w:spacing w:line="360" w:lineRule="auto"/>
        <w:ind w:firstLineChars="200" w:firstLine="480"/>
        <w:rPr>
          <w:rFonts w:ascii="宋体"/>
          <w:color w:val="000000"/>
          <w:sz w:val="24"/>
        </w:rPr>
      </w:pPr>
      <w:r>
        <w:rPr>
          <w:rFonts w:ascii="宋体" w:hAnsi="宋体" w:hint="eastAsia"/>
          <w:color w:val="000000"/>
          <w:sz w:val="24"/>
        </w:rPr>
        <w:t>浙商基金管理有限公司直销中心</w:t>
      </w:r>
    </w:p>
    <w:p w:rsidR="002E15B3" w:rsidRDefault="00882A7C">
      <w:pPr>
        <w:snapToGrid w:val="0"/>
        <w:spacing w:line="360" w:lineRule="auto"/>
        <w:ind w:firstLineChars="200" w:firstLine="480"/>
        <w:rPr>
          <w:rFonts w:ascii="宋体"/>
          <w:color w:val="000000"/>
          <w:sz w:val="24"/>
        </w:rPr>
      </w:pPr>
      <w:r>
        <w:rPr>
          <w:rFonts w:ascii="宋体" w:hAnsi="宋体" w:hint="eastAsia"/>
          <w:color w:val="000000"/>
          <w:sz w:val="24"/>
        </w:rPr>
        <w:t>办公地址：上海市浦东新区陆家嘴西路</w:t>
      </w:r>
      <w:r>
        <w:rPr>
          <w:rFonts w:ascii="宋体" w:hAnsi="宋体"/>
          <w:color w:val="000000"/>
          <w:sz w:val="24"/>
        </w:rPr>
        <w:t>99</w:t>
      </w:r>
      <w:r>
        <w:rPr>
          <w:rFonts w:ascii="宋体" w:hAnsi="宋体" w:hint="eastAsia"/>
          <w:color w:val="000000"/>
          <w:sz w:val="24"/>
        </w:rPr>
        <w:t>号万向大厦</w:t>
      </w:r>
      <w:r>
        <w:rPr>
          <w:rFonts w:ascii="宋体" w:hAnsi="宋体"/>
          <w:color w:val="000000"/>
          <w:sz w:val="24"/>
        </w:rPr>
        <w:t>11</w:t>
      </w:r>
      <w:r>
        <w:rPr>
          <w:rFonts w:ascii="宋体" w:hAnsi="宋体" w:hint="eastAsia"/>
          <w:color w:val="000000"/>
          <w:sz w:val="24"/>
        </w:rPr>
        <w:t>楼及</w:t>
      </w:r>
      <w:r>
        <w:rPr>
          <w:rFonts w:ascii="宋体" w:hAnsi="宋体" w:hint="eastAsia"/>
          <w:color w:val="000000"/>
          <w:sz w:val="24"/>
        </w:rPr>
        <w:t>1</w:t>
      </w:r>
      <w:r>
        <w:rPr>
          <w:rFonts w:ascii="宋体" w:hAnsi="宋体"/>
          <w:color w:val="000000"/>
          <w:sz w:val="24"/>
        </w:rPr>
        <w:t>2</w:t>
      </w:r>
      <w:r>
        <w:rPr>
          <w:rFonts w:ascii="宋体" w:hAnsi="宋体" w:hint="eastAsia"/>
          <w:color w:val="000000"/>
          <w:sz w:val="24"/>
        </w:rPr>
        <w:t>楼</w:t>
      </w:r>
    </w:p>
    <w:p w:rsidR="002E15B3" w:rsidRDefault="00882A7C">
      <w:pPr>
        <w:snapToGrid w:val="0"/>
        <w:spacing w:line="360" w:lineRule="auto"/>
        <w:ind w:firstLineChars="200" w:firstLine="480"/>
        <w:rPr>
          <w:rFonts w:ascii="宋体"/>
          <w:color w:val="000000"/>
          <w:sz w:val="24"/>
        </w:rPr>
      </w:pPr>
      <w:r>
        <w:rPr>
          <w:rFonts w:ascii="宋体" w:hAnsi="宋体" w:hint="eastAsia"/>
          <w:color w:val="000000"/>
          <w:sz w:val="24"/>
        </w:rPr>
        <w:t>电话：</w:t>
      </w:r>
      <w:r>
        <w:rPr>
          <w:rFonts w:ascii="宋体" w:hAnsi="宋体"/>
          <w:color w:val="000000"/>
          <w:sz w:val="24"/>
        </w:rPr>
        <w:t>021-603508</w:t>
      </w:r>
      <w:r>
        <w:rPr>
          <w:rFonts w:ascii="宋体" w:hAnsi="宋体" w:hint="eastAsia"/>
          <w:color w:val="000000"/>
          <w:sz w:val="24"/>
        </w:rPr>
        <w:t>57</w:t>
      </w:r>
    </w:p>
    <w:p w:rsidR="002E15B3" w:rsidRDefault="00882A7C">
      <w:pPr>
        <w:snapToGrid w:val="0"/>
        <w:spacing w:line="360" w:lineRule="auto"/>
        <w:ind w:firstLineChars="200" w:firstLine="480"/>
        <w:rPr>
          <w:rFonts w:ascii="宋体"/>
          <w:color w:val="000000"/>
          <w:sz w:val="24"/>
        </w:rPr>
      </w:pPr>
      <w:r>
        <w:rPr>
          <w:rFonts w:ascii="宋体" w:hAnsi="宋体" w:hint="eastAsia"/>
          <w:color w:val="000000"/>
          <w:sz w:val="24"/>
        </w:rPr>
        <w:t>传真：</w:t>
      </w:r>
      <w:r>
        <w:rPr>
          <w:rFonts w:ascii="宋体" w:hAnsi="宋体"/>
          <w:color w:val="000000"/>
          <w:sz w:val="24"/>
        </w:rPr>
        <w:t>021-60350836</w:t>
      </w:r>
    </w:p>
    <w:p w:rsidR="002E15B3" w:rsidRDefault="00882A7C">
      <w:pPr>
        <w:snapToGrid w:val="0"/>
        <w:spacing w:line="360" w:lineRule="auto"/>
        <w:ind w:firstLineChars="200" w:firstLine="480"/>
        <w:rPr>
          <w:rFonts w:ascii="宋体" w:hAnsi="宋体"/>
          <w:color w:val="000000"/>
          <w:sz w:val="24"/>
        </w:rPr>
      </w:pPr>
      <w:r>
        <w:rPr>
          <w:rFonts w:ascii="宋体" w:hAnsi="宋体" w:hint="eastAsia"/>
          <w:color w:val="000000"/>
          <w:sz w:val="24"/>
        </w:rPr>
        <w:t>联系人：郭梦珺</w:t>
      </w:r>
    </w:p>
    <w:p w:rsidR="002E15B3" w:rsidRDefault="00882A7C">
      <w:pPr>
        <w:snapToGrid w:val="0"/>
        <w:spacing w:line="360" w:lineRule="auto"/>
        <w:ind w:firstLineChars="200" w:firstLine="480"/>
        <w:rPr>
          <w:rFonts w:ascii="宋体" w:hAnsi="宋体"/>
          <w:color w:val="000000"/>
          <w:sz w:val="24"/>
        </w:rPr>
      </w:pPr>
      <w:r>
        <w:rPr>
          <w:rFonts w:ascii="宋体" w:hAnsi="宋体" w:hint="eastAsia"/>
          <w:color w:val="000000"/>
          <w:sz w:val="24"/>
        </w:rPr>
        <w:t>网址：</w:t>
      </w:r>
      <w:r>
        <w:rPr>
          <w:rFonts w:ascii="宋体" w:hAnsi="宋体" w:hint="eastAsia"/>
          <w:color w:val="000000"/>
          <w:sz w:val="24"/>
        </w:rPr>
        <w:t>http://www.zsfund.com</w:t>
      </w:r>
    </w:p>
    <w:p w:rsidR="002E15B3" w:rsidRDefault="00882A7C">
      <w:pPr>
        <w:snapToGrid w:val="0"/>
        <w:spacing w:line="360" w:lineRule="auto"/>
        <w:ind w:firstLineChars="200" w:firstLine="480"/>
        <w:rPr>
          <w:rFonts w:ascii="宋体"/>
          <w:color w:val="000000"/>
          <w:sz w:val="24"/>
        </w:rPr>
      </w:pPr>
      <w:r>
        <w:rPr>
          <w:rFonts w:ascii="宋体" w:hAnsi="宋体" w:hint="eastAsia"/>
          <w:color w:val="000000"/>
          <w:sz w:val="24"/>
        </w:rPr>
        <w:t>客服电话：</w:t>
      </w:r>
      <w:r>
        <w:rPr>
          <w:rFonts w:ascii="宋体" w:hAnsi="宋体" w:hint="eastAsia"/>
          <w:color w:val="000000"/>
          <w:sz w:val="24"/>
        </w:rPr>
        <w:t>400-067-9908</w:t>
      </w:r>
      <w:r>
        <w:rPr>
          <w:rFonts w:ascii="宋体" w:hAnsi="宋体" w:hint="eastAsia"/>
          <w:color w:val="000000"/>
          <w:sz w:val="24"/>
        </w:rPr>
        <w:t>（免长途话费）、</w:t>
      </w:r>
      <w:r>
        <w:rPr>
          <w:rFonts w:ascii="宋体" w:hAnsi="宋体" w:hint="eastAsia"/>
          <w:color w:val="000000"/>
          <w:sz w:val="24"/>
        </w:rPr>
        <w:t>021-60359000</w:t>
      </w:r>
    </w:p>
    <w:p w:rsidR="002E15B3" w:rsidRDefault="00882A7C">
      <w:pPr>
        <w:autoSpaceDE w:val="0"/>
        <w:autoSpaceDN w:val="0"/>
        <w:adjustRightInd w:val="0"/>
        <w:spacing w:line="360" w:lineRule="auto"/>
        <w:jc w:val="left"/>
        <w:rPr>
          <w:rFonts w:ascii="宋体" w:hAnsi="Arial" w:cs="宋体"/>
          <w:b/>
          <w:bCs/>
          <w:color w:val="000000"/>
          <w:kern w:val="0"/>
          <w:sz w:val="24"/>
          <w:szCs w:val="24"/>
        </w:rPr>
      </w:pPr>
      <w:r>
        <w:rPr>
          <w:rFonts w:ascii="宋体" w:hAnsi="Arial" w:cs="宋体" w:hint="eastAsia"/>
          <w:b/>
          <w:bCs/>
          <w:color w:val="000000"/>
          <w:kern w:val="0"/>
          <w:sz w:val="24"/>
          <w:szCs w:val="24"/>
        </w:rPr>
        <w:t>5</w:t>
      </w:r>
      <w:r>
        <w:rPr>
          <w:rFonts w:ascii="宋体" w:hAnsi="Arial" w:cs="宋体"/>
          <w:b/>
          <w:bCs/>
          <w:color w:val="000000"/>
          <w:kern w:val="0"/>
          <w:sz w:val="24"/>
          <w:szCs w:val="24"/>
        </w:rPr>
        <w:t xml:space="preserve">.2 </w:t>
      </w:r>
      <w:r>
        <w:rPr>
          <w:rFonts w:ascii="宋体" w:hAnsi="Arial" w:cs="宋体" w:hint="eastAsia"/>
          <w:b/>
          <w:bCs/>
          <w:color w:val="000000"/>
          <w:kern w:val="0"/>
          <w:sz w:val="24"/>
          <w:szCs w:val="24"/>
        </w:rPr>
        <w:t>其他销售机构</w:t>
      </w:r>
    </w:p>
    <w:p w:rsidR="002E15B3" w:rsidRDefault="00882A7C">
      <w:pPr>
        <w:snapToGrid w:val="0"/>
        <w:spacing w:line="360" w:lineRule="auto"/>
        <w:ind w:firstLineChars="200" w:firstLine="480"/>
        <w:rPr>
          <w:rFonts w:ascii="宋体" w:hAnsi="宋体"/>
          <w:color w:val="000000"/>
          <w:sz w:val="24"/>
        </w:rPr>
      </w:pPr>
      <w:r>
        <w:rPr>
          <w:rFonts w:ascii="宋体" w:hAnsi="宋体" w:hint="eastAsia"/>
          <w:color w:val="000000"/>
          <w:sz w:val="24"/>
        </w:rPr>
        <w:t>投资人可以通过本基金其他销售机构办理本基金日常申购和赎回（各销售机构办理基金的业务范围不同，具体请咨询各销售机构）。投资者在各销售机构办理本基金相关业务时，请</w:t>
      </w:r>
      <w:r>
        <w:rPr>
          <w:rFonts w:ascii="宋体" w:hAnsi="宋体" w:hint="eastAsia"/>
          <w:color w:val="000000"/>
          <w:sz w:val="24"/>
        </w:rPr>
        <w:t>遵循各销售机构业务规则与操作流程。</w:t>
      </w:r>
    </w:p>
    <w:p w:rsidR="002E15B3" w:rsidRDefault="00882A7C">
      <w:pPr>
        <w:snapToGrid w:val="0"/>
        <w:spacing w:line="360" w:lineRule="auto"/>
        <w:ind w:firstLineChars="200" w:firstLine="480"/>
        <w:rPr>
          <w:rFonts w:ascii="宋体" w:hAnsi="宋体"/>
          <w:color w:val="000000"/>
          <w:sz w:val="24"/>
        </w:rPr>
      </w:pPr>
      <w:r>
        <w:rPr>
          <w:rFonts w:ascii="宋体" w:hAnsi="宋体" w:hint="eastAsia"/>
          <w:color w:val="000000"/>
          <w:sz w:val="24"/>
        </w:rPr>
        <w:t>本基金其他销售机构信息详见基金管理人网站公示，若增加新的直销网点或者新的销售机构，本基金管理人将及时公告，敬请投资者留意。</w:t>
      </w: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hint="eastAsia"/>
          <w:b/>
          <w:bCs/>
          <w:color w:val="000000"/>
          <w:kern w:val="0"/>
          <w:sz w:val="24"/>
          <w:szCs w:val="24"/>
        </w:rPr>
        <w:t>6</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基金份额净值公告</w:t>
      </w:r>
      <w:r>
        <w:rPr>
          <w:rFonts w:ascii="宋体" w:hAnsi="Arial" w:cs="宋体"/>
          <w:b/>
          <w:bCs/>
          <w:color w:val="000000"/>
          <w:kern w:val="0"/>
          <w:sz w:val="24"/>
          <w:szCs w:val="24"/>
        </w:rPr>
        <w:t>/</w:t>
      </w:r>
      <w:r>
        <w:rPr>
          <w:rFonts w:ascii="宋体" w:hAnsi="Arial" w:cs="宋体" w:hint="eastAsia"/>
          <w:b/>
          <w:bCs/>
          <w:color w:val="000000"/>
          <w:kern w:val="0"/>
          <w:sz w:val="24"/>
          <w:szCs w:val="24"/>
        </w:rPr>
        <w:t>基金收益公告的披露安排</w:t>
      </w:r>
    </w:p>
    <w:p w:rsidR="002E15B3" w:rsidRDefault="00882A7C">
      <w:pPr>
        <w:spacing w:line="360" w:lineRule="auto"/>
        <w:ind w:firstLineChars="200" w:firstLine="480"/>
        <w:rPr>
          <w:bCs/>
          <w:sz w:val="24"/>
        </w:rPr>
      </w:pPr>
      <w:r>
        <w:rPr>
          <w:bCs/>
          <w:sz w:val="24"/>
        </w:rPr>
        <w:t>在开放期内</w:t>
      </w:r>
      <w:r>
        <w:rPr>
          <w:rFonts w:hint="eastAsia"/>
          <w:bCs/>
          <w:sz w:val="24"/>
        </w:rPr>
        <w:t>，</w:t>
      </w:r>
      <w:r>
        <w:rPr>
          <w:bCs/>
          <w:sz w:val="24"/>
        </w:rPr>
        <w:t>基金管理人应当在不晚于每个开放日的次日，通过</w:t>
      </w:r>
      <w:r>
        <w:rPr>
          <w:rFonts w:hint="eastAsia"/>
          <w:bCs/>
          <w:sz w:val="24"/>
        </w:rPr>
        <w:t>规定</w:t>
      </w:r>
      <w:r>
        <w:rPr>
          <w:bCs/>
          <w:sz w:val="24"/>
        </w:rPr>
        <w:t>网站、基金</w:t>
      </w:r>
      <w:r>
        <w:rPr>
          <w:rFonts w:hint="eastAsia"/>
          <w:bCs/>
          <w:sz w:val="24"/>
        </w:rPr>
        <w:t>销售机构网站或者营业网点</w:t>
      </w:r>
      <w:r>
        <w:rPr>
          <w:bCs/>
          <w:sz w:val="24"/>
        </w:rPr>
        <w:t>披露开放日的基金份额净值和基金份额累计净值。</w:t>
      </w:r>
    </w:p>
    <w:p w:rsidR="002E15B3" w:rsidRDefault="00882A7C">
      <w:pPr>
        <w:spacing w:line="360" w:lineRule="auto"/>
        <w:ind w:firstLineChars="200" w:firstLine="480"/>
        <w:rPr>
          <w:bCs/>
          <w:sz w:val="24"/>
        </w:rPr>
      </w:pPr>
      <w:r>
        <w:rPr>
          <w:bCs/>
          <w:sz w:val="24"/>
        </w:rPr>
        <w:t>基金管理人应当在不晚于半年度和年度最后一日的次日，在</w:t>
      </w:r>
      <w:r>
        <w:rPr>
          <w:rFonts w:hint="eastAsia"/>
          <w:bCs/>
          <w:sz w:val="24"/>
        </w:rPr>
        <w:t>规定</w:t>
      </w:r>
      <w:r>
        <w:rPr>
          <w:bCs/>
          <w:sz w:val="24"/>
        </w:rPr>
        <w:t>网站披露半年度和年度最后一日的基金份额净值和基金份额累计净值。</w:t>
      </w:r>
    </w:p>
    <w:p w:rsidR="002E15B3" w:rsidRDefault="00882A7C" w:rsidP="00882A7C">
      <w:pPr>
        <w:autoSpaceDE w:val="0"/>
        <w:autoSpaceDN w:val="0"/>
        <w:adjustRightInd w:val="0"/>
        <w:spacing w:before="29" w:afterLines="100" w:line="288" w:lineRule="auto"/>
        <w:ind w:left="17"/>
        <w:jc w:val="left"/>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其他需要提示的事项</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）本基金不向个人投资者公开销售。</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2</w:t>
      </w:r>
      <w:r>
        <w:rPr>
          <w:rFonts w:ascii="宋体" w:cs="宋体" w:hint="eastAsia"/>
          <w:color w:val="000000"/>
          <w:kern w:val="0"/>
          <w:sz w:val="24"/>
          <w:szCs w:val="24"/>
        </w:rPr>
        <w:t>）本公告仅对本基金本开放期内开放申购、赎回业务的有关事项予以说明。</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3</w:t>
      </w:r>
      <w:r>
        <w:rPr>
          <w:rFonts w:ascii="宋体" w:cs="宋体" w:hint="eastAsia"/>
          <w:color w:val="000000"/>
          <w:kern w:val="0"/>
          <w:sz w:val="24"/>
          <w:szCs w:val="24"/>
        </w:rPr>
        <w:t>）投资者欲了解本基金的详细情况，请仔细阅读刊登于本公司网站</w:t>
      </w:r>
      <w:r>
        <w:rPr>
          <w:rFonts w:ascii="宋体" w:cs="宋体" w:hint="eastAsia"/>
          <w:color w:val="000000"/>
          <w:kern w:val="0"/>
          <w:sz w:val="24"/>
          <w:szCs w:val="24"/>
        </w:rPr>
        <w:t>(www.zsfund.com)</w:t>
      </w:r>
      <w:r>
        <w:rPr>
          <w:rFonts w:ascii="宋体" w:cs="宋体" w:hint="eastAsia"/>
          <w:color w:val="000000"/>
          <w:kern w:val="0"/>
          <w:sz w:val="24"/>
          <w:szCs w:val="24"/>
        </w:rPr>
        <w:t>的本基金《基金合同》和《招募说明书》等法律文件，还可拨打本公司客户服务热线</w:t>
      </w:r>
      <w:r>
        <w:rPr>
          <w:rFonts w:ascii="宋体" w:cs="宋体"/>
          <w:color w:val="000000"/>
          <w:kern w:val="0"/>
          <w:sz w:val="24"/>
          <w:szCs w:val="24"/>
        </w:rPr>
        <w:t>400-067-9908</w:t>
      </w:r>
      <w:r>
        <w:rPr>
          <w:rFonts w:ascii="宋体" w:cs="宋体" w:hint="eastAsia"/>
          <w:color w:val="000000"/>
          <w:kern w:val="0"/>
          <w:sz w:val="24"/>
          <w:szCs w:val="24"/>
        </w:rPr>
        <w:t>（免长途话费）或</w:t>
      </w:r>
      <w:r>
        <w:rPr>
          <w:rFonts w:ascii="宋体" w:cs="宋体"/>
          <w:color w:val="000000"/>
          <w:kern w:val="0"/>
          <w:sz w:val="24"/>
          <w:szCs w:val="24"/>
        </w:rPr>
        <w:t>021-60359000</w:t>
      </w:r>
      <w:r>
        <w:rPr>
          <w:rFonts w:ascii="宋体" w:cs="宋体" w:hint="eastAsia"/>
          <w:color w:val="000000"/>
          <w:kern w:val="0"/>
          <w:sz w:val="24"/>
          <w:szCs w:val="24"/>
        </w:rPr>
        <w:t>咨询相关信息。</w:t>
      </w:r>
    </w:p>
    <w:p w:rsidR="002E15B3" w:rsidRDefault="002E15B3">
      <w:pPr>
        <w:autoSpaceDE w:val="0"/>
        <w:autoSpaceDN w:val="0"/>
        <w:adjustRightInd w:val="0"/>
        <w:spacing w:line="360" w:lineRule="auto"/>
        <w:ind w:firstLineChars="200" w:firstLine="480"/>
        <w:rPr>
          <w:rFonts w:ascii="宋体" w:cs="宋体"/>
          <w:color w:val="000000"/>
          <w:kern w:val="0"/>
          <w:sz w:val="24"/>
          <w:szCs w:val="24"/>
        </w:rPr>
      </w:pP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风险提示：本公司承诺以诚实信用、勤勉尽责的原则管理和运用基金财产，但不保证基金一定盈利，也不保证最低收益，投资者投资于本公司基金时应认真阅读相关基金合同、招募说明书等文件。投资有风险，敬请投资人认真阅读基金的相关法律文件，并选择适合自身风险承受能力的投资品种进行投资。</w:t>
      </w:r>
    </w:p>
    <w:p w:rsidR="002E15B3" w:rsidRDefault="00882A7C">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特此公告。</w:t>
      </w:r>
    </w:p>
    <w:p w:rsidR="002E15B3" w:rsidRDefault="002E15B3" w:rsidP="00882A7C">
      <w:pPr>
        <w:autoSpaceDE w:val="0"/>
        <w:autoSpaceDN w:val="0"/>
        <w:adjustRightInd w:val="0"/>
        <w:spacing w:afterLines="100" w:line="360" w:lineRule="auto"/>
        <w:ind w:firstLineChars="236" w:firstLine="566"/>
        <w:jc w:val="right"/>
        <w:rPr>
          <w:rFonts w:ascii="宋体" w:cs="宋体"/>
          <w:color w:val="000000"/>
          <w:kern w:val="0"/>
          <w:sz w:val="24"/>
          <w:szCs w:val="24"/>
        </w:rPr>
      </w:pPr>
    </w:p>
    <w:p w:rsidR="002E15B3" w:rsidRDefault="00882A7C" w:rsidP="00882A7C">
      <w:pPr>
        <w:autoSpaceDE w:val="0"/>
        <w:autoSpaceDN w:val="0"/>
        <w:adjustRightInd w:val="0"/>
        <w:spacing w:afterLines="100" w:line="360" w:lineRule="auto"/>
        <w:ind w:firstLineChars="236" w:firstLine="566"/>
        <w:jc w:val="right"/>
        <w:rPr>
          <w:rFonts w:ascii="宋体" w:cs="宋体"/>
          <w:color w:val="000000"/>
          <w:kern w:val="0"/>
          <w:sz w:val="24"/>
          <w:szCs w:val="24"/>
        </w:rPr>
      </w:pPr>
      <w:bookmarkStart w:id="2" w:name="_GoBack"/>
      <w:r>
        <w:rPr>
          <w:rFonts w:ascii="宋体" w:cs="宋体"/>
          <w:color w:val="000000"/>
          <w:kern w:val="0"/>
          <w:sz w:val="24"/>
          <w:szCs w:val="24"/>
        </w:rPr>
        <w:t>浙商基金</w:t>
      </w:r>
      <w:bookmarkEnd w:id="2"/>
      <w:r>
        <w:rPr>
          <w:rFonts w:ascii="宋体" w:cs="宋体"/>
          <w:color w:val="000000"/>
          <w:kern w:val="0"/>
          <w:sz w:val="24"/>
          <w:szCs w:val="24"/>
        </w:rPr>
        <w:t>管理有限公司</w:t>
      </w:r>
    </w:p>
    <w:p w:rsidR="002E15B3" w:rsidRDefault="00882A7C" w:rsidP="002E15B3">
      <w:pPr>
        <w:autoSpaceDE w:val="0"/>
        <w:autoSpaceDN w:val="0"/>
        <w:adjustRightInd w:val="0"/>
        <w:spacing w:afterLines="100" w:line="360" w:lineRule="auto"/>
        <w:ind w:firstLineChars="236" w:firstLine="566"/>
        <w:jc w:val="right"/>
        <w:rPr>
          <w:rFonts w:ascii="宋体" w:hAnsi="Arial" w:cs="宋体"/>
          <w:color w:val="000000"/>
          <w:kern w:val="0"/>
          <w:sz w:val="23"/>
          <w:szCs w:val="23"/>
        </w:rPr>
      </w:pPr>
      <w:r>
        <w:rPr>
          <w:rFonts w:ascii="Times New Roman" w:hAnsi="Times New Roman"/>
          <w:sz w:val="24"/>
          <w:szCs w:val="24"/>
        </w:rPr>
        <w:t>20</w:t>
      </w:r>
      <w:r>
        <w:rPr>
          <w:rFonts w:ascii="Times New Roman" w:hAnsi="Times New Roman" w:hint="eastAsia"/>
          <w:sz w:val="24"/>
          <w:szCs w:val="24"/>
        </w:rPr>
        <w:t>2</w:t>
      </w:r>
      <w:r>
        <w:rPr>
          <w:rFonts w:ascii="Times New Roman" w:hAnsi="Times New Roman"/>
          <w:sz w:val="24"/>
          <w:szCs w:val="24"/>
        </w:rPr>
        <w:t>6</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27</w:t>
      </w:r>
      <w:r>
        <w:rPr>
          <w:rFonts w:ascii="Times New Roman" w:hAnsi="Times New Roman"/>
          <w:sz w:val="24"/>
          <w:szCs w:val="24"/>
        </w:rPr>
        <w:t>日</w:t>
      </w:r>
    </w:p>
    <w:sectPr w:rsidR="002E15B3" w:rsidSect="002E15B3">
      <w:footerReference w:type="default" r:id="rId7"/>
      <w:pgSz w:w="11907" w:h="16839"/>
      <w:pgMar w:top="1440" w:right="1797" w:bottom="1440" w:left="1797"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B3" w:rsidRDefault="002E15B3" w:rsidP="002E15B3">
      <w:r>
        <w:separator/>
      </w:r>
    </w:p>
  </w:endnote>
  <w:endnote w:type="continuationSeparator" w:id="0">
    <w:p w:rsidR="002E15B3" w:rsidRDefault="002E15B3" w:rsidP="002E1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Sans Serif">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034898"/>
      <w:docPartObj>
        <w:docPartGallery w:val="AutoText"/>
      </w:docPartObj>
    </w:sdtPr>
    <w:sdtContent>
      <w:p w:rsidR="002E15B3" w:rsidRDefault="002E15B3">
        <w:pPr>
          <w:pStyle w:val="a6"/>
          <w:jc w:val="center"/>
        </w:pPr>
        <w:r>
          <w:fldChar w:fldCharType="begin"/>
        </w:r>
        <w:r w:rsidR="00882A7C">
          <w:instrText>PAGE   \* MERGEFORMAT</w:instrText>
        </w:r>
        <w:r>
          <w:fldChar w:fldCharType="separate"/>
        </w:r>
        <w:r w:rsidR="00882A7C" w:rsidRPr="00882A7C">
          <w:rPr>
            <w:noProof/>
            <w:lang w:val="zh-CN"/>
          </w:rPr>
          <w:t>1</w:t>
        </w:r>
        <w:r>
          <w:fldChar w:fldCharType="end"/>
        </w:r>
      </w:p>
    </w:sdtContent>
  </w:sdt>
  <w:p w:rsidR="002E15B3" w:rsidRDefault="002E15B3">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B3" w:rsidRDefault="002E15B3" w:rsidP="002E15B3">
      <w:r>
        <w:separator/>
      </w:r>
    </w:p>
  </w:footnote>
  <w:footnote w:type="continuationSeparator" w:id="0">
    <w:p w:rsidR="002E15B3" w:rsidRDefault="002E15B3" w:rsidP="002E1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BF5"/>
    <w:rsid w:val="000018C3"/>
    <w:rsid w:val="00002173"/>
    <w:rsid w:val="00005DEE"/>
    <w:rsid w:val="000106FF"/>
    <w:rsid w:val="00011DD9"/>
    <w:rsid w:val="00013D85"/>
    <w:rsid w:val="00022EBE"/>
    <w:rsid w:val="00025D1F"/>
    <w:rsid w:val="000263E6"/>
    <w:rsid w:val="00031551"/>
    <w:rsid w:val="00032F9C"/>
    <w:rsid w:val="00037F2C"/>
    <w:rsid w:val="00041A6C"/>
    <w:rsid w:val="00046ADB"/>
    <w:rsid w:val="00053D61"/>
    <w:rsid w:val="00055165"/>
    <w:rsid w:val="000563D5"/>
    <w:rsid w:val="000647FC"/>
    <w:rsid w:val="00064ED8"/>
    <w:rsid w:val="0006729E"/>
    <w:rsid w:val="00073A1F"/>
    <w:rsid w:val="00077AC8"/>
    <w:rsid w:val="000810B5"/>
    <w:rsid w:val="000834D6"/>
    <w:rsid w:val="000923C6"/>
    <w:rsid w:val="0009366F"/>
    <w:rsid w:val="000A2040"/>
    <w:rsid w:val="000A2C29"/>
    <w:rsid w:val="000A3EBD"/>
    <w:rsid w:val="000A67B9"/>
    <w:rsid w:val="000B156F"/>
    <w:rsid w:val="000B25E0"/>
    <w:rsid w:val="000B6E45"/>
    <w:rsid w:val="000C1461"/>
    <w:rsid w:val="000C287F"/>
    <w:rsid w:val="000E36B6"/>
    <w:rsid w:val="000E5409"/>
    <w:rsid w:val="000E56E0"/>
    <w:rsid w:val="000F338E"/>
    <w:rsid w:val="000F3FAE"/>
    <w:rsid w:val="00100C05"/>
    <w:rsid w:val="001027ED"/>
    <w:rsid w:val="0011792D"/>
    <w:rsid w:val="00123ED6"/>
    <w:rsid w:val="00124970"/>
    <w:rsid w:val="00132F8E"/>
    <w:rsid w:val="001456F3"/>
    <w:rsid w:val="00150FF9"/>
    <w:rsid w:val="001706CD"/>
    <w:rsid w:val="00171094"/>
    <w:rsid w:val="001818E2"/>
    <w:rsid w:val="001867C1"/>
    <w:rsid w:val="0018772E"/>
    <w:rsid w:val="0019232A"/>
    <w:rsid w:val="00197595"/>
    <w:rsid w:val="001A2D8E"/>
    <w:rsid w:val="001A3FA9"/>
    <w:rsid w:val="001A5FD7"/>
    <w:rsid w:val="001A6ACD"/>
    <w:rsid w:val="001B1616"/>
    <w:rsid w:val="001B1ADE"/>
    <w:rsid w:val="001C2D0A"/>
    <w:rsid w:val="001C61DF"/>
    <w:rsid w:val="001D11F4"/>
    <w:rsid w:val="001D1DAD"/>
    <w:rsid w:val="001D2A9F"/>
    <w:rsid w:val="001D3407"/>
    <w:rsid w:val="001E02C2"/>
    <w:rsid w:val="001E493C"/>
    <w:rsid w:val="001E4C32"/>
    <w:rsid w:val="001F028A"/>
    <w:rsid w:val="001F3AC3"/>
    <w:rsid w:val="002013C0"/>
    <w:rsid w:val="002027CB"/>
    <w:rsid w:val="00202B86"/>
    <w:rsid w:val="002073E3"/>
    <w:rsid w:val="00207E6A"/>
    <w:rsid w:val="00211027"/>
    <w:rsid w:val="00212FE3"/>
    <w:rsid w:val="0021484F"/>
    <w:rsid w:val="00223A67"/>
    <w:rsid w:val="00231A7C"/>
    <w:rsid w:val="00236D0B"/>
    <w:rsid w:val="00236DE3"/>
    <w:rsid w:val="0023751B"/>
    <w:rsid w:val="00241B8C"/>
    <w:rsid w:val="00243AE1"/>
    <w:rsid w:val="00252DC9"/>
    <w:rsid w:val="002610F0"/>
    <w:rsid w:val="00274DF7"/>
    <w:rsid w:val="00276531"/>
    <w:rsid w:val="0028149A"/>
    <w:rsid w:val="00287A29"/>
    <w:rsid w:val="00293AE6"/>
    <w:rsid w:val="002A156A"/>
    <w:rsid w:val="002A51C2"/>
    <w:rsid w:val="002A5AB9"/>
    <w:rsid w:val="002B4B20"/>
    <w:rsid w:val="002B4F42"/>
    <w:rsid w:val="002C5DCB"/>
    <w:rsid w:val="002D0F22"/>
    <w:rsid w:val="002D3E08"/>
    <w:rsid w:val="002E0488"/>
    <w:rsid w:val="002E15B3"/>
    <w:rsid w:val="002F3889"/>
    <w:rsid w:val="002F6093"/>
    <w:rsid w:val="002F63B2"/>
    <w:rsid w:val="002F648A"/>
    <w:rsid w:val="002F69EA"/>
    <w:rsid w:val="002F7587"/>
    <w:rsid w:val="002F7E81"/>
    <w:rsid w:val="00301529"/>
    <w:rsid w:val="00302BE8"/>
    <w:rsid w:val="00310AD4"/>
    <w:rsid w:val="003111C8"/>
    <w:rsid w:val="0032142E"/>
    <w:rsid w:val="003221B5"/>
    <w:rsid w:val="003236D7"/>
    <w:rsid w:val="00326DFF"/>
    <w:rsid w:val="00330261"/>
    <w:rsid w:val="00331201"/>
    <w:rsid w:val="003329D6"/>
    <w:rsid w:val="0033465F"/>
    <w:rsid w:val="00334780"/>
    <w:rsid w:val="003354E6"/>
    <w:rsid w:val="0034366E"/>
    <w:rsid w:val="003457C6"/>
    <w:rsid w:val="0035389A"/>
    <w:rsid w:val="0036297F"/>
    <w:rsid w:val="00363139"/>
    <w:rsid w:val="0036505F"/>
    <w:rsid w:val="00374118"/>
    <w:rsid w:val="003769DE"/>
    <w:rsid w:val="00377E59"/>
    <w:rsid w:val="0038082C"/>
    <w:rsid w:val="00382DFF"/>
    <w:rsid w:val="003863EC"/>
    <w:rsid w:val="003874E0"/>
    <w:rsid w:val="00390888"/>
    <w:rsid w:val="003A1C31"/>
    <w:rsid w:val="003A260C"/>
    <w:rsid w:val="003A6639"/>
    <w:rsid w:val="003B21F1"/>
    <w:rsid w:val="003B2822"/>
    <w:rsid w:val="003B712D"/>
    <w:rsid w:val="003C0A6B"/>
    <w:rsid w:val="003C1E64"/>
    <w:rsid w:val="003C1FF0"/>
    <w:rsid w:val="003C47F9"/>
    <w:rsid w:val="003C6239"/>
    <w:rsid w:val="003D1C16"/>
    <w:rsid w:val="003D569D"/>
    <w:rsid w:val="003D7933"/>
    <w:rsid w:val="003E21F9"/>
    <w:rsid w:val="003E2A6A"/>
    <w:rsid w:val="003E3204"/>
    <w:rsid w:val="003E3A62"/>
    <w:rsid w:val="003E4302"/>
    <w:rsid w:val="003E5780"/>
    <w:rsid w:val="003F4CCC"/>
    <w:rsid w:val="00406F6E"/>
    <w:rsid w:val="00415393"/>
    <w:rsid w:val="00421A44"/>
    <w:rsid w:val="004242E2"/>
    <w:rsid w:val="00425E1D"/>
    <w:rsid w:val="00433E41"/>
    <w:rsid w:val="00433F0A"/>
    <w:rsid w:val="00445857"/>
    <w:rsid w:val="00450AD7"/>
    <w:rsid w:val="00455809"/>
    <w:rsid w:val="004560BD"/>
    <w:rsid w:val="00463AA0"/>
    <w:rsid w:val="004649A4"/>
    <w:rsid w:val="00464F3C"/>
    <w:rsid w:val="00466E80"/>
    <w:rsid w:val="00473A18"/>
    <w:rsid w:val="004746B8"/>
    <w:rsid w:val="00475989"/>
    <w:rsid w:val="00477B64"/>
    <w:rsid w:val="00477C66"/>
    <w:rsid w:val="004840F7"/>
    <w:rsid w:val="0048474E"/>
    <w:rsid w:val="00490523"/>
    <w:rsid w:val="00493DDF"/>
    <w:rsid w:val="0049645A"/>
    <w:rsid w:val="004A27DD"/>
    <w:rsid w:val="004A44C6"/>
    <w:rsid w:val="004A7619"/>
    <w:rsid w:val="004B7879"/>
    <w:rsid w:val="004C2ACA"/>
    <w:rsid w:val="004C677F"/>
    <w:rsid w:val="004C77A7"/>
    <w:rsid w:val="004D0A03"/>
    <w:rsid w:val="004D283F"/>
    <w:rsid w:val="004D3B54"/>
    <w:rsid w:val="004E1DC6"/>
    <w:rsid w:val="004E2191"/>
    <w:rsid w:val="004E2850"/>
    <w:rsid w:val="004E5543"/>
    <w:rsid w:val="004E5CEB"/>
    <w:rsid w:val="004F212F"/>
    <w:rsid w:val="00503C3F"/>
    <w:rsid w:val="00503EF0"/>
    <w:rsid w:val="005062F6"/>
    <w:rsid w:val="0051490B"/>
    <w:rsid w:val="0052024E"/>
    <w:rsid w:val="005224CB"/>
    <w:rsid w:val="00525654"/>
    <w:rsid w:val="0053104E"/>
    <w:rsid w:val="00536A10"/>
    <w:rsid w:val="005422C3"/>
    <w:rsid w:val="005433B7"/>
    <w:rsid w:val="00544922"/>
    <w:rsid w:val="00544DA4"/>
    <w:rsid w:val="0054541C"/>
    <w:rsid w:val="00545844"/>
    <w:rsid w:val="00545BAD"/>
    <w:rsid w:val="0055336B"/>
    <w:rsid w:val="00553E0D"/>
    <w:rsid w:val="00557753"/>
    <w:rsid w:val="00560375"/>
    <w:rsid w:val="00560666"/>
    <w:rsid w:val="005610B1"/>
    <w:rsid w:val="00561F85"/>
    <w:rsid w:val="00565C25"/>
    <w:rsid w:val="00571B37"/>
    <w:rsid w:val="00575CA5"/>
    <w:rsid w:val="0057641E"/>
    <w:rsid w:val="0057724E"/>
    <w:rsid w:val="00582C3E"/>
    <w:rsid w:val="00586F13"/>
    <w:rsid w:val="00590988"/>
    <w:rsid w:val="00592558"/>
    <w:rsid w:val="00592CB9"/>
    <w:rsid w:val="0059497B"/>
    <w:rsid w:val="00594FD4"/>
    <w:rsid w:val="00595BB4"/>
    <w:rsid w:val="00597B1D"/>
    <w:rsid w:val="005A08E8"/>
    <w:rsid w:val="005A0966"/>
    <w:rsid w:val="005A4836"/>
    <w:rsid w:val="005A62DA"/>
    <w:rsid w:val="005A6F42"/>
    <w:rsid w:val="005B5E6A"/>
    <w:rsid w:val="005B779A"/>
    <w:rsid w:val="005C2197"/>
    <w:rsid w:val="005C518F"/>
    <w:rsid w:val="005C6EC2"/>
    <w:rsid w:val="005E3474"/>
    <w:rsid w:val="005E62B6"/>
    <w:rsid w:val="005E7F3C"/>
    <w:rsid w:val="005F20A3"/>
    <w:rsid w:val="005F5777"/>
    <w:rsid w:val="006009F7"/>
    <w:rsid w:val="0060236E"/>
    <w:rsid w:val="00612557"/>
    <w:rsid w:val="00632527"/>
    <w:rsid w:val="00640547"/>
    <w:rsid w:val="006408A0"/>
    <w:rsid w:val="00645659"/>
    <w:rsid w:val="0064629F"/>
    <w:rsid w:val="006467BE"/>
    <w:rsid w:val="006477EC"/>
    <w:rsid w:val="00653E7B"/>
    <w:rsid w:val="006649A9"/>
    <w:rsid w:val="00665283"/>
    <w:rsid w:val="0066793F"/>
    <w:rsid w:val="0067471A"/>
    <w:rsid w:val="00674BCB"/>
    <w:rsid w:val="00674E84"/>
    <w:rsid w:val="006770B7"/>
    <w:rsid w:val="006800BE"/>
    <w:rsid w:val="00680C49"/>
    <w:rsid w:val="00680EE9"/>
    <w:rsid w:val="0068171E"/>
    <w:rsid w:val="006818EC"/>
    <w:rsid w:val="0068448A"/>
    <w:rsid w:val="00684F10"/>
    <w:rsid w:val="0069026E"/>
    <w:rsid w:val="00691F3B"/>
    <w:rsid w:val="00692FB9"/>
    <w:rsid w:val="00693DB1"/>
    <w:rsid w:val="006945B8"/>
    <w:rsid w:val="006962B0"/>
    <w:rsid w:val="006A4C5D"/>
    <w:rsid w:val="006A5726"/>
    <w:rsid w:val="006B182B"/>
    <w:rsid w:val="006B2E91"/>
    <w:rsid w:val="006B392B"/>
    <w:rsid w:val="006C38D7"/>
    <w:rsid w:val="006C3CC2"/>
    <w:rsid w:val="006C3EBB"/>
    <w:rsid w:val="006C7A99"/>
    <w:rsid w:val="006E4B8C"/>
    <w:rsid w:val="006E5DCD"/>
    <w:rsid w:val="006E67EB"/>
    <w:rsid w:val="006F1BC7"/>
    <w:rsid w:val="007013F2"/>
    <w:rsid w:val="00704A77"/>
    <w:rsid w:val="007052C9"/>
    <w:rsid w:val="00707A7D"/>
    <w:rsid w:val="00712CB6"/>
    <w:rsid w:val="00713899"/>
    <w:rsid w:val="00713D23"/>
    <w:rsid w:val="00716C10"/>
    <w:rsid w:val="00720E05"/>
    <w:rsid w:val="007230A3"/>
    <w:rsid w:val="00724D4D"/>
    <w:rsid w:val="007261BB"/>
    <w:rsid w:val="00732A86"/>
    <w:rsid w:val="0073382F"/>
    <w:rsid w:val="00742331"/>
    <w:rsid w:val="00742871"/>
    <w:rsid w:val="0075284F"/>
    <w:rsid w:val="00755166"/>
    <w:rsid w:val="00763DB2"/>
    <w:rsid w:val="007678C5"/>
    <w:rsid w:val="00770FF1"/>
    <w:rsid w:val="0077210D"/>
    <w:rsid w:val="007727B7"/>
    <w:rsid w:val="007741EF"/>
    <w:rsid w:val="00781985"/>
    <w:rsid w:val="007A1A6E"/>
    <w:rsid w:val="007A7697"/>
    <w:rsid w:val="007C08D3"/>
    <w:rsid w:val="007C1D1B"/>
    <w:rsid w:val="007C3141"/>
    <w:rsid w:val="007D4A2E"/>
    <w:rsid w:val="007D665D"/>
    <w:rsid w:val="007E039C"/>
    <w:rsid w:val="007E15DA"/>
    <w:rsid w:val="007E4E3D"/>
    <w:rsid w:val="007E6691"/>
    <w:rsid w:val="007E7AF4"/>
    <w:rsid w:val="00802BA4"/>
    <w:rsid w:val="00803A1B"/>
    <w:rsid w:val="00803A54"/>
    <w:rsid w:val="00803EEC"/>
    <w:rsid w:val="008045AB"/>
    <w:rsid w:val="00810D1E"/>
    <w:rsid w:val="0081214C"/>
    <w:rsid w:val="008168DA"/>
    <w:rsid w:val="00817115"/>
    <w:rsid w:val="00822037"/>
    <w:rsid w:val="00822F03"/>
    <w:rsid w:val="008238D7"/>
    <w:rsid w:val="00823CAC"/>
    <w:rsid w:val="00830793"/>
    <w:rsid w:val="00835658"/>
    <w:rsid w:val="0084351F"/>
    <w:rsid w:val="00843FAA"/>
    <w:rsid w:val="00844746"/>
    <w:rsid w:val="00847854"/>
    <w:rsid w:val="00852D03"/>
    <w:rsid w:val="0085312A"/>
    <w:rsid w:val="00854A32"/>
    <w:rsid w:val="00866696"/>
    <w:rsid w:val="00871B30"/>
    <w:rsid w:val="00871D6D"/>
    <w:rsid w:val="00880A69"/>
    <w:rsid w:val="00881C8D"/>
    <w:rsid w:val="00882A7C"/>
    <w:rsid w:val="00884519"/>
    <w:rsid w:val="00887D29"/>
    <w:rsid w:val="00890C90"/>
    <w:rsid w:val="0089139C"/>
    <w:rsid w:val="00891A9F"/>
    <w:rsid w:val="00891EC1"/>
    <w:rsid w:val="00892E9A"/>
    <w:rsid w:val="00896A93"/>
    <w:rsid w:val="00897011"/>
    <w:rsid w:val="008A0A1B"/>
    <w:rsid w:val="008A2BC3"/>
    <w:rsid w:val="008C5659"/>
    <w:rsid w:val="008F0E22"/>
    <w:rsid w:val="008F1544"/>
    <w:rsid w:val="008F26D6"/>
    <w:rsid w:val="008F3732"/>
    <w:rsid w:val="00907817"/>
    <w:rsid w:val="0092583C"/>
    <w:rsid w:val="00927A26"/>
    <w:rsid w:val="009470BC"/>
    <w:rsid w:val="0094760C"/>
    <w:rsid w:val="0095139A"/>
    <w:rsid w:val="00951AD5"/>
    <w:rsid w:val="00952DF4"/>
    <w:rsid w:val="00963B49"/>
    <w:rsid w:val="00966702"/>
    <w:rsid w:val="00967884"/>
    <w:rsid w:val="00971890"/>
    <w:rsid w:val="009722DA"/>
    <w:rsid w:val="00975232"/>
    <w:rsid w:val="00975ED3"/>
    <w:rsid w:val="00983EE1"/>
    <w:rsid w:val="009855F5"/>
    <w:rsid w:val="00990895"/>
    <w:rsid w:val="00993310"/>
    <w:rsid w:val="009947B6"/>
    <w:rsid w:val="00995D43"/>
    <w:rsid w:val="009A479E"/>
    <w:rsid w:val="009B5340"/>
    <w:rsid w:val="009B5C3E"/>
    <w:rsid w:val="009D0116"/>
    <w:rsid w:val="009D22B9"/>
    <w:rsid w:val="009E597B"/>
    <w:rsid w:val="009F0290"/>
    <w:rsid w:val="009F09FF"/>
    <w:rsid w:val="009F5FBD"/>
    <w:rsid w:val="009F65C6"/>
    <w:rsid w:val="00A020A2"/>
    <w:rsid w:val="00A0490F"/>
    <w:rsid w:val="00A063A8"/>
    <w:rsid w:val="00A206F6"/>
    <w:rsid w:val="00A208FA"/>
    <w:rsid w:val="00A21E21"/>
    <w:rsid w:val="00A25B64"/>
    <w:rsid w:val="00A27DB2"/>
    <w:rsid w:val="00A326CE"/>
    <w:rsid w:val="00A37FDB"/>
    <w:rsid w:val="00A40D5E"/>
    <w:rsid w:val="00A41686"/>
    <w:rsid w:val="00A45E59"/>
    <w:rsid w:val="00A53D2E"/>
    <w:rsid w:val="00A55651"/>
    <w:rsid w:val="00A57A54"/>
    <w:rsid w:val="00A619B5"/>
    <w:rsid w:val="00A628AE"/>
    <w:rsid w:val="00A83E5A"/>
    <w:rsid w:val="00A92543"/>
    <w:rsid w:val="00A92D5B"/>
    <w:rsid w:val="00AA0046"/>
    <w:rsid w:val="00AA13E7"/>
    <w:rsid w:val="00AA7D27"/>
    <w:rsid w:val="00AB31E1"/>
    <w:rsid w:val="00AC0F82"/>
    <w:rsid w:val="00AC13F5"/>
    <w:rsid w:val="00AD7E64"/>
    <w:rsid w:val="00AE0820"/>
    <w:rsid w:val="00AE1083"/>
    <w:rsid w:val="00AE4B73"/>
    <w:rsid w:val="00AF47C1"/>
    <w:rsid w:val="00AF7021"/>
    <w:rsid w:val="00B02508"/>
    <w:rsid w:val="00B035A6"/>
    <w:rsid w:val="00B06976"/>
    <w:rsid w:val="00B247C9"/>
    <w:rsid w:val="00B24C97"/>
    <w:rsid w:val="00B25CDD"/>
    <w:rsid w:val="00B30782"/>
    <w:rsid w:val="00B451BB"/>
    <w:rsid w:val="00B50EDC"/>
    <w:rsid w:val="00B536DF"/>
    <w:rsid w:val="00B56CE6"/>
    <w:rsid w:val="00B5728D"/>
    <w:rsid w:val="00B573A1"/>
    <w:rsid w:val="00B65592"/>
    <w:rsid w:val="00B66EB7"/>
    <w:rsid w:val="00B725BD"/>
    <w:rsid w:val="00B75492"/>
    <w:rsid w:val="00B76ECF"/>
    <w:rsid w:val="00B827A0"/>
    <w:rsid w:val="00B83E18"/>
    <w:rsid w:val="00B95029"/>
    <w:rsid w:val="00B971B3"/>
    <w:rsid w:val="00BA6102"/>
    <w:rsid w:val="00BB1496"/>
    <w:rsid w:val="00BB7040"/>
    <w:rsid w:val="00BC185B"/>
    <w:rsid w:val="00BC23C4"/>
    <w:rsid w:val="00BD30C8"/>
    <w:rsid w:val="00BD3DFF"/>
    <w:rsid w:val="00BD636D"/>
    <w:rsid w:val="00BE0A67"/>
    <w:rsid w:val="00BE1179"/>
    <w:rsid w:val="00BE2FD4"/>
    <w:rsid w:val="00BE47E4"/>
    <w:rsid w:val="00BE4BAC"/>
    <w:rsid w:val="00BF2478"/>
    <w:rsid w:val="00BF3462"/>
    <w:rsid w:val="00BF58B4"/>
    <w:rsid w:val="00BF77F0"/>
    <w:rsid w:val="00C049EC"/>
    <w:rsid w:val="00C07EC2"/>
    <w:rsid w:val="00C10BE2"/>
    <w:rsid w:val="00C11918"/>
    <w:rsid w:val="00C1400D"/>
    <w:rsid w:val="00C3179C"/>
    <w:rsid w:val="00C417EF"/>
    <w:rsid w:val="00C50859"/>
    <w:rsid w:val="00C60267"/>
    <w:rsid w:val="00C62FF3"/>
    <w:rsid w:val="00C637FB"/>
    <w:rsid w:val="00C65469"/>
    <w:rsid w:val="00C67CC6"/>
    <w:rsid w:val="00C700CC"/>
    <w:rsid w:val="00C71EB2"/>
    <w:rsid w:val="00C71FA9"/>
    <w:rsid w:val="00C73BD1"/>
    <w:rsid w:val="00C8774C"/>
    <w:rsid w:val="00C9386E"/>
    <w:rsid w:val="00C9765C"/>
    <w:rsid w:val="00CB58B9"/>
    <w:rsid w:val="00CC39E0"/>
    <w:rsid w:val="00CC4168"/>
    <w:rsid w:val="00CC75CF"/>
    <w:rsid w:val="00CD3895"/>
    <w:rsid w:val="00CD7F20"/>
    <w:rsid w:val="00CE0B32"/>
    <w:rsid w:val="00CE3529"/>
    <w:rsid w:val="00CE6642"/>
    <w:rsid w:val="00CE788A"/>
    <w:rsid w:val="00CF2EA1"/>
    <w:rsid w:val="00CF32A2"/>
    <w:rsid w:val="00CF3D79"/>
    <w:rsid w:val="00D00AE4"/>
    <w:rsid w:val="00D018BB"/>
    <w:rsid w:val="00D01BF5"/>
    <w:rsid w:val="00D0241E"/>
    <w:rsid w:val="00D05B97"/>
    <w:rsid w:val="00D155BF"/>
    <w:rsid w:val="00D22759"/>
    <w:rsid w:val="00D2679D"/>
    <w:rsid w:val="00D31A26"/>
    <w:rsid w:val="00D32C7C"/>
    <w:rsid w:val="00D4287F"/>
    <w:rsid w:val="00D454C8"/>
    <w:rsid w:val="00D608CE"/>
    <w:rsid w:val="00D62410"/>
    <w:rsid w:val="00D65BF9"/>
    <w:rsid w:val="00D67F3A"/>
    <w:rsid w:val="00D71CD9"/>
    <w:rsid w:val="00D76B31"/>
    <w:rsid w:val="00D820D6"/>
    <w:rsid w:val="00D83401"/>
    <w:rsid w:val="00D86382"/>
    <w:rsid w:val="00D87F1D"/>
    <w:rsid w:val="00D9223B"/>
    <w:rsid w:val="00D93383"/>
    <w:rsid w:val="00D93D3D"/>
    <w:rsid w:val="00D94089"/>
    <w:rsid w:val="00D957C5"/>
    <w:rsid w:val="00DA4A05"/>
    <w:rsid w:val="00DA6BD3"/>
    <w:rsid w:val="00DB12CF"/>
    <w:rsid w:val="00DB1A72"/>
    <w:rsid w:val="00DB3F39"/>
    <w:rsid w:val="00DB43D6"/>
    <w:rsid w:val="00DB4934"/>
    <w:rsid w:val="00DB56E1"/>
    <w:rsid w:val="00DB7096"/>
    <w:rsid w:val="00DC22CF"/>
    <w:rsid w:val="00DC4233"/>
    <w:rsid w:val="00DD4B74"/>
    <w:rsid w:val="00DD5B19"/>
    <w:rsid w:val="00DD6E5B"/>
    <w:rsid w:val="00DE201E"/>
    <w:rsid w:val="00DE2A7D"/>
    <w:rsid w:val="00DE4B71"/>
    <w:rsid w:val="00DE6BD0"/>
    <w:rsid w:val="00DF0504"/>
    <w:rsid w:val="00DF3C4D"/>
    <w:rsid w:val="00E019AF"/>
    <w:rsid w:val="00E029B2"/>
    <w:rsid w:val="00E117CF"/>
    <w:rsid w:val="00E13054"/>
    <w:rsid w:val="00E131BB"/>
    <w:rsid w:val="00E139CC"/>
    <w:rsid w:val="00E13C40"/>
    <w:rsid w:val="00E14347"/>
    <w:rsid w:val="00E243E2"/>
    <w:rsid w:val="00E24ECF"/>
    <w:rsid w:val="00E34256"/>
    <w:rsid w:val="00E34EC4"/>
    <w:rsid w:val="00E418FB"/>
    <w:rsid w:val="00E47BB5"/>
    <w:rsid w:val="00E50851"/>
    <w:rsid w:val="00E56EB2"/>
    <w:rsid w:val="00E665BE"/>
    <w:rsid w:val="00E670C4"/>
    <w:rsid w:val="00E6719F"/>
    <w:rsid w:val="00E671B2"/>
    <w:rsid w:val="00E758F9"/>
    <w:rsid w:val="00E80D5F"/>
    <w:rsid w:val="00E8142A"/>
    <w:rsid w:val="00E8433C"/>
    <w:rsid w:val="00E869B2"/>
    <w:rsid w:val="00E90074"/>
    <w:rsid w:val="00E90414"/>
    <w:rsid w:val="00E94B98"/>
    <w:rsid w:val="00EA29B9"/>
    <w:rsid w:val="00EA386E"/>
    <w:rsid w:val="00EA77BB"/>
    <w:rsid w:val="00EB06B0"/>
    <w:rsid w:val="00EC066F"/>
    <w:rsid w:val="00ED0A04"/>
    <w:rsid w:val="00ED3643"/>
    <w:rsid w:val="00ED3807"/>
    <w:rsid w:val="00ED54D1"/>
    <w:rsid w:val="00EF256B"/>
    <w:rsid w:val="00EF396B"/>
    <w:rsid w:val="00EF579E"/>
    <w:rsid w:val="00EF6F19"/>
    <w:rsid w:val="00F02599"/>
    <w:rsid w:val="00F04410"/>
    <w:rsid w:val="00F061F3"/>
    <w:rsid w:val="00F114B2"/>
    <w:rsid w:val="00F2007C"/>
    <w:rsid w:val="00F237CA"/>
    <w:rsid w:val="00F277DD"/>
    <w:rsid w:val="00F312EE"/>
    <w:rsid w:val="00F366C8"/>
    <w:rsid w:val="00F41DC2"/>
    <w:rsid w:val="00F45597"/>
    <w:rsid w:val="00F519A2"/>
    <w:rsid w:val="00F6210D"/>
    <w:rsid w:val="00F673D9"/>
    <w:rsid w:val="00F72D5D"/>
    <w:rsid w:val="00F75FF8"/>
    <w:rsid w:val="00F82003"/>
    <w:rsid w:val="00F82D97"/>
    <w:rsid w:val="00F85754"/>
    <w:rsid w:val="00F92064"/>
    <w:rsid w:val="00F971C1"/>
    <w:rsid w:val="00FA6AE0"/>
    <w:rsid w:val="00FA78BC"/>
    <w:rsid w:val="00FB101F"/>
    <w:rsid w:val="00FB23ED"/>
    <w:rsid w:val="00FC0E06"/>
    <w:rsid w:val="00FC12CF"/>
    <w:rsid w:val="00FC6A58"/>
    <w:rsid w:val="00FD1B29"/>
    <w:rsid w:val="00FD2102"/>
    <w:rsid w:val="00FD2F53"/>
    <w:rsid w:val="00FD4945"/>
    <w:rsid w:val="00FE2264"/>
    <w:rsid w:val="00FF61FE"/>
    <w:rsid w:val="00FF62F7"/>
    <w:rsid w:val="036A5A25"/>
    <w:rsid w:val="297B5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B3"/>
    <w:pPr>
      <w:widowControl w:val="0"/>
      <w:jc w:val="both"/>
    </w:pPr>
    <w:rPr>
      <w:kern w:val="2"/>
      <w:sz w:val="21"/>
      <w:szCs w:val="22"/>
    </w:rPr>
  </w:style>
  <w:style w:type="paragraph" w:styleId="1">
    <w:name w:val="heading 1"/>
    <w:basedOn w:val="a"/>
    <w:next w:val="a"/>
    <w:link w:val="1Char"/>
    <w:autoRedefine/>
    <w:uiPriority w:val="9"/>
    <w:qFormat/>
    <w:rsid w:val="002E15B3"/>
    <w:pPr>
      <w:keepNext/>
      <w:keepLines/>
      <w:shd w:val="clear" w:color="auto" w:fill="FFFFFF"/>
      <w:spacing w:before="225" w:afterLines="150" w:line="390" w:lineRule="atLeast"/>
      <w:jc w:val="center"/>
      <w:outlineLvl w:val="0"/>
    </w:pPr>
    <w:rPr>
      <w:rFonts w:ascii="宋体" w:hAnsi="宋体" w:cs="Helvetica"/>
      <w:b/>
      <w:color w:val="044161"/>
      <w:kern w:val="44"/>
      <w:sz w:val="24"/>
      <w:szCs w:val="21"/>
    </w:rPr>
  </w:style>
  <w:style w:type="paragraph" w:styleId="5">
    <w:name w:val="heading 5"/>
    <w:basedOn w:val="a"/>
    <w:next w:val="a"/>
    <w:link w:val="5Char"/>
    <w:uiPriority w:val="9"/>
    <w:semiHidden/>
    <w:unhideWhenUsed/>
    <w:qFormat/>
    <w:rsid w:val="002E15B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E15B3"/>
    <w:rPr>
      <w:rFonts w:ascii="宋体"/>
      <w:sz w:val="18"/>
      <w:szCs w:val="18"/>
    </w:rPr>
  </w:style>
  <w:style w:type="paragraph" w:styleId="a4">
    <w:name w:val="annotation text"/>
    <w:basedOn w:val="a"/>
    <w:link w:val="Char0"/>
    <w:uiPriority w:val="99"/>
    <w:unhideWhenUsed/>
    <w:rsid w:val="002E15B3"/>
    <w:pPr>
      <w:jc w:val="left"/>
    </w:pPr>
  </w:style>
  <w:style w:type="paragraph" w:styleId="a5">
    <w:name w:val="Balloon Text"/>
    <w:basedOn w:val="a"/>
    <w:link w:val="Char1"/>
    <w:uiPriority w:val="99"/>
    <w:semiHidden/>
    <w:unhideWhenUsed/>
    <w:rsid w:val="002E15B3"/>
    <w:rPr>
      <w:sz w:val="18"/>
      <w:szCs w:val="18"/>
    </w:rPr>
  </w:style>
  <w:style w:type="paragraph" w:styleId="a6">
    <w:name w:val="footer"/>
    <w:basedOn w:val="a"/>
    <w:link w:val="Char2"/>
    <w:uiPriority w:val="99"/>
    <w:unhideWhenUsed/>
    <w:rsid w:val="002E15B3"/>
    <w:pPr>
      <w:tabs>
        <w:tab w:val="center" w:pos="4153"/>
        <w:tab w:val="right" w:pos="8306"/>
      </w:tabs>
      <w:snapToGrid w:val="0"/>
      <w:jc w:val="left"/>
    </w:pPr>
    <w:rPr>
      <w:sz w:val="18"/>
      <w:szCs w:val="18"/>
    </w:rPr>
  </w:style>
  <w:style w:type="paragraph" w:styleId="a7">
    <w:name w:val="header"/>
    <w:basedOn w:val="a"/>
    <w:link w:val="Char3"/>
    <w:uiPriority w:val="99"/>
    <w:unhideWhenUsed/>
    <w:rsid w:val="002E15B3"/>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rsid w:val="002E15B3"/>
    <w:rPr>
      <w:b/>
      <w:bCs/>
    </w:rPr>
  </w:style>
  <w:style w:type="character" w:styleId="a9">
    <w:name w:val="Strong"/>
    <w:basedOn w:val="a0"/>
    <w:uiPriority w:val="22"/>
    <w:qFormat/>
    <w:rsid w:val="002E15B3"/>
    <w:rPr>
      <w:b/>
      <w:bCs/>
    </w:rPr>
  </w:style>
  <w:style w:type="character" w:styleId="aa">
    <w:name w:val="Hyperlink"/>
    <w:basedOn w:val="a0"/>
    <w:uiPriority w:val="99"/>
    <w:unhideWhenUsed/>
    <w:rsid w:val="002E15B3"/>
    <w:rPr>
      <w:rFonts w:cs="Times New Roman"/>
      <w:color w:val="0000FF"/>
      <w:u w:val="single"/>
    </w:rPr>
  </w:style>
  <w:style w:type="character" w:styleId="ab">
    <w:name w:val="annotation reference"/>
    <w:basedOn w:val="a0"/>
    <w:uiPriority w:val="99"/>
    <w:semiHidden/>
    <w:unhideWhenUsed/>
    <w:rsid w:val="002E15B3"/>
    <w:rPr>
      <w:sz w:val="21"/>
      <w:szCs w:val="21"/>
    </w:rPr>
  </w:style>
  <w:style w:type="character" w:customStyle="1" w:styleId="1Char">
    <w:name w:val="标题 1 Char"/>
    <w:basedOn w:val="a0"/>
    <w:link w:val="1"/>
    <w:uiPriority w:val="9"/>
    <w:locked/>
    <w:rsid w:val="002E15B3"/>
    <w:rPr>
      <w:rFonts w:ascii="宋体" w:hAnsi="宋体" w:cs="Helvetica"/>
      <w:b/>
      <w:color w:val="044161"/>
      <w:kern w:val="44"/>
      <w:sz w:val="24"/>
      <w:szCs w:val="21"/>
      <w:shd w:val="clear" w:color="auto" w:fill="FFFFFF"/>
    </w:rPr>
  </w:style>
  <w:style w:type="character" w:customStyle="1" w:styleId="Char3">
    <w:name w:val="页眉 Char"/>
    <w:basedOn w:val="a0"/>
    <w:link w:val="a7"/>
    <w:uiPriority w:val="99"/>
    <w:locked/>
    <w:rsid w:val="002E15B3"/>
    <w:rPr>
      <w:rFonts w:cs="Times New Roman"/>
      <w:sz w:val="18"/>
      <w:szCs w:val="18"/>
    </w:rPr>
  </w:style>
  <w:style w:type="character" w:customStyle="1" w:styleId="Char2">
    <w:name w:val="页脚 Char"/>
    <w:basedOn w:val="a0"/>
    <w:link w:val="a6"/>
    <w:uiPriority w:val="99"/>
    <w:locked/>
    <w:rsid w:val="002E15B3"/>
    <w:rPr>
      <w:rFonts w:cs="Times New Roman"/>
      <w:sz w:val="18"/>
      <w:szCs w:val="18"/>
    </w:rPr>
  </w:style>
  <w:style w:type="character" w:customStyle="1" w:styleId="apple-converted-space">
    <w:name w:val="apple-converted-space"/>
    <w:basedOn w:val="a0"/>
    <w:rsid w:val="002E15B3"/>
    <w:rPr>
      <w:rFonts w:cs="Times New Roman"/>
    </w:rPr>
  </w:style>
  <w:style w:type="paragraph" w:customStyle="1" w:styleId="Default">
    <w:name w:val="Default"/>
    <w:rsid w:val="002E15B3"/>
    <w:pPr>
      <w:widowControl w:val="0"/>
      <w:autoSpaceDE w:val="0"/>
      <w:autoSpaceDN w:val="0"/>
      <w:adjustRightInd w:val="0"/>
    </w:pPr>
    <w:rPr>
      <w:rFonts w:ascii="宋体" w:cs="宋体"/>
      <w:color w:val="000000"/>
      <w:sz w:val="24"/>
      <w:szCs w:val="24"/>
    </w:rPr>
  </w:style>
  <w:style w:type="character" w:customStyle="1" w:styleId="Char1">
    <w:name w:val="批注框文本 Char"/>
    <w:basedOn w:val="a0"/>
    <w:link w:val="a5"/>
    <w:uiPriority w:val="99"/>
    <w:semiHidden/>
    <w:rsid w:val="002E15B3"/>
    <w:rPr>
      <w:rFonts w:cs="Times New Roman"/>
      <w:sz w:val="18"/>
      <w:szCs w:val="18"/>
    </w:rPr>
  </w:style>
  <w:style w:type="character" w:customStyle="1" w:styleId="Char">
    <w:name w:val="文档结构图 Char"/>
    <w:basedOn w:val="a0"/>
    <w:link w:val="a3"/>
    <w:uiPriority w:val="99"/>
    <w:semiHidden/>
    <w:rsid w:val="002E15B3"/>
    <w:rPr>
      <w:rFonts w:ascii="宋体"/>
      <w:kern w:val="2"/>
      <w:sz w:val="18"/>
      <w:szCs w:val="18"/>
    </w:rPr>
  </w:style>
  <w:style w:type="paragraph" w:customStyle="1" w:styleId="10">
    <w:name w:val="修订1"/>
    <w:hidden/>
    <w:uiPriority w:val="99"/>
    <w:semiHidden/>
    <w:rsid w:val="002E15B3"/>
    <w:rPr>
      <w:kern w:val="2"/>
      <w:sz w:val="21"/>
      <w:szCs w:val="22"/>
    </w:rPr>
  </w:style>
  <w:style w:type="paragraph" w:customStyle="1" w:styleId="CharChar">
    <w:name w:val="Char Char"/>
    <w:basedOn w:val="a"/>
    <w:rsid w:val="002E15B3"/>
    <w:rPr>
      <w:rFonts w:ascii="Times New Roman" w:hAnsi="Times New Roman"/>
      <w:szCs w:val="20"/>
    </w:rPr>
  </w:style>
  <w:style w:type="character" w:customStyle="1" w:styleId="Char0">
    <w:name w:val="批注文字 Char"/>
    <w:basedOn w:val="a0"/>
    <w:link w:val="a4"/>
    <w:uiPriority w:val="99"/>
    <w:rsid w:val="002E15B3"/>
    <w:rPr>
      <w:kern w:val="2"/>
      <w:sz w:val="21"/>
      <w:szCs w:val="22"/>
    </w:rPr>
  </w:style>
  <w:style w:type="character" w:customStyle="1" w:styleId="5Char">
    <w:name w:val="标题 5 Char"/>
    <w:basedOn w:val="a0"/>
    <w:link w:val="5"/>
    <w:uiPriority w:val="9"/>
    <w:semiHidden/>
    <w:rsid w:val="002E15B3"/>
    <w:rPr>
      <w:b/>
      <w:bCs/>
      <w:kern w:val="2"/>
      <w:sz w:val="28"/>
      <w:szCs w:val="28"/>
    </w:rPr>
  </w:style>
  <w:style w:type="character" w:customStyle="1" w:styleId="Char4">
    <w:name w:val="批注主题 Char"/>
    <w:basedOn w:val="Char0"/>
    <w:link w:val="a8"/>
    <w:uiPriority w:val="99"/>
    <w:semiHidden/>
    <w:rsid w:val="002E15B3"/>
    <w:rPr>
      <w:b/>
      <w:bCs/>
      <w:kern w:val="2"/>
      <w:sz w:val="21"/>
      <w:szCs w:val="22"/>
    </w:rPr>
  </w:style>
  <w:style w:type="character" w:customStyle="1" w:styleId="11">
    <w:name w:val="未处理的提及1"/>
    <w:basedOn w:val="a0"/>
    <w:uiPriority w:val="99"/>
    <w:semiHidden/>
    <w:unhideWhenUsed/>
    <w:rsid w:val="002E15B3"/>
    <w:rPr>
      <w:color w:val="605E5C"/>
      <w:shd w:val="clear" w:color="auto" w:fill="E1DFDD"/>
    </w:rPr>
  </w:style>
  <w:style w:type="character" w:customStyle="1" w:styleId="2">
    <w:name w:val="未处理的提及2"/>
    <w:basedOn w:val="a0"/>
    <w:uiPriority w:val="99"/>
    <w:semiHidden/>
    <w:unhideWhenUsed/>
    <w:qFormat/>
    <w:rsid w:val="002E15B3"/>
    <w:rPr>
      <w:color w:val="605E5C"/>
      <w:shd w:val="clear" w:color="auto" w:fill="E1DFDD"/>
    </w:rPr>
  </w:style>
  <w:style w:type="character" w:customStyle="1" w:styleId="3">
    <w:name w:val="未处理的提及3"/>
    <w:basedOn w:val="a0"/>
    <w:uiPriority w:val="99"/>
    <w:semiHidden/>
    <w:unhideWhenUsed/>
    <w:qFormat/>
    <w:rsid w:val="002E15B3"/>
    <w:rPr>
      <w:color w:val="605E5C"/>
      <w:shd w:val="clear" w:color="auto" w:fill="E1DFDD"/>
    </w:rPr>
  </w:style>
  <w:style w:type="character" w:customStyle="1" w:styleId="4">
    <w:name w:val="未处理的提及4"/>
    <w:basedOn w:val="a0"/>
    <w:uiPriority w:val="99"/>
    <w:semiHidden/>
    <w:unhideWhenUsed/>
    <w:rsid w:val="002E15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DAC5-4773-4CA4-8E70-DB0FB90E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2279</Characters>
  <Application>Microsoft Office Word</Application>
  <DocSecurity>4</DocSecurity>
  <Lines>18</Lines>
  <Paragraphs>5</Paragraphs>
  <ScaleCrop>false</ScaleCrop>
  <Company>CNSTOCK</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dc:description>http://portal.zsfund.com/BPMSite/forms/TaskDetail.aspx?mode=email&amp;pid=30636465f69b421592cc9a657c064240&amp;wid=c82fdd2eb4bd49638d95a48f00acc8d3&amp;aid=c72995d4ee634c4982815bfe29bf262f&amp;tid=336265a6e4cd4316acf2a48e01280e66&amp;fid=016b586af1284921b1347542a9fa5d21</dc:description>
  <cp:lastModifiedBy>ZHONGM</cp:lastModifiedBy>
  <cp:revision>2</cp:revision>
  <cp:lastPrinted>2016-10-27T08:47:00Z</cp:lastPrinted>
  <dcterms:created xsi:type="dcterms:W3CDTF">2026-01-26T16:02:00Z</dcterms:created>
  <dcterms:modified xsi:type="dcterms:W3CDTF">2026-01-26T16:02:00Z</dcterms:modified>
  <cp:category>2015-5-4袁金枝-信息披露申请</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CA640B2CFADB4AD5BB9ED9506D29998B_13</vt:lpwstr>
  </property>
</Properties>
</file>