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4E" w:rsidRDefault="00BF273A">
      <w:pPr>
        <w:pStyle w:val="10"/>
        <w:tabs>
          <w:tab w:val="clear" w:pos="9060"/>
          <w:tab w:val="right" w:leader="dot" w:pos="9080"/>
        </w:tabs>
        <w:jc w:val="center"/>
        <w:rPr>
          <w:rFonts w:ascii="宋体" w:hAnsi="宋体" w:cs="宋体"/>
          <w:sz w:val="28"/>
          <w:szCs w:val="28"/>
        </w:rPr>
      </w:pPr>
      <w:r>
        <w:rPr>
          <w:rFonts w:ascii="宋体" w:hAnsi="宋体" w:cs="宋体" w:hint="eastAsia"/>
          <w:sz w:val="28"/>
          <w:szCs w:val="28"/>
        </w:rPr>
        <w:t>关于申万菱信恒利三个月定期开放债券型证券投资基金第十五次开放申购、赎回业务的公告</w:t>
      </w:r>
    </w:p>
    <w:p w:rsidR="0056234E" w:rsidRDefault="00BF273A">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2026年01月27日</w:t>
      </w:r>
    </w:p>
    <w:p w:rsidR="0056234E" w:rsidRDefault="0056234E"/>
    <w:p w:rsidR="0056234E" w:rsidRDefault="00BF273A">
      <w:pPr>
        <w:pStyle w:val="1"/>
      </w:pPr>
      <w:r>
        <w:rPr>
          <w:rFonts w:ascii="宋体" w:hAnsi="宋体" w:cs="宋体"/>
        </w:rPr>
        <w:t>1 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3157"/>
        <w:gridCol w:w="3272"/>
      </w:tblGrid>
      <w:tr w:rsidR="0056234E">
        <w:tc>
          <w:tcPr>
            <w:tcW w:w="1538" w:type="pct"/>
            <w:vAlign w:val="center"/>
          </w:tcPr>
          <w:p w:rsidR="0056234E" w:rsidRDefault="00BF273A">
            <w:pPr>
              <w:spacing w:line="240" w:lineRule="auto"/>
              <w:jc w:val="left"/>
            </w:pPr>
            <w:r>
              <w:rPr>
                <w:rFonts w:ascii="宋体" w:hAnsi="宋体" w:cs="宋体"/>
              </w:rPr>
              <w:t>基金名称</w:t>
            </w:r>
          </w:p>
        </w:tc>
        <w:tc>
          <w:tcPr>
            <w:tcW w:w="3462" w:type="pct"/>
            <w:gridSpan w:val="2"/>
            <w:vAlign w:val="center"/>
          </w:tcPr>
          <w:p w:rsidR="0056234E" w:rsidRDefault="00BF273A">
            <w:pPr>
              <w:spacing w:line="240" w:lineRule="auto"/>
              <w:jc w:val="left"/>
            </w:pPr>
            <w:r>
              <w:rPr>
                <w:rFonts w:ascii="宋体" w:hAnsi="宋体" w:cs="宋体"/>
              </w:rPr>
              <w:t>申万菱信恒利三个月定期开放债券型证券投资基金</w:t>
            </w:r>
          </w:p>
        </w:tc>
      </w:tr>
      <w:tr w:rsidR="0056234E">
        <w:tc>
          <w:tcPr>
            <w:tcW w:w="0" w:type="dxa"/>
            <w:vAlign w:val="center"/>
          </w:tcPr>
          <w:p w:rsidR="0056234E" w:rsidRDefault="00BF273A">
            <w:pPr>
              <w:spacing w:line="240" w:lineRule="auto"/>
              <w:jc w:val="left"/>
            </w:pPr>
            <w:r>
              <w:rPr>
                <w:rFonts w:ascii="宋体" w:hAnsi="宋体" w:cs="宋体"/>
              </w:rPr>
              <w:t>基金简称</w:t>
            </w:r>
          </w:p>
        </w:tc>
        <w:tc>
          <w:tcPr>
            <w:tcW w:w="0" w:type="dxa"/>
            <w:gridSpan w:val="2"/>
            <w:vAlign w:val="center"/>
          </w:tcPr>
          <w:p w:rsidR="0056234E" w:rsidRDefault="00BF273A">
            <w:pPr>
              <w:spacing w:line="240" w:lineRule="auto"/>
              <w:jc w:val="left"/>
            </w:pPr>
            <w:r>
              <w:rPr>
                <w:rFonts w:ascii="宋体" w:hAnsi="宋体" w:cs="宋体"/>
              </w:rPr>
              <w:t>申万菱信恒利三个月定期开放债</w:t>
            </w:r>
          </w:p>
        </w:tc>
      </w:tr>
      <w:tr w:rsidR="0056234E">
        <w:tc>
          <w:tcPr>
            <w:tcW w:w="0" w:type="dxa"/>
            <w:vAlign w:val="center"/>
          </w:tcPr>
          <w:p w:rsidR="0056234E" w:rsidRDefault="00BF273A">
            <w:pPr>
              <w:spacing w:line="240" w:lineRule="auto"/>
              <w:jc w:val="left"/>
            </w:pPr>
            <w:r>
              <w:rPr>
                <w:rFonts w:ascii="宋体" w:hAnsi="宋体" w:cs="宋体"/>
              </w:rPr>
              <w:t>基金主代码</w:t>
            </w:r>
          </w:p>
        </w:tc>
        <w:tc>
          <w:tcPr>
            <w:tcW w:w="0" w:type="dxa"/>
            <w:gridSpan w:val="2"/>
            <w:vAlign w:val="center"/>
          </w:tcPr>
          <w:p w:rsidR="0056234E" w:rsidRDefault="00BF273A">
            <w:pPr>
              <w:spacing w:line="240" w:lineRule="auto"/>
              <w:jc w:val="left"/>
            </w:pPr>
            <w:r>
              <w:rPr>
                <w:rFonts w:ascii="宋体" w:hAnsi="宋体" w:cs="宋体"/>
              </w:rPr>
              <w:t>013325</w:t>
            </w:r>
          </w:p>
        </w:tc>
      </w:tr>
      <w:tr w:rsidR="0056234E">
        <w:tc>
          <w:tcPr>
            <w:tcW w:w="0" w:type="dxa"/>
            <w:vAlign w:val="center"/>
          </w:tcPr>
          <w:p w:rsidR="0056234E" w:rsidRDefault="00BF273A">
            <w:pPr>
              <w:spacing w:line="240" w:lineRule="auto"/>
              <w:jc w:val="left"/>
            </w:pPr>
            <w:r>
              <w:rPr>
                <w:rFonts w:ascii="宋体" w:hAnsi="宋体" w:cs="宋体"/>
              </w:rPr>
              <w:t>基金运作方式</w:t>
            </w:r>
          </w:p>
        </w:tc>
        <w:tc>
          <w:tcPr>
            <w:tcW w:w="0" w:type="dxa"/>
            <w:gridSpan w:val="2"/>
            <w:vAlign w:val="center"/>
          </w:tcPr>
          <w:p w:rsidR="0056234E" w:rsidRDefault="00BF273A">
            <w:pPr>
              <w:spacing w:line="240" w:lineRule="auto"/>
              <w:jc w:val="left"/>
            </w:pPr>
            <w:r>
              <w:rPr>
                <w:rFonts w:ascii="宋体" w:hAnsi="宋体" w:cs="宋体"/>
              </w:rPr>
              <w:t>契约型定期开放式</w:t>
            </w:r>
          </w:p>
        </w:tc>
      </w:tr>
      <w:tr w:rsidR="0056234E">
        <w:tc>
          <w:tcPr>
            <w:tcW w:w="0" w:type="dxa"/>
            <w:vAlign w:val="center"/>
          </w:tcPr>
          <w:p w:rsidR="0056234E" w:rsidRDefault="00BF273A">
            <w:pPr>
              <w:spacing w:line="240" w:lineRule="auto"/>
              <w:jc w:val="left"/>
            </w:pPr>
            <w:r>
              <w:rPr>
                <w:rFonts w:ascii="宋体" w:hAnsi="宋体" w:cs="宋体"/>
              </w:rPr>
              <w:t>基金合同生效日</w:t>
            </w:r>
          </w:p>
        </w:tc>
        <w:tc>
          <w:tcPr>
            <w:tcW w:w="0" w:type="dxa"/>
            <w:gridSpan w:val="2"/>
            <w:vAlign w:val="center"/>
          </w:tcPr>
          <w:p w:rsidR="0056234E" w:rsidRDefault="00BF273A">
            <w:pPr>
              <w:spacing w:line="240" w:lineRule="auto"/>
              <w:jc w:val="left"/>
            </w:pPr>
            <w:r>
              <w:rPr>
                <w:rFonts w:ascii="宋体" w:hAnsi="宋体" w:cs="宋体"/>
              </w:rPr>
              <w:t>2021年10月15日</w:t>
            </w:r>
          </w:p>
        </w:tc>
      </w:tr>
      <w:tr w:rsidR="0056234E">
        <w:tc>
          <w:tcPr>
            <w:tcW w:w="0" w:type="dxa"/>
            <w:vAlign w:val="center"/>
          </w:tcPr>
          <w:p w:rsidR="0056234E" w:rsidRDefault="00BF273A">
            <w:pPr>
              <w:spacing w:line="240" w:lineRule="auto"/>
              <w:jc w:val="left"/>
            </w:pPr>
            <w:r>
              <w:rPr>
                <w:rFonts w:ascii="宋体" w:hAnsi="宋体" w:cs="宋体"/>
              </w:rPr>
              <w:t>基金管理人名称</w:t>
            </w:r>
          </w:p>
        </w:tc>
        <w:tc>
          <w:tcPr>
            <w:tcW w:w="0" w:type="dxa"/>
            <w:gridSpan w:val="2"/>
            <w:vAlign w:val="center"/>
          </w:tcPr>
          <w:p w:rsidR="0056234E" w:rsidRDefault="00BF273A">
            <w:pPr>
              <w:spacing w:line="240" w:lineRule="auto"/>
              <w:jc w:val="left"/>
            </w:pPr>
            <w:r>
              <w:rPr>
                <w:rFonts w:ascii="宋体" w:hAnsi="宋体" w:cs="宋体"/>
              </w:rPr>
              <w:t>申万菱信基金管理有限公司</w:t>
            </w:r>
          </w:p>
        </w:tc>
      </w:tr>
      <w:tr w:rsidR="0056234E">
        <w:tc>
          <w:tcPr>
            <w:tcW w:w="0" w:type="dxa"/>
            <w:vAlign w:val="center"/>
          </w:tcPr>
          <w:p w:rsidR="0056234E" w:rsidRDefault="00BF273A">
            <w:pPr>
              <w:spacing w:line="240" w:lineRule="auto"/>
              <w:jc w:val="left"/>
            </w:pPr>
            <w:r>
              <w:rPr>
                <w:rFonts w:ascii="宋体" w:hAnsi="宋体" w:cs="宋体"/>
              </w:rPr>
              <w:t>基金托管人名称</w:t>
            </w:r>
          </w:p>
        </w:tc>
        <w:tc>
          <w:tcPr>
            <w:tcW w:w="0" w:type="dxa"/>
            <w:gridSpan w:val="2"/>
            <w:vAlign w:val="center"/>
          </w:tcPr>
          <w:p w:rsidR="0056234E" w:rsidRDefault="00BF273A">
            <w:pPr>
              <w:spacing w:line="240" w:lineRule="auto"/>
              <w:jc w:val="left"/>
            </w:pPr>
            <w:r>
              <w:rPr>
                <w:rFonts w:ascii="宋体" w:hAnsi="宋体" w:cs="宋体"/>
              </w:rPr>
              <w:t>江苏银行股份有限公司</w:t>
            </w:r>
          </w:p>
        </w:tc>
      </w:tr>
      <w:tr w:rsidR="0056234E">
        <w:tc>
          <w:tcPr>
            <w:tcW w:w="0" w:type="dxa"/>
            <w:vAlign w:val="center"/>
          </w:tcPr>
          <w:p w:rsidR="0056234E" w:rsidRDefault="00BF273A">
            <w:pPr>
              <w:spacing w:line="240" w:lineRule="auto"/>
              <w:jc w:val="left"/>
            </w:pPr>
            <w:r>
              <w:rPr>
                <w:rFonts w:ascii="宋体" w:hAnsi="宋体" w:cs="宋体"/>
              </w:rPr>
              <w:t>基金注册登记机构名称</w:t>
            </w:r>
          </w:p>
        </w:tc>
        <w:tc>
          <w:tcPr>
            <w:tcW w:w="0" w:type="dxa"/>
            <w:gridSpan w:val="2"/>
            <w:vAlign w:val="center"/>
          </w:tcPr>
          <w:p w:rsidR="0056234E" w:rsidRDefault="00BF273A">
            <w:pPr>
              <w:spacing w:line="240" w:lineRule="auto"/>
              <w:jc w:val="left"/>
            </w:pPr>
            <w:r>
              <w:rPr>
                <w:rFonts w:ascii="宋体" w:hAnsi="宋体" w:cs="宋体"/>
              </w:rPr>
              <w:t>申万菱信基金管理有限公司</w:t>
            </w:r>
          </w:p>
        </w:tc>
      </w:tr>
      <w:tr w:rsidR="0056234E">
        <w:tc>
          <w:tcPr>
            <w:tcW w:w="0" w:type="dxa"/>
            <w:vAlign w:val="center"/>
          </w:tcPr>
          <w:p w:rsidR="0056234E" w:rsidRDefault="00BF273A">
            <w:pPr>
              <w:spacing w:line="240" w:lineRule="auto"/>
              <w:jc w:val="left"/>
            </w:pPr>
            <w:r>
              <w:rPr>
                <w:rFonts w:ascii="宋体" w:hAnsi="宋体" w:cs="宋体"/>
              </w:rPr>
              <w:t>公告依据</w:t>
            </w:r>
          </w:p>
        </w:tc>
        <w:tc>
          <w:tcPr>
            <w:tcW w:w="0" w:type="dxa"/>
            <w:gridSpan w:val="2"/>
            <w:vAlign w:val="center"/>
          </w:tcPr>
          <w:p w:rsidR="0056234E" w:rsidRDefault="00BF273A">
            <w:pPr>
              <w:spacing w:line="240" w:lineRule="auto"/>
              <w:jc w:val="left"/>
            </w:pPr>
            <w:r>
              <w:rPr>
                <w:rFonts w:ascii="宋体" w:hAnsi="宋体" w:cs="宋体"/>
              </w:rPr>
              <w:t>《公开募集证券投资基金信息披露管理办法》《申万菱信恒利三个月定期开放债券型证券投资基金基金合同》《申万菱信恒利三个月定期开放债券型证券投资基金招募说明书》</w:t>
            </w:r>
          </w:p>
        </w:tc>
      </w:tr>
      <w:tr w:rsidR="0056234E">
        <w:tc>
          <w:tcPr>
            <w:tcW w:w="0" w:type="dxa"/>
            <w:vAlign w:val="center"/>
          </w:tcPr>
          <w:p w:rsidR="0056234E" w:rsidRDefault="00BF273A">
            <w:pPr>
              <w:spacing w:line="240" w:lineRule="auto"/>
              <w:jc w:val="left"/>
            </w:pPr>
            <w:r>
              <w:rPr>
                <w:rFonts w:ascii="宋体" w:hAnsi="宋体" w:cs="宋体"/>
              </w:rPr>
              <w:t>申购起始日</w:t>
            </w:r>
          </w:p>
        </w:tc>
        <w:tc>
          <w:tcPr>
            <w:tcW w:w="0" w:type="dxa"/>
            <w:gridSpan w:val="2"/>
            <w:vAlign w:val="center"/>
          </w:tcPr>
          <w:p w:rsidR="0056234E" w:rsidRDefault="00BF273A">
            <w:pPr>
              <w:spacing w:line="240" w:lineRule="auto"/>
              <w:jc w:val="left"/>
            </w:pPr>
            <w:r>
              <w:rPr>
                <w:rFonts w:ascii="宋体" w:hAnsi="宋体" w:cs="宋体"/>
              </w:rPr>
              <w:t>2026年02月02日</w:t>
            </w:r>
          </w:p>
        </w:tc>
      </w:tr>
      <w:tr w:rsidR="0056234E">
        <w:tc>
          <w:tcPr>
            <w:tcW w:w="0" w:type="dxa"/>
            <w:vAlign w:val="center"/>
          </w:tcPr>
          <w:p w:rsidR="0056234E" w:rsidRDefault="00BF273A">
            <w:pPr>
              <w:spacing w:line="240" w:lineRule="auto"/>
              <w:jc w:val="left"/>
            </w:pPr>
            <w:r>
              <w:rPr>
                <w:rFonts w:ascii="宋体" w:hAnsi="宋体" w:cs="宋体"/>
              </w:rPr>
              <w:t>赎回起始日</w:t>
            </w:r>
          </w:p>
        </w:tc>
        <w:tc>
          <w:tcPr>
            <w:tcW w:w="0" w:type="dxa"/>
            <w:gridSpan w:val="2"/>
            <w:vAlign w:val="center"/>
          </w:tcPr>
          <w:p w:rsidR="0056234E" w:rsidRDefault="00BF273A">
            <w:pPr>
              <w:spacing w:line="240" w:lineRule="auto"/>
              <w:jc w:val="left"/>
            </w:pPr>
            <w:r>
              <w:rPr>
                <w:rFonts w:ascii="宋体" w:hAnsi="宋体" w:cs="宋体"/>
              </w:rPr>
              <w:t>2026年02月02日</w:t>
            </w:r>
          </w:p>
        </w:tc>
      </w:tr>
      <w:tr w:rsidR="0056234E">
        <w:tc>
          <w:tcPr>
            <w:tcW w:w="1538" w:type="pct"/>
            <w:vAlign w:val="center"/>
          </w:tcPr>
          <w:p w:rsidR="0056234E" w:rsidRDefault="00BF273A">
            <w:pPr>
              <w:spacing w:line="240" w:lineRule="auto"/>
              <w:jc w:val="left"/>
            </w:pPr>
            <w:r>
              <w:rPr>
                <w:rFonts w:ascii="宋体" w:hAnsi="宋体" w:cs="宋体"/>
              </w:rPr>
              <w:t>下属分级基金的基金简称</w:t>
            </w:r>
          </w:p>
        </w:tc>
        <w:tc>
          <w:tcPr>
            <w:tcW w:w="1700" w:type="pct"/>
            <w:vAlign w:val="center"/>
          </w:tcPr>
          <w:p w:rsidR="0056234E" w:rsidRDefault="00BF273A">
            <w:pPr>
              <w:spacing w:line="240" w:lineRule="auto"/>
              <w:jc w:val="left"/>
            </w:pPr>
            <w:r>
              <w:rPr>
                <w:rFonts w:ascii="宋体" w:hAnsi="宋体" w:cs="宋体"/>
              </w:rPr>
              <w:t>申万菱信恒利三个月定期开放债A</w:t>
            </w:r>
          </w:p>
        </w:tc>
        <w:tc>
          <w:tcPr>
            <w:tcW w:w="1700" w:type="pct"/>
            <w:vAlign w:val="center"/>
          </w:tcPr>
          <w:p w:rsidR="0056234E" w:rsidRDefault="00BF273A">
            <w:pPr>
              <w:spacing w:line="240" w:lineRule="auto"/>
              <w:jc w:val="left"/>
            </w:pPr>
            <w:bookmarkStart w:id="0" w:name="_GoBack"/>
            <w:bookmarkEnd w:id="0"/>
            <w:r>
              <w:rPr>
                <w:rFonts w:ascii="宋体" w:hAnsi="宋体" w:cs="宋体"/>
              </w:rPr>
              <w:t>申万菱信恒利三个月定期开放债C</w:t>
            </w:r>
          </w:p>
        </w:tc>
      </w:tr>
      <w:tr w:rsidR="0056234E">
        <w:tc>
          <w:tcPr>
            <w:tcW w:w="0" w:type="dxa"/>
            <w:vAlign w:val="center"/>
          </w:tcPr>
          <w:p w:rsidR="0056234E" w:rsidRDefault="00BF273A">
            <w:pPr>
              <w:spacing w:line="240" w:lineRule="auto"/>
              <w:jc w:val="left"/>
            </w:pPr>
            <w:r>
              <w:rPr>
                <w:rFonts w:ascii="宋体" w:hAnsi="宋体" w:cs="宋体"/>
              </w:rPr>
              <w:t>下属分级基金的交易代码</w:t>
            </w:r>
          </w:p>
        </w:tc>
        <w:tc>
          <w:tcPr>
            <w:tcW w:w="1700" w:type="pct"/>
            <w:vAlign w:val="center"/>
          </w:tcPr>
          <w:p w:rsidR="0056234E" w:rsidRDefault="00BF273A">
            <w:pPr>
              <w:spacing w:line="240" w:lineRule="auto"/>
              <w:jc w:val="left"/>
            </w:pPr>
            <w:r>
              <w:rPr>
                <w:rFonts w:ascii="宋体" w:hAnsi="宋体" w:cs="宋体"/>
              </w:rPr>
              <w:t>013325</w:t>
            </w:r>
          </w:p>
        </w:tc>
        <w:tc>
          <w:tcPr>
            <w:tcW w:w="1700" w:type="pct"/>
            <w:vAlign w:val="center"/>
          </w:tcPr>
          <w:p w:rsidR="0056234E" w:rsidRDefault="00BF273A">
            <w:pPr>
              <w:spacing w:line="240" w:lineRule="auto"/>
              <w:jc w:val="left"/>
            </w:pPr>
            <w:r>
              <w:rPr>
                <w:rFonts w:ascii="宋体" w:hAnsi="宋体" w:cs="宋体"/>
              </w:rPr>
              <w:t>022747</w:t>
            </w:r>
          </w:p>
        </w:tc>
      </w:tr>
      <w:tr w:rsidR="0056234E">
        <w:tc>
          <w:tcPr>
            <w:tcW w:w="0" w:type="dxa"/>
            <w:vAlign w:val="center"/>
          </w:tcPr>
          <w:p w:rsidR="0056234E" w:rsidRDefault="00BF273A">
            <w:pPr>
              <w:spacing w:line="240" w:lineRule="auto"/>
              <w:jc w:val="left"/>
            </w:pPr>
            <w:r>
              <w:rPr>
                <w:rFonts w:ascii="宋体" w:hAnsi="宋体" w:cs="宋体"/>
              </w:rPr>
              <w:t>该分级基金是否开放申购、赎回</w:t>
            </w:r>
          </w:p>
        </w:tc>
        <w:tc>
          <w:tcPr>
            <w:tcW w:w="1700" w:type="pct"/>
            <w:vAlign w:val="center"/>
          </w:tcPr>
          <w:p w:rsidR="0056234E" w:rsidRDefault="00BF273A">
            <w:pPr>
              <w:spacing w:line="240" w:lineRule="auto"/>
              <w:jc w:val="left"/>
            </w:pPr>
            <w:r>
              <w:rPr>
                <w:rFonts w:ascii="宋体" w:hAnsi="宋体" w:cs="宋体"/>
              </w:rPr>
              <w:t>是</w:t>
            </w:r>
          </w:p>
        </w:tc>
        <w:tc>
          <w:tcPr>
            <w:tcW w:w="1700" w:type="pct"/>
            <w:vAlign w:val="center"/>
          </w:tcPr>
          <w:p w:rsidR="0056234E" w:rsidRDefault="00BF273A">
            <w:pPr>
              <w:spacing w:line="240" w:lineRule="auto"/>
              <w:jc w:val="left"/>
            </w:pPr>
            <w:r>
              <w:rPr>
                <w:rFonts w:ascii="宋体" w:hAnsi="宋体" w:cs="宋体"/>
              </w:rPr>
              <w:t>是</w:t>
            </w:r>
          </w:p>
        </w:tc>
      </w:tr>
    </w:tbl>
    <w:p w:rsidR="0056234E" w:rsidRDefault="00BF273A">
      <w:pPr>
        <w:jc w:val="left"/>
      </w:pPr>
      <w:r>
        <w:rPr>
          <w:rFonts w:ascii="宋体" w:hAnsi="宋体" w:cs="宋体"/>
        </w:rPr>
        <w:t xml:space="preserve">    注：1、申万菱信恒利三个月定期开放债券型证券投资基金以下简称“本基金”。</w:t>
      </w:r>
      <w:r>
        <w:rPr>
          <w:rFonts w:ascii="宋体" w:hAnsi="宋体" w:cs="宋体"/>
        </w:rPr>
        <w:cr/>
        <w:t xml:space="preserve">    2、申万菱信基金管理有限公司以下简称“基金管理人”或“本公司”。</w:t>
      </w:r>
      <w:r>
        <w:rPr>
          <w:rFonts w:ascii="宋体" w:hAnsi="宋体" w:cs="宋体"/>
        </w:rPr>
        <w:cr/>
        <w:t xml:space="preserve">    3、本基金目前暂停接受个人投资者的申购业务申请，详情请参阅本公司相关业务公告。</w:t>
      </w:r>
    </w:p>
    <w:p w:rsidR="0056234E" w:rsidRDefault="00BF273A">
      <w:pPr>
        <w:pStyle w:val="1"/>
      </w:pPr>
      <w:r>
        <w:rPr>
          <w:rFonts w:ascii="宋体" w:hAnsi="宋体" w:cs="宋体"/>
        </w:rPr>
        <w:t>2 日常申购、赎回业务的办理时间</w:t>
      </w:r>
    </w:p>
    <w:p w:rsidR="0056234E" w:rsidRDefault="00BF273A">
      <w:pPr>
        <w:jc w:val="left"/>
      </w:pPr>
      <w:r>
        <w:rPr>
          <w:rFonts w:ascii="宋体" w:hAnsi="宋体" w:cs="宋体"/>
        </w:rPr>
        <w:t xml:space="preserve">    本基金开放期内，投资人在开放日办理基金份额的申购和赎回，具体办理时间为上海证券交易所、深圳证券交易所的正常交易日的交易时间，但基金管理人根据法律法规、中国证监会的要求或本基金合同的规定公告暂停申购、赎回时除外。在封闭期内，本基金不办理申购、赎回业务，也不上市交易。基金合同生效后，若出现新的证券交易市场、期货交易市场、证券交易所、期货交易所交易时间变更或其他特殊情况，基金管理人将视情况对前述开放日及开放时间进行相应的调整，但应在实施日前依照《公开募集证券投资基金信息披露管理办法》（以下简称“《信息披露办法》”）的有关规定在规定媒介上公告，具体时间以基金管理人届时公告为准。</w:t>
      </w:r>
      <w:r>
        <w:rPr>
          <w:rFonts w:ascii="宋体" w:hAnsi="宋体" w:cs="宋体"/>
        </w:rPr>
        <w:cr/>
        <w:t xml:space="preserve">    本基金本次开放期时间为2026年2月2日至2026年2月6日，开放期内本基金接受申购、赎回申请。2026年2月7日起进入封闭期，封闭期内本基金不接受申购、赎回申请。</w:t>
      </w:r>
      <w:r>
        <w:rPr>
          <w:rFonts w:ascii="宋体" w:hAnsi="宋体" w:cs="宋体"/>
        </w:rPr>
        <w:cr/>
        <w:t xml:space="preserve">    如封闭期结束后或在开放期内发生不可抗力或其他情形致使基金无法按时开放申购与赎回业务</w:t>
      </w:r>
      <w:r>
        <w:rPr>
          <w:rFonts w:ascii="宋体" w:hAnsi="宋体" w:cs="宋体"/>
        </w:rPr>
        <w:lastRenderedPageBreak/>
        <w:t>的，开放期时间中止计算，在不可抗力或其他情形影响因素消除之日次一工作日起，继续计算该开放期时间，直至满足开放期的要求，具体时间以基金管理人届时公告为准。</w:t>
      </w:r>
    </w:p>
    <w:p w:rsidR="0056234E" w:rsidRDefault="00BF273A">
      <w:pPr>
        <w:pStyle w:val="1"/>
      </w:pPr>
      <w:r>
        <w:rPr>
          <w:rFonts w:ascii="宋体" w:hAnsi="宋体" w:cs="宋体"/>
        </w:rPr>
        <w:t>3 日常申购业务</w:t>
      </w:r>
    </w:p>
    <w:p w:rsidR="0056234E" w:rsidRDefault="00BF273A">
      <w:pPr>
        <w:pStyle w:val="2"/>
      </w:pPr>
      <w:r>
        <w:rPr>
          <w:rFonts w:ascii="宋体" w:hAnsi="宋体" w:cs="宋体"/>
        </w:rPr>
        <w:t>3.1 申购金额限制</w:t>
      </w:r>
    </w:p>
    <w:p w:rsidR="0056234E" w:rsidRDefault="00BF273A">
      <w:pPr>
        <w:jc w:val="left"/>
      </w:pPr>
      <w:r>
        <w:rPr>
          <w:rFonts w:ascii="宋体" w:hAnsi="宋体" w:cs="宋体"/>
        </w:rPr>
        <w:t xml:space="preserve">    投资人在其他销售机构办理基金份额申购时，首次申购单笔最低金额为1元人民币（含申购费），追加申购单笔最低金额为1元人民币（含申购费）。通过直销中心首次申购单笔最低金额为10元人民币（含申购费），追加申购单笔最低金额为10元人民币（含申购费）。本基金直销中心单笔申购最低金额可由基金管理人酌情调整。</w:t>
      </w:r>
      <w:r>
        <w:rPr>
          <w:rFonts w:ascii="宋体" w:hAnsi="宋体" w:cs="宋体"/>
        </w:rPr>
        <w:cr/>
        <w:t xml:space="preserve">    基金管理人可在法律法规允许的情况下，调整上述规定申购金额的数量限制。基金管理人必须在调整前依照《信息披露办法》的有关规定在规定媒介上公告。</w:t>
      </w:r>
    </w:p>
    <w:p w:rsidR="0056234E" w:rsidRDefault="00BF273A">
      <w:pPr>
        <w:pStyle w:val="2"/>
      </w:pPr>
      <w:r>
        <w:rPr>
          <w:rFonts w:ascii="宋体" w:hAnsi="宋体" w:cs="宋体"/>
        </w:rPr>
        <w:t>3.2 申购费率</w:t>
      </w:r>
    </w:p>
    <w:p w:rsidR="0056234E" w:rsidRDefault="00BF273A">
      <w:pPr>
        <w:rPr>
          <w:rFonts w:ascii="宋体" w:hAnsi="宋体" w:cs="宋体"/>
        </w:rPr>
      </w:pPr>
      <w:r>
        <w:rPr>
          <w:rFonts w:ascii="宋体" w:hAnsi="宋体" w:cs="宋体"/>
        </w:rPr>
        <w:t xml:space="preserve">    本基金 A 类基金份额的申购费率如下表：</w:t>
      </w:r>
    </w:p>
    <w:tbl>
      <w:tblPr>
        <w:tblW w:w="4845" w:type="pct"/>
        <w:jc w:val="center"/>
        <w:tblBorders>
          <w:top w:val="single" w:sz="12" w:space="0" w:color="0000FF"/>
          <w:left w:val="none" w:sz="6" w:space="0" w:color="auto"/>
          <w:bottom w:val="single" w:sz="12" w:space="0" w:color="0000FF"/>
          <w:right w:val="none" w:sz="6" w:space="0" w:color="auto"/>
          <w:insideH w:val="single" w:sz="6" w:space="0" w:color="0000FF"/>
          <w:insideV w:val="outset" w:sz="6" w:space="0" w:color="auto"/>
        </w:tblBorders>
        <w:tblCellMar>
          <w:left w:w="0" w:type="dxa"/>
          <w:right w:w="0" w:type="dxa"/>
        </w:tblCellMar>
        <w:tblLook w:val="04A0"/>
      </w:tblPr>
      <w:tblGrid>
        <w:gridCol w:w="4540"/>
        <w:gridCol w:w="2649"/>
        <w:gridCol w:w="1809"/>
      </w:tblGrid>
      <w:tr w:rsidR="0056234E">
        <w:trPr>
          <w:jc w:val="center"/>
        </w:trPr>
        <w:tc>
          <w:tcPr>
            <w:tcW w:w="2523" w:type="pct"/>
            <w:tcBorders>
              <w:top w:val="single" w:sz="12"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hint="eastAsia"/>
              </w:rPr>
              <w:t>申购金额（元）</w:t>
            </w:r>
          </w:p>
        </w:tc>
        <w:tc>
          <w:tcPr>
            <w:tcW w:w="1472" w:type="pct"/>
            <w:tcBorders>
              <w:top w:val="single" w:sz="12" w:space="0" w:color="0000FF"/>
              <w:left w:val="nil"/>
              <w:bottom w:val="single" w:sz="6" w:space="0" w:color="0000FF"/>
              <w:right w:val="nil"/>
            </w:tcBorders>
            <w:shd w:val="clear" w:color="auto" w:fill="auto"/>
            <w:vAlign w:val="center"/>
          </w:tcPr>
          <w:p w:rsidR="0056234E" w:rsidRDefault="00BF273A">
            <w:pPr>
              <w:rPr>
                <w:rFonts w:ascii="宋体" w:hAnsi="宋体" w:cs="宋体"/>
              </w:rPr>
            </w:pPr>
            <w:r>
              <w:rPr>
                <w:rFonts w:ascii="宋体" w:hAnsi="宋体" w:cs="宋体" w:hint="eastAsia"/>
              </w:rPr>
              <w:t>特定申购费率</w:t>
            </w:r>
          </w:p>
        </w:tc>
        <w:tc>
          <w:tcPr>
            <w:tcW w:w="1005" w:type="pct"/>
            <w:tcBorders>
              <w:top w:val="single" w:sz="12"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hint="eastAsia"/>
              </w:rPr>
              <w:t>申购费率</w:t>
            </w:r>
          </w:p>
        </w:tc>
      </w:tr>
      <w:tr w:rsidR="0056234E">
        <w:trPr>
          <w:jc w:val="center"/>
        </w:trPr>
        <w:tc>
          <w:tcPr>
            <w:tcW w:w="2523" w:type="pct"/>
            <w:tcBorders>
              <w:top w:val="single" w:sz="6"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100</w:t>
            </w:r>
            <w:r>
              <w:rPr>
                <w:rFonts w:ascii="宋体" w:hAnsi="宋体" w:cs="宋体" w:hint="eastAsia"/>
              </w:rPr>
              <w:t>万以下</w:t>
            </w:r>
          </w:p>
        </w:tc>
        <w:tc>
          <w:tcPr>
            <w:tcW w:w="1472" w:type="pct"/>
            <w:tcBorders>
              <w:top w:val="single" w:sz="6" w:space="0" w:color="0000FF"/>
              <w:left w:val="nil"/>
              <w:bottom w:val="single" w:sz="6" w:space="0" w:color="0000FF"/>
              <w:right w:val="nil"/>
            </w:tcBorders>
            <w:shd w:val="clear" w:color="auto" w:fill="auto"/>
            <w:vAlign w:val="center"/>
          </w:tcPr>
          <w:p w:rsidR="0056234E" w:rsidRDefault="00BF273A">
            <w:pPr>
              <w:rPr>
                <w:rFonts w:ascii="宋体" w:hAnsi="宋体" w:cs="宋体"/>
              </w:rPr>
            </w:pPr>
            <w:r>
              <w:rPr>
                <w:rFonts w:ascii="宋体" w:hAnsi="宋体" w:cs="宋体"/>
              </w:rPr>
              <w:t>0.24%</w:t>
            </w:r>
          </w:p>
        </w:tc>
        <w:tc>
          <w:tcPr>
            <w:tcW w:w="1005" w:type="pct"/>
            <w:tcBorders>
              <w:top w:val="single" w:sz="6"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0.80%</w:t>
            </w:r>
          </w:p>
        </w:tc>
      </w:tr>
      <w:tr w:rsidR="0056234E">
        <w:trPr>
          <w:jc w:val="center"/>
        </w:trPr>
        <w:tc>
          <w:tcPr>
            <w:tcW w:w="2523" w:type="pct"/>
            <w:tcBorders>
              <w:top w:val="single" w:sz="6"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100</w:t>
            </w:r>
            <w:r>
              <w:rPr>
                <w:rFonts w:ascii="宋体" w:hAnsi="宋体" w:cs="宋体" w:hint="eastAsia"/>
              </w:rPr>
              <w:t>万（含）</w:t>
            </w:r>
            <w:r>
              <w:rPr>
                <w:rFonts w:ascii="宋体" w:hAnsi="宋体" w:cs="宋体"/>
              </w:rPr>
              <w:t>—300</w:t>
            </w:r>
            <w:r>
              <w:rPr>
                <w:rFonts w:ascii="宋体" w:hAnsi="宋体" w:cs="宋体" w:hint="eastAsia"/>
              </w:rPr>
              <w:t>万</w:t>
            </w:r>
          </w:p>
        </w:tc>
        <w:tc>
          <w:tcPr>
            <w:tcW w:w="1472" w:type="pct"/>
            <w:tcBorders>
              <w:top w:val="single" w:sz="6" w:space="0" w:color="0000FF"/>
              <w:left w:val="nil"/>
              <w:bottom w:val="single" w:sz="6" w:space="0" w:color="0000FF"/>
              <w:right w:val="nil"/>
            </w:tcBorders>
            <w:shd w:val="clear" w:color="auto" w:fill="auto"/>
            <w:vAlign w:val="center"/>
          </w:tcPr>
          <w:p w:rsidR="0056234E" w:rsidRDefault="00BF273A">
            <w:pPr>
              <w:rPr>
                <w:rFonts w:ascii="宋体" w:hAnsi="宋体" w:cs="宋体"/>
              </w:rPr>
            </w:pPr>
            <w:r>
              <w:rPr>
                <w:rFonts w:ascii="宋体" w:hAnsi="宋体" w:cs="宋体"/>
              </w:rPr>
              <w:t>0.15%</w:t>
            </w:r>
          </w:p>
        </w:tc>
        <w:tc>
          <w:tcPr>
            <w:tcW w:w="1005" w:type="pct"/>
            <w:tcBorders>
              <w:top w:val="single" w:sz="6"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0.50%</w:t>
            </w:r>
          </w:p>
        </w:tc>
      </w:tr>
      <w:tr w:rsidR="0056234E">
        <w:trPr>
          <w:jc w:val="center"/>
        </w:trPr>
        <w:tc>
          <w:tcPr>
            <w:tcW w:w="2523" w:type="pct"/>
            <w:tcBorders>
              <w:top w:val="single" w:sz="6"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300</w:t>
            </w:r>
            <w:r>
              <w:rPr>
                <w:rFonts w:ascii="宋体" w:hAnsi="宋体" w:cs="宋体" w:hint="eastAsia"/>
              </w:rPr>
              <w:t>万（含）</w:t>
            </w:r>
            <w:r>
              <w:rPr>
                <w:rFonts w:ascii="宋体" w:hAnsi="宋体" w:cs="宋体"/>
              </w:rPr>
              <w:t>—500</w:t>
            </w:r>
            <w:r>
              <w:rPr>
                <w:rFonts w:ascii="宋体" w:hAnsi="宋体" w:cs="宋体" w:hint="eastAsia"/>
              </w:rPr>
              <w:t>万</w:t>
            </w:r>
          </w:p>
        </w:tc>
        <w:tc>
          <w:tcPr>
            <w:tcW w:w="1472" w:type="pct"/>
            <w:tcBorders>
              <w:top w:val="single" w:sz="6" w:space="0" w:color="0000FF"/>
              <w:left w:val="nil"/>
              <w:bottom w:val="single" w:sz="6" w:space="0" w:color="0000FF"/>
              <w:right w:val="nil"/>
            </w:tcBorders>
            <w:shd w:val="clear" w:color="auto" w:fill="auto"/>
            <w:vAlign w:val="center"/>
          </w:tcPr>
          <w:p w:rsidR="0056234E" w:rsidRDefault="00BF273A">
            <w:pPr>
              <w:rPr>
                <w:rFonts w:ascii="宋体" w:hAnsi="宋体" w:cs="宋体"/>
              </w:rPr>
            </w:pPr>
            <w:r>
              <w:rPr>
                <w:rFonts w:ascii="宋体" w:hAnsi="宋体" w:cs="宋体"/>
              </w:rPr>
              <w:t>0.09%</w:t>
            </w:r>
          </w:p>
        </w:tc>
        <w:tc>
          <w:tcPr>
            <w:tcW w:w="1005" w:type="pct"/>
            <w:tcBorders>
              <w:top w:val="single" w:sz="6"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0.30%</w:t>
            </w:r>
          </w:p>
        </w:tc>
      </w:tr>
      <w:tr w:rsidR="0056234E">
        <w:trPr>
          <w:jc w:val="center"/>
        </w:trPr>
        <w:tc>
          <w:tcPr>
            <w:tcW w:w="2523" w:type="pct"/>
            <w:tcBorders>
              <w:top w:val="single" w:sz="6" w:space="0" w:color="0000FF"/>
              <w:left w:val="nil"/>
              <w:bottom w:val="single" w:sz="12"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500</w:t>
            </w:r>
            <w:r>
              <w:rPr>
                <w:rFonts w:ascii="宋体" w:hAnsi="宋体" w:cs="宋体" w:hint="eastAsia"/>
              </w:rPr>
              <w:t>万（含）以上</w:t>
            </w:r>
          </w:p>
        </w:tc>
        <w:tc>
          <w:tcPr>
            <w:tcW w:w="1472" w:type="pct"/>
            <w:tcBorders>
              <w:top w:val="single" w:sz="6" w:space="0" w:color="0000FF"/>
              <w:left w:val="nil"/>
              <w:bottom w:val="single" w:sz="12" w:space="0" w:color="0000FF"/>
              <w:right w:val="nil"/>
            </w:tcBorders>
            <w:shd w:val="clear" w:color="auto" w:fill="auto"/>
            <w:vAlign w:val="center"/>
          </w:tcPr>
          <w:p w:rsidR="0056234E" w:rsidRDefault="00BF273A">
            <w:pPr>
              <w:rPr>
                <w:rFonts w:ascii="宋体" w:hAnsi="宋体" w:cs="宋体"/>
              </w:rPr>
            </w:pPr>
            <w:r>
              <w:rPr>
                <w:rFonts w:ascii="宋体" w:hAnsi="宋体" w:cs="宋体"/>
              </w:rPr>
              <w:t>300</w:t>
            </w:r>
            <w:r>
              <w:rPr>
                <w:rFonts w:ascii="宋体" w:hAnsi="宋体" w:cs="宋体" w:hint="eastAsia"/>
              </w:rPr>
              <w:t>元</w:t>
            </w:r>
            <w:r>
              <w:rPr>
                <w:rFonts w:ascii="宋体" w:hAnsi="宋体" w:cs="宋体"/>
              </w:rPr>
              <w:t>/</w:t>
            </w:r>
            <w:r>
              <w:rPr>
                <w:rFonts w:ascii="宋体" w:hAnsi="宋体" w:cs="宋体" w:hint="eastAsia"/>
              </w:rPr>
              <w:t>笔</w:t>
            </w:r>
          </w:p>
        </w:tc>
        <w:tc>
          <w:tcPr>
            <w:tcW w:w="1005" w:type="pct"/>
            <w:tcBorders>
              <w:top w:val="single" w:sz="6" w:space="0" w:color="0000FF"/>
              <w:left w:val="nil"/>
              <w:bottom w:val="single" w:sz="12"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1,000</w:t>
            </w:r>
            <w:r>
              <w:rPr>
                <w:rFonts w:ascii="宋体" w:hAnsi="宋体" w:cs="宋体" w:hint="eastAsia"/>
              </w:rPr>
              <w:t>元</w:t>
            </w:r>
            <w:r>
              <w:rPr>
                <w:rFonts w:ascii="宋体" w:hAnsi="宋体" w:cs="宋体"/>
              </w:rPr>
              <w:t>/</w:t>
            </w:r>
            <w:r>
              <w:rPr>
                <w:rFonts w:ascii="宋体" w:hAnsi="宋体" w:cs="宋体" w:hint="eastAsia"/>
              </w:rPr>
              <w:t>笔</w:t>
            </w:r>
          </w:p>
        </w:tc>
      </w:tr>
    </w:tbl>
    <w:p w:rsidR="0056234E" w:rsidRDefault="00BF273A">
      <w:r>
        <w:rPr>
          <w:rFonts w:ascii="宋体" w:hAnsi="宋体" w:cs="宋体"/>
        </w:rPr>
        <w:t xml:space="preserve">    （2）本基金 C 类基金份额不收取申购费。</w:t>
      </w:r>
    </w:p>
    <w:p w:rsidR="0056234E" w:rsidRDefault="00BF273A">
      <w:pPr>
        <w:pStyle w:val="2"/>
      </w:pPr>
      <w:r>
        <w:rPr>
          <w:rFonts w:ascii="宋体" w:hAnsi="宋体" w:cs="宋体"/>
        </w:rPr>
        <w:t>3.3 其他与申购相关的事项</w:t>
      </w:r>
    </w:p>
    <w:p w:rsidR="0056234E" w:rsidRDefault="00BF273A">
      <w:pPr>
        <w:jc w:val="left"/>
      </w:pPr>
      <w:r>
        <w:rPr>
          <w:rFonts w:ascii="宋体" w:hAnsi="宋体" w:cs="宋体"/>
        </w:rPr>
        <w:t xml:space="preserve">    基金管理人应以交易时间结束前受理有效申购申请的当天作为申购申请日（T日），在正常情况下，本基金登记机构在T+1日内（包括该日）对该交易的有效性进行确认。投资人应在T+2日后（包括该日）及时到销售网点柜台或以销售机构规定的其他方式查询申请的确认情况。若申购不成功，则申购款项本金退还给投资人。</w:t>
      </w:r>
      <w:r>
        <w:rPr>
          <w:rFonts w:ascii="宋体" w:hAnsi="宋体" w:cs="宋体"/>
        </w:rPr>
        <w:cr/>
        <w:t xml:space="preserve">    销售机构对申购申请的受理并不代表该申请一定成功，而仅代表销售机构确实接收到申请。申购的确认以登记机构的确认结果为准。对于申请的确认情况，投资者应及时查询，否则如因申请未得到登记机构的确认而产生的后果，由投资人自行承担。</w:t>
      </w:r>
    </w:p>
    <w:p w:rsidR="0056234E" w:rsidRDefault="00BF273A">
      <w:pPr>
        <w:pStyle w:val="1"/>
      </w:pPr>
      <w:r>
        <w:rPr>
          <w:rFonts w:ascii="宋体" w:hAnsi="宋体" w:cs="宋体"/>
        </w:rPr>
        <w:t>4 日常赎回业务</w:t>
      </w:r>
    </w:p>
    <w:p w:rsidR="0056234E" w:rsidRDefault="00BF273A">
      <w:pPr>
        <w:pStyle w:val="2"/>
      </w:pPr>
      <w:r>
        <w:rPr>
          <w:rFonts w:ascii="宋体" w:hAnsi="宋体" w:cs="宋体"/>
        </w:rPr>
        <w:t>4.1 赎回份额限制</w:t>
      </w:r>
    </w:p>
    <w:p w:rsidR="0056234E" w:rsidRDefault="00BF273A">
      <w:pPr>
        <w:jc w:val="left"/>
      </w:pPr>
      <w:r>
        <w:rPr>
          <w:rFonts w:ascii="宋体" w:hAnsi="宋体" w:cs="宋体"/>
        </w:rPr>
        <w:t xml:space="preserve">    基金份额持有人在销售机构赎回时，每笔赎回申请不得低于1份基金份额（但交易账户内剩余基金份额不足1份的除外）；基金份额持有人在销售机构（网点）的某一交易账户内基金份额不足1份的，应一次性全部赎回。</w:t>
      </w:r>
      <w:r>
        <w:rPr>
          <w:rFonts w:ascii="宋体" w:hAnsi="宋体" w:cs="宋体"/>
        </w:rPr>
        <w:cr/>
        <w:t xml:space="preserve">    基金管理人可在法律法规允许的情况下，调整上述规定赎回份额的数量限制。基金管理人必须在调整前依照《信息披露办法》的有关规定在规定媒介上公告。</w:t>
      </w:r>
    </w:p>
    <w:p w:rsidR="0056234E" w:rsidRDefault="00BF273A">
      <w:pPr>
        <w:pStyle w:val="2"/>
      </w:pPr>
      <w:r>
        <w:rPr>
          <w:rFonts w:ascii="宋体" w:hAnsi="宋体" w:cs="宋体"/>
        </w:rPr>
        <w:t>4.2 赎回费率</w:t>
      </w:r>
    </w:p>
    <w:p w:rsidR="0056234E" w:rsidRDefault="00BF273A">
      <w:pPr>
        <w:rPr>
          <w:rFonts w:ascii="宋体" w:hAnsi="宋体" w:cs="宋体"/>
        </w:rPr>
      </w:pPr>
      <w:r>
        <w:rPr>
          <w:rFonts w:ascii="宋体" w:hAnsi="宋体" w:cs="宋体"/>
        </w:rPr>
        <w:t xml:space="preserve">    本基金 A 类基金份额的赎回费率如下表：</w:t>
      </w:r>
    </w:p>
    <w:tbl>
      <w:tblPr>
        <w:tblW w:w="4907" w:type="pct"/>
        <w:jc w:val="center"/>
        <w:tblBorders>
          <w:top w:val="single" w:sz="12" w:space="0" w:color="0000FF"/>
          <w:left w:val="none" w:sz="6" w:space="0" w:color="auto"/>
          <w:bottom w:val="single" w:sz="12" w:space="0" w:color="0000FF"/>
          <w:right w:val="none" w:sz="6" w:space="0" w:color="auto"/>
          <w:insideH w:val="single" w:sz="6" w:space="0" w:color="0000FF"/>
          <w:insideV w:val="outset" w:sz="6" w:space="0" w:color="auto"/>
        </w:tblBorders>
        <w:tblCellMar>
          <w:left w:w="0" w:type="dxa"/>
          <w:right w:w="0" w:type="dxa"/>
        </w:tblCellMar>
        <w:tblLook w:val="04A0"/>
      </w:tblPr>
      <w:tblGrid>
        <w:gridCol w:w="4545"/>
        <w:gridCol w:w="4462"/>
      </w:tblGrid>
      <w:tr w:rsidR="0056234E">
        <w:trPr>
          <w:jc w:val="center"/>
        </w:trPr>
        <w:tc>
          <w:tcPr>
            <w:tcW w:w="2523" w:type="pct"/>
            <w:tcBorders>
              <w:top w:val="single" w:sz="12"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hint="eastAsia"/>
              </w:rPr>
              <w:lastRenderedPageBreak/>
              <w:t>持有期限</w:t>
            </w:r>
          </w:p>
        </w:tc>
        <w:tc>
          <w:tcPr>
            <w:tcW w:w="2477" w:type="pct"/>
            <w:tcBorders>
              <w:top w:val="single" w:sz="12" w:space="0" w:color="0000FF"/>
              <w:left w:val="nil"/>
              <w:bottom w:val="single" w:sz="6" w:space="0" w:color="0000FF"/>
              <w:right w:val="nil"/>
            </w:tcBorders>
            <w:shd w:val="clear" w:color="auto" w:fill="auto"/>
            <w:vAlign w:val="center"/>
          </w:tcPr>
          <w:p w:rsidR="0056234E" w:rsidRDefault="00BF273A">
            <w:pPr>
              <w:rPr>
                <w:rFonts w:ascii="宋体" w:hAnsi="宋体" w:cs="宋体"/>
              </w:rPr>
            </w:pPr>
            <w:r>
              <w:rPr>
                <w:rFonts w:ascii="宋体" w:hAnsi="宋体" w:cs="宋体" w:hint="eastAsia"/>
              </w:rPr>
              <w:t>赎回费率</w:t>
            </w:r>
          </w:p>
        </w:tc>
      </w:tr>
      <w:tr w:rsidR="0056234E">
        <w:trPr>
          <w:jc w:val="center"/>
        </w:trPr>
        <w:tc>
          <w:tcPr>
            <w:tcW w:w="2523" w:type="pct"/>
            <w:tcBorders>
              <w:top w:val="single" w:sz="6"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7</w:t>
            </w:r>
            <w:r>
              <w:rPr>
                <w:rFonts w:ascii="宋体" w:hAnsi="宋体" w:cs="宋体" w:hint="eastAsia"/>
              </w:rPr>
              <w:t>日以内</w:t>
            </w:r>
          </w:p>
        </w:tc>
        <w:tc>
          <w:tcPr>
            <w:tcW w:w="2477" w:type="pct"/>
            <w:tcBorders>
              <w:top w:val="single" w:sz="6" w:space="0" w:color="0000FF"/>
              <w:left w:val="nil"/>
              <w:bottom w:val="single" w:sz="6" w:space="0" w:color="0000FF"/>
              <w:right w:val="nil"/>
            </w:tcBorders>
            <w:shd w:val="clear" w:color="auto" w:fill="auto"/>
            <w:vAlign w:val="center"/>
          </w:tcPr>
          <w:p w:rsidR="0056234E" w:rsidRDefault="00BF273A">
            <w:pPr>
              <w:rPr>
                <w:rFonts w:ascii="宋体" w:hAnsi="宋体" w:cs="宋体"/>
              </w:rPr>
            </w:pPr>
            <w:r>
              <w:rPr>
                <w:rFonts w:ascii="宋体" w:hAnsi="宋体" w:cs="宋体"/>
              </w:rPr>
              <w:t>1.50%</w:t>
            </w:r>
          </w:p>
        </w:tc>
      </w:tr>
      <w:tr w:rsidR="0056234E">
        <w:trPr>
          <w:jc w:val="center"/>
        </w:trPr>
        <w:tc>
          <w:tcPr>
            <w:tcW w:w="2523" w:type="pct"/>
            <w:tcBorders>
              <w:top w:val="single" w:sz="6"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7</w:t>
            </w:r>
            <w:r>
              <w:rPr>
                <w:rFonts w:ascii="宋体" w:hAnsi="宋体" w:cs="宋体" w:hint="eastAsia"/>
              </w:rPr>
              <w:t>日（含）</w:t>
            </w:r>
            <w:r>
              <w:rPr>
                <w:rFonts w:ascii="宋体" w:hAnsi="宋体" w:cs="宋体"/>
              </w:rPr>
              <w:t>—90</w:t>
            </w:r>
            <w:r>
              <w:rPr>
                <w:rFonts w:ascii="宋体" w:hAnsi="宋体" w:cs="宋体" w:hint="eastAsia"/>
              </w:rPr>
              <w:t>日</w:t>
            </w:r>
          </w:p>
        </w:tc>
        <w:tc>
          <w:tcPr>
            <w:tcW w:w="2477" w:type="pct"/>
            <w:tcBorders>
              <w:top w:val="single" w:sz="6" w:space="0" w:color="0000FF"/>
              <w:left w:val="nil"/>
              <w:bottom w:val="single" w:sz="6" w:space="0" w:color="0000FF"/>
              <w:right w:val="nil"/>
            </w:tcBorders>
            <w:shd w:val="clear" w:color="auto" w:fill="auto"/>
            <w:vAlign w:val="center"/>
          </w:tcPr>
          <w:p w:rsidR="0056234E" w:rsidRDefault="00BF273A">
            <w:pPr>
              <w:rPr>
                <w:rFonts w:ascii="宋体" w:hAnsi="宋体" w:cs="宋体"/>
              </w:rPr>
            </w:pPr>
            <w:r>
              <w:rPr>
                <w:rFonts w:ascii="宋体" w:hAnsi="宋体" w:cs="宋体"/>
              </w:rPr>
              <w:t>0.10%</w:t>
            </w:r>
          </w:p>
        </w:tc>
      </w:tr>
      <w:tr w:rsidR="0056234E">
        <w:trPr>
          <w:jc w:val="center"/>
        </w:trPr>
        <w:tc>
          <w:tcPr>
            <w:tcW w:w="2523" w:type="pct"/>
            <w:tcBorders>
              <w:top w:val="single" w:sz="6" w:space="0" w:color="0000FF"/>
              <w:left w:val="nil"/>
              <w:bottom w:val="single" w:sz="12"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90</w:t>
            </w:r>
            <w:r>
              <w:rPr>
                <w:rFonts w:ascii="宋体" w:hAnsi="宋体" w:cs="宋体" w:hint="eastAsia"/>
              </w:rPr>
              <w:t>日（含）以上</w:t>
            </w:r>
          </w:p>
        </w:tc>
        <w:tc>
          <w:tcPr>
            <w:tcW w:w="2477" w:type="pct"/>
            <w:tcBorders>
              <w:top w:val="single" w:sz="6" w:space="0" w:color="0000FF"/>
              <w:left w:val="nil"/>
              <w:bottom w:val="single" w:sz="12" w:space="0" w:color="0000FF"/>
              <w:right w:val="nil"/>
            </w:tcBorders>
            <w:shd w:val="clear" w:color="auto" w:fill="auto"/>
            <w:vAlign w:val="center"/>
          </w:tcPr>
          <w:p w:rsidR="0056234E" w:rsidRDefault="00BF273A">
            <w:pPr>
              <w:rPr>
                <w:rFonts w:ascii="宋体" w:hAnsi="宋体" w:cs="宋体"/>
              </w:rPr>
            </w:pPr>
            <w:r>
              <w:rPr>
                <w:rFonts w:ascii="宋体" w:hAnsi="宋体" w:cs="宋体"/>
              </w:rPr>
              <w:t>0.00%</w:t>
            </w:r>
          </w:p>
        </w:tc>
      </w:tr>
    </w:tbl>
    <w:p w:rsidR="0056234E" w:rsidRDefault="00BF273A">
      <w:pPr>
        <w:jc w:val="left"/>
      </w:pPr>
      <w:r>
        <w:rPr>
          <w:rFonts w:ascii="宋体" w:hAnsi="宋体" w:cs="宋体"/>
        </w:rPr>
        <w:t xml:space="preserve">    本基金 C 类基金份额的赎回费率如下表：</w:t>
      </w:r>
    </w:p>
    <w:tbl>
      <w:tblPr>
        <w:tblW w:w="4907" w:type="pct"/>
        <w:jc w:val="center"/>
        <w:tblBorders>
          <w:top w:val="single" w:sz="12" w:space="0" w:color="0000FF"/>
          <w:left w:val="none" w:sz="6" w:space="0" w:color="auto"/>
          <w:bottom w:val="single" w:sz="12" w:space="0" w:color="0000FF"/>
          <w:right w:val="none" w:sz="6" w:space="0" w:color="auto"/>
          <w:insideH w:val="single" w:sz="6" w:space="0" w:color="0000FF"/>
          <w:insideV w:val="outset" w:sz="6" w:space="0" w:color="auto"/>
        </w:tblBorders>
        <w:tblCellMar>
          <w:left w:w="0" w:type="dxa"/>
          <w:right w:w="0" w:type="dxa"/>
        </w:tblCellMar>
        <w:tblLook w:val="04A0"/>
      </w:tblPr>
      <w:tblGrid>
        <w:gridCol w:w="4545"/>
        <w:gridCol w:w="4462"/>
      </w:tblGrid>
      <w:tr w:rsidR="0056234E">
        <w:trPr>
          <w:jc w:val="center"/>
        </w:trPr>
        <w:tc>
          <w:tcPr>
            <w:tcW w:w="2523" w:type="pct"/>
            <w:tcBorders>
              <w:top w:val="single" w:sz="12"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hint="eastAsia"/>
              </w:rPr>
              <w:t>持有期限</w:t>
            </w:r>
          </w:p>
        </w:tc>
        <w:tc>
          <w:tcPr>
            <w:tcW w:w="2477" w:type="pct"/>
            <w:tcBorders>
              <w:top w:val="single" w:sz="12" w:space="0" w:color="0000FF"/>
              <w:left w:val="nil"/>
              <w:bottom w:val="single" w:sz="6" w:space="0" w:color="0000FF"/>
              <w:right w:val="nil"/>
            </w:tcBorders>
            <w:shd w:val="clear" w:color="auto" w:fill="auto"/>
            <w:vAlign w:val="center"/>
          </w:tcPr>
          <w:p w:rsidR="0056234E" w:rsidRDefault="00BF273A">
            <w:pPr>
              <w:rPr>
                <w:rFonts w:ascii="宋体" w:hAnsi="宋体" w:cs="宋体"/>
              </w:rPr>
            </w:pPr>
            <w:r>
              <w:rPr>
                <w:rFonts w:ascii="宋体" w:hAnsi="宋体" w:cs="宋体" w:hint="eastAsia"/>
              </w:rPr>
              <w:t>赎回费率</w:t>
            </w:r>
          </w:p>
        </w:tc>
      </w:tr>
      <w:tr w:rsidR="0056234E">
        <w:trPr>
          <w:jc w:val="center"/>
        </w:trPr>
        <w:tc>
          <w:tcPr>
            <w:tcW w:w="2523" w:type="pct"/>
            <w:tcBorders>
              <w:top w:val="single" w:sz="6"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7</w:t>
            </w:r>
            <w:r>
              <w:rPr>
                <w:rFonts w:ascii="宋体" w:hAnsi="宋体" w:cs="宋体" w:hint="eastAsia"/>
              </w:rPr>
              <w:t>日以内</w:t>
            </w:r>
          </w:p>
        </w:tc>
        <w:tc>
          <w:tcPr>
            <w:tcW w:w="2477" w:type="pct"/>
            <w:tcBorders>
              <w:top w:val="single" w:sz="6" w:space="0" w:color="0000FF"/>
              <w:left w:val="nil"/>
              <w:bottom w:val="single" w:sz="6" w:space="0" w:color="0000FF"/>
              <w:right w:val="nil"/>
            </w:tcBorders>
            <w:shd w:val="clear" w:color="auto" w:fill="auto"/>
            <w:vAlign w:val="center"/>
          </w:tcPr>
          <w:p w:rsidR="0056234E" w:rsidRDefault="00BF273A">
            <w:pPr>
              <w:rPr>
                <w:rFonts w:ascii="宋体" w:hAnsi="宋体" w:cs="宋体"/>
              </w:rPr>
            </w:pPr>
            <w:r>
              <w:rPr>
                <w:rFonts w:ascii="宋体" w:hAnsi="宋体" w:cs="宋体"/>
              </w:rPr>
              <w:t>1.50%</w:t>
            </w:r>
          </w:p>
        </w:tc>
      </w:tr>
      <w:tr w:rsidR="0056234E">
        <w:trPr>
          <w:jc w:val="center"/>
        </w:trPr>
        <w:tc>
          <w:tcPr>
            <w:tcW w:w="2523" w:type="pct"/>
            <w:tcBorders>
              <w:top w:val="single" w:sz="6" w:space="0" w:color="0000FF"/>
              <w:left w:val="nil"/>
              <w:bottom w:val="single" w:sz="6" w:space="0" w:color="0000FF"/>
              <w:right w:val="nil"/>
            </w:tcBorders>
            <w:shd w:val="clear" w:color="auto" w:fill="auto"/>
            <w:tcMar>
              <w:left w:w="108" w:type="dxa"/>
              <w:right w:w="108" w:type="dxa"/>
            </w:tcMar>
            <w:vAlign w:val="center"/>
          </w:tcPr>
          <w:p w:rsidR="0056234E" w:rsidRDefault="00BF273A">
            <w:pPr>
              <w:rPr>
                <w:rFonts w:ascii="宋体" w:hAnsi="宋体" w:cs="宋体"/>
              </w:rPr>
            </w:pPr>
            <w:r>
              <w:rPr>
                <w:rFonts w:ascii="宋体" w:hAnsi="宋体" w:cs="宋体"/>
              </w:rPr>
              <w:t>7</w:t>
            </w:r>
            <w:r>
              <w:rPr>
                <w:rFonts w:ascii="宋体" w:hAnsi="宋体" w:cs="宋体" w:hint="eastAsia"/>
              </w:rPr>
              <w:t>日（含）以上</w:t>
            </w:r>
          </w:p>
        </w:tc>
        <w:tc>
          <w:tcPr>
            <w:tcW w:w="2477" w:type="pct"/>
            <w:tcBorders>
              <w:top w:val="single" w:sz="6" w:space="0" w:color="0000FF"/>
              <w:left w:val="nil"/>
              <w:bottom w:val="single" w:sz="6" w:space="0" w:color="0000FF"/>
              <w:right w:val="nil"/>
            </w:tcBorders>
            <w:shd w:val="clear" w:color="auto" w:fill="auto"/>
            <w:vAlign w:val="center"/>
          </w:tcPr>
          <w:p w:rsidR="0056234E" w:rsidRDefault="00BF273A">
            <w:pPr>
              <w:rPr>
                <w:rFonts w:ascii="宋体" w:hAnsi="宋体" w:cs="宋体"/>
              </w:rPr>
            </w:pPr>
            <w:r>
              <w:rPr>
                <w:rFonts w:ascii="宋体" w:hAnsi="宋体" w:cs="宋体"/>
              </w:rPr>
              <w:t>0.00%</w:t>
            </w:r>
          </w:p>
        </w:tc>
      </w:tr>
    </w:tbl>
    <w:p w:rsidR="0056234E" w:rsidRDefault="00BF273A">
      <w:pPr>
        <w:pStyle w:val="2"/>
      </w:pPr>
      <w:r>
        <w:rPr>
          <w:rFonts w:ascii="宋体" w:hAnsi="宋体" w:cs="宋体"/>
        </w:rPr>
        <w:t>4.3 其他与赎回相关的事项</w:t>
      </w:r>
    </w:p>
    <w:p w:rsidR="0056234E" w:rsidRDefault="00BF273A">
      <w:pPr>
        <w:jc w:val="left"/>
      </w:pPr>
      <w:r>
        <w:rPr>
          <w:rFonts w:ascii="宋体" w:hAnsi="宋体" w:cs="宋体"/>
        </w:rPr>
        <w:t xml:space="preserve">    基金管理人应以交易时间结束前受理有效赎回申请的当天作为赎回申请日（T日），在正常情况下，本基金登记机构在T+1日内（包括该日）对该交易的有效性进行确认。投资人应在T+2日后（包括该日）及时到销售网点柜台或以销售机构规定的其他方式查询申请的确认情况。</w:t>
      </w:r>
      <w:r>
        <w:rPr>
          <w:rFonts w:ascii="宋体" w:hAnsi="宋体" w:cs="宋体"/>
        </w:rPr>
        <w:cr/>
        <w:t xml:space="preserve">    销售机构对赎回申请的受理并不代表该申请一定成功，而仅代表销售机构确实接收到申请。赎回的确认以登记机构的确认结果为准。对于申请的确认情况，投资者应及时查询，否则如因申请未得到登记机构的确认而产生的后果，由投资人自行承担。</w:t>
      </w:r>
    </w:p>
    <w:p w:rsidR="0056234E" w:rsidRDefault="00BF273A">
      <w:pPr>
        <w:pStyle w:val="1"/>
      </w:pPr>
      <w:r>
        <w:rPr>
          <w:rFonts w:ascii="宋体" w:hAnsi="宋体" w:cs="宋体"/>
        </w:rPr>
        <w:t>5 基金销售机构</w:t>
      </w:r>
    </w:p>
    <w:p w:rsidR="0056234E" w:rsidRDefault="00BF273A">
      <w:pPr>
        <w:pStyle w:val="2"/>
      </w:pPr>
      <w:r>
        <w:rPr>
          <w:rFonts w:ascii="宋体" w:hAnsi="宋体" w:cs="宋体"/>
        </w:rPr>
        <w:t>5.1 场外销售机构</w:t>
      </w:r>
    </w:p>
    <w:p w:rsidR="0056234E" w:rsidRDefault="00BF273A">
      <w:pPr>
        <w:pStyle w:val="zhangjiep2"/>
      </w:pPr>
      <w:r>
        <w:rPr>
          <w:rFonts w:ascii="宋体" w:hAnsi="宋体" w:cs="宋体"/>
          <w:b/>
        </w:rPr>
        <w:t>5.1.1 直销机构</w:t>
      </w:r>
    </w:p>
    <w:p w:rsidR="0056234E" w:rsidRDefault="00BF273A">
      <w:pPr>
        <w:jc w:val="left"/>
      </w:pPr>
      <w:r>
        <w:rPr>
          <w:rFonts w:ascii="宋体" w:hAnsi="宋体" w:cs="宋体"/>
        </w:rPr>
        <w:t xml:space="preserve">    申万菱信基金管理有限公司直销中心</w:t>
      </w:r>
      <w:r>
        <w:rPr>
          <w:rFonts w:ascii="宋体" w:hAnsi="宋体" w:cs="宋体"/>
        </w:rPr>
        <w:cr/>
        <w:t xml:space="preserve">    地址：上海市中山南路100号10层（200010）</w:t>
      </w:r>
      <w:r>
        <w:rPr>
          <w:rFonts w:ascii="宋体" w:hAnsi="宋体" w:cs="宋体"/>
        </w:rPr>
        <w:cr/>
        <w:t xml:space="preserve">    电话：400 880 8588（免长途话费）或021-962299</w:t>
      </w:r>
      <w:r>
        <w:rPr>
          <w:rFonts w:ascii="宋体" w:hAnsi="宋体" w:cs="宋体"/>
        </w:rPr>
        <w:cr/>
        <w:t xml:space="preserve">    传真：86-21-23261199</w:t>
      </w:r>
    </w:p>
    <w:p w:rsidR="0056234E" w:rsidRDefault="00BF273A">
      <w:pPr>
        <w:pStyle w:val="zhangjiep2"/>
      </w:pPr>
      <w:r>
        <w:rPr>
          <w:rFonts w:ascii="宋体" w:hAnsi="宋体" w:cs="宋体"/>
          <w:b/>
        </w:rPr>
        <w:t>5.1.2 场外非直销机构</w:t>
      </w:r>
    </w:p>
    <w:p w:rsidR="0056234E" w:rsidRDefault="00BF273A">
      <w:pPr>
        <w:jc w:val="left"/>
      </w:pPr>
      <w:r>
        <w:rPr>
          <w:rFonts w:ascii="宋体" w:hAnsi="宋体" w:cs="宋体"/>
        </w:rPr>
        <w:t xml:space="preserve">    详见本公司官方网站的公示。基金管理人可根据有关法律法规要求，根据实情，选择其他符合要求的机构销售本基金或变更销售机构，并在基金管理人网站公示。具体请以各销售机构实际情况为准。</w:t>
      </w:r>
    </w:p>
    <w:p w:rsidR="0056234E" w:rsidRDefault="00BF273A">
      <w:pPr>
        <w:pStyle w:val="1"/>
      </w:pPr>
      <w:r>
        <w:rPr>
          <w:rFonts w:ascii="宋体" w:hAnsi="宋体" w:cs="宋体"/>
        </w:rPr>
        <w:t>6 基金份额净值公告/基金收益公告的披露安排</w:t>
      </w:r>
    </w:p>
    <w:p w:rsidR="0056234E" w:rsidRDefault="00BF273A">
      <w:pPr>
        <w:jc w:val="left"/>
      </w:pPr>
      <w:r>
        <w:rPr>
          <w:rFonts w:ascii="宋体" w:hAnsi="宋体" w:cs="宋体"/>
        </w:rPr>
        <w:t xml:space="preserve">    1、基金合同生效后，在基金封闭期内，基金管理人应当至少每周在规定网站披露一次基金份额净值和基金份额累计净值。</w:t>
      </w:r>
      <w:r>
        <w:rPr>
          <w:rFonts w:ascii="宋体" w:hAnsi="宋体" w:cs="宋体"/>
        </w:rPr>
        <w:cr/>
        <w:t xml:space="preserve">    2、基金管理人应在不晚于基金开放期前最后一个工作日的次日，披露开放期前最后一个工作日的基金份额净值和基金份额累计净值。</w:t>
      </w:r>
      <w:r>
        <w:rPr>
          <w:rFonts w:ascii="宋体" w:hAnsi="宋体" w:cs="宋体"/>
        </w:rPr>
        <w:cr/>
        <w:t xml:space="preserve">    3、基金管理人应当在不晚于基金开放期每个开放日的次日，通过规定网站、基金销售机构网站或者营业网点披露开放日的基金份额净值和基金份额累计净值。</w:t>
      </w:r>
      <w:r>
        <w:rPr>
          <w:rFonts w:ascii="宋体" w:hAnsi="宋体" w:cs="宋体"/>
        </w:rPr>
        <w:cr/>
        <w:t xml:space="preserve">    4、基金管理人应当在不晚于半年度和年度最后一日的次日，在规定网站披露半年度和年度最后一日的基金份额净值和基金份额累计净值。</w:t>
      </w:r>
    </w:p>
    <w:p w:rsidR="0056234E" w:rsidRDefault="00BF273A">
      <w:pPr>
        <w:pStyle w:val="1"/>
      </w:pPr>
      <w:r>
        <w:rPr>
          <w:rFonts w:ascii="宋体" w:hAnsi="宋体" w:cs="宋体"/>
        </w:rPr>
        <w:t>7 其他需要提示的事项</w:t>
      </w:r>
    </w:p>
    <w:p w:rsidR="0056234E" w:rsidRDefault="00BF273A">
      <w:pPr>
        <w:jc w:val="left"/>
      </w:pPr>
      <w:r>
        <w:rPr>
          <w:rFonts w:ascii="宋体" w:hAnsi="宋体" w:cs="宋体"/>
        </w:rPr>
        <w:t xml:space="preserve">    1、本公告仅对本基金办理申购、赎回业务相关事项予以说明。投资者欲了解本基金的详细情况，请认真阅读刊登在本公司网站（www.swsmu.com）、基金电子披露网站（http://eid.csrc.org.cn/fund）的本基金的基金合同、招募说明书等法律文件。</w:t>
      </w:r>
      <w:r>
        <w:rPr>
          <w:rFonts w:ascii="宋体" w:hAnsi="宋体" w:cs="宋体"/>
        </w:rPr>
        <w:cr/>
        <w:t xml:space="preserve">    2、投资者可通过以下途径咨询： </w:t>
      </w:r>
      <w:r>
        <w:rPr>
          <w:rFonts w:ascii="宋体" w:hAnsi="宋体" w:cs="宋体"/>
        </w:rPr>
        <w:cr/>
        <w:t xml:space="preserve">    申万菱信基金管理有限公司</w:t>
      </w:r>
      <w:r>
        <w:rPr>
          <w:rFonts w:ascii="宋体" w:hAnsi="宋体" w:cs="宋体"/>
        </w:rPr>
        <w:cr/>
        <w:t xml:space="preserve">    客服电话：400-880-8588（免长途话费）或 021-962299 </w:t>
      </w:r>
      <w:r>
        <w:rPr>
          <w:rFonts w:ascii="宋体" w:hAnsi="宋体" w:cs="宋体"/>
        </w:rPr>
        <w:cr/>
        <w:t xml:space="preserve">    公司网址：www.swsmu.com </w:t>
      </w:r>
      <w:r>
        <w:rPr>
          <w:rFonts w:ascii="宋体" w:hAnsi="宋体" w:cs="宋体"/>
        </w:rPr>
        <w:cr/>
        <w:t xml:space="preserve">    3、风险提示：</w:t>
      </w:r>
      <w:r>
        <w:rPr>
          <w:rFonts w:ascii="宋体" w:hAnsi="宋体" w:cs="宋体"/>
        </w:rPr>
        <w:cr/>
        <w:t xml:space="preserve">    基金管理人承诺以诚实信用、勤勉尽责的原则管理和运用基金资产，但不保证基金一定盈利，也不保证最低收益。投资者欲了解基金产品的详细情况，请仔细阅读基金的基金合同、招募说明书、基金产品资料概要等信息披露文件，敬请投资者注意投资风险。</w:t>
      </w:r>
      <w:r>
        <w:rPr>
          <w:rFonts w:ascii="宋体" w:hAnsi="宋体" w:cs="宋体"/>
        </w:rPr>
        <w:cr/>
        <w:t xml:space="preserve">    4、本公告解释权归本公司所有。</w:t>
      </w:r>
    </w:p>
    <w:p w:rsidR="0056234E" w:rsidRDefault="0056234E"/>
    <w:p w:rsidR="0056234E" w:rsidRDefault="00BF273A">
      <w:pPr>
        <w:jc w:val="right"/>
      </w:pPr>
      <w:r>
        <w:rPr>
          <w:rFonts w:ascii="宋体" w:hAnsi="宋体" w:cs="宋体"/>
        </w:rPr>
        <w:t>申万菱信基金管理有限公司</w:t>
      </w:r>
    </w:p>
    <w:p w:rsidR="0056234E" w:rsidRDefault="00BF273A">
      <w:pPr>
        <w:jc w:val="right"/>
      </w:pPr>
      <w:r>
        <w:rPr>
          <w:rFonts w:ascii="宋体" w:hAnsi="宋体" w:cs="宋体"/>
        </w:rPr>
        <w:t>2026年01月27日</w:t>
      </w:r>
    </w:p>
    <w:sectPr w:rsidR="0056234E" w:rsidSect="007B0B0D">
      <w:headerReference w:type="default" r:id="rId6"/>
      <w:footerReference w:type="even" r:id="rId7"/>
      <w:footerReference w:type="default" r:id="rId8"/>
      <w:footerReference w:type="first" r:id="rId9"/>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34E" w:rsidRDefault="00BF273A">
      <w:pPr>
        <w:spacing w:line="240" w:lineRule="auto"/>
      </w:pPr>
      <w:r>
        <w:separator/>
      </w:r>
    </w:p>
  </w:endnote>
  <w:endnote w:type="continuationSeparator" w:id="0">
    <w:p w:rsidR="0056234E" w:rsidRDefault="00BF27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34E" w:rsidRDefault="0056234E">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34E" w:rsidRDefault="00BF273A">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sidR="007B0B0D" w:rsidRPr="007B0B0D">
      <w:rPr>
        <w:rFonts w:ascii="宋体" w:hAnsi="宋体" w:cs="Times New Roman" w:hint="eastAsia"/>
        <w:sz w:val="20"/>
        <w:szCs w:val="20"/>
        <w:lang/>
      </w:rPr>
      <w:fldChar w:fldCharType="begin"/>
    </w:r>
    <w:r>
      <w:rPr>
        <w:rFonts w:ascii="宋体" w:hAnsi="宋体" w:cs="宋体" w:hint="eastAsia"/>
        <w:sz w:val="20"/>
        <w:szCs w:val="20"/>
        <w:lang/>
      </w:rPr>
      <w:instrText>PAGE  \* MERGEFORMAT</w:instrText>
    </w:r>
    <w:r w:rsidR="007B0B0D" w:rsidRPr="007B0B0D">
      <w:rPr>
        <w:rFonts w:ascii="宋体" w:hAnsi="宋体" w:cs="Times New Roman" w:hint="eastAsia"/>
        <w:sz w:val="20"/>
        <w:szCs w:val="20"/>
        <w:lang/>
      </w:rPr>
      <w:fldChar w:fldCharType="separate"/>
    </w:r>
    <w:r w:rsidR="006D69A2">
      <w:rPr>
        <w:rFonts w:ascii="宋体" w:hAnsi="宋体" w:cs="宋体"/>
        <w:noProof/>
        <w:sz w:val="20"/>
        <w:szCs w:val="20"/>
        <w:lang/>
      </w:rPr>
      <w:t>1</w:t>
    </w:r>
    <w:r w:rsidR="007B0B0D">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sidR="006D69A2">
        <w:rPr>
          <w:rFonts w:ascii="宋体" w:hAnsi="宋体" w:cs="宋体"/>
          <w:noProof/>
          <w:sz w:val="20"/>
          <w:szCs w:val="20"/>
          <w:lang/>
        </w:rPr>
        <w:t>3</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34E" w:rsidRDefault="0056234E">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34E" w:rsidRDefault="00BF273A">
      <w:r>
        <w:separator/>
      </w:r>
    </w:p>
  </w:footnote>
  <w:footnote w:type="continuationSeparator" w:id="0">
    <w:p w:rsidR="0056234E" w:rsidRDefault="00BF2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34E" w:rsidRDefault="00BF273A">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关于申万菱信恒利三个月定期开放债券型证券投资基金第十五次开放申购、赎回业务的公告</w:t>
    </w:r>
    <w:r>
      <w:rPr>
        <w:rFonts w:ascii="宋体" w:hAnsi="宋体"/>
      </w:rP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6234E"/>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6D69A2"/>
    <w:rsid w:val="00752D0D"/>
    <w:rsid w:val="007B0B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BF273A"/>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E8A72D1"/>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qFormat="1"/>
    <w:lsdException w:name="toc 4" w:semiHidden="0" w:uiPriority="39"/>
    <w:lsdException w:name="toc 5" w:semiHidden="0" w:uiPriority="39"/>
    <w:lsdException w:name="toc 6" w:semiHidden="0" w:uiPriority="39" w:qFormat="1"/>
    <w:lsdException w:name="toc 7" w:semiHidden="0" w:uiPriority="39"/>
    <w:lsdException w:name="toc 8" w:semiHidden="0" w:uiPriority="39"/>
    <w:lsdException w:name="toc 9" w:semiHidden="0" w:uiPriority="39"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B0D"/>
    <w:pPr>
      <w:widowControl w:val="0"/>
      <w:spacing w:line="288" w:lineRule="auto"/>
      <w:jc w:val="both"/>
    </w:pPr>
    <w:rPr>
      <w:rFonts w:eastAsia="宋体"/>
      <w:kern w:val="2"/>
      <w:sz w:val="21"/>
      <w:szCs w:val="21"/>
    </w:rPr>
  </w:style>
  <w:style w:type="paragraph" w:styleId="1">
    <w:name w:val="heading 1"/>
    <w:basedOn w:val="a"/>
    <w:next w:val="a"/>
    <w:link w:val="1Char"/>
    <w:uiPriority w:val="9"/>
    <w:qFormat/>
    <w:rsid w:val="007B0B0D"/>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7B0B0D"/>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7B0B0D"/>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7B0B0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rsid w:val="007B0B0D"/>
    <w:pPr>
      <w:ind w:left="1260"/>
      <w:jc w:val="left"/>
    </w:pPr>
    <w:rPr>
      <w:sz w:val="18"/>
      <w:szCs w:val="18"/>
    </w:rPr>
  </w:style>
  <w:style w:type="paragraph" w:styleId="a3">
    <w:name w:val="Normal Indent"/>
    <w:basedOn w:val="a"/>
    <w:link w:val="Char"/>
    <w:uiPriority w:val="99"/>
    <w:semiHidden/>
    <w:unhideWhenUsed/>
    <w:rsid w:val="007B0B0D"/>
    <w:pPr>
      <w:ind w:firstLineChars="200" w:firstLine="420"/>
    </w:pPr>
  </w:style>
  <w:style w:type="paragraph" w:styleId="a4">
    <w:name w:val="Document Map"/>
    <w:basedOn w:val="a"/>
    <w:link w:val="Char0"/>
    <w:uiPriority w:val="99"/>
    <w:semiHidden/>
    <w:unhideWhenUsed/>
    <w:rsid w:val="007B0B0D"/>
    <w:rPr>
      <w:rFonts w:ascii="宋体"/>
      <w:sz w:val="18"/>
      <w:szCs w:val="18"/>
    </w:rPr>
  </w:style>
  <w:style w:type="paragraph" w:styleId="a5">
    <w:name w:val="annotation text"/>
    <w:basedOn w:val="a"/>
    <w:link w:val="Char1"/>
    <w:uiPriority w:val="99"/>
    <w:semiHidden/>
    <w:unhideWhenUsed/>
    <w:rsid w:val="007B0B0D"/>
    <w:pPr>
      <w:jc w:val="left"/>
    </w:pPr>
  </w:style>
  <w:style w:type="paragraph" w:styleId="a6">
    <w:name w:val="Body Text"/>
    <w:basedOn w:val="a"/>
    <w:link w:val="Char2"/>
    <w:uiPriority w:val="99"/>
    <w:semiHidden/>
    <w:unhideWhenUsed/>
    <w:rsid w:val="007B0B0D"/>
    <w:pPr>
      <w:spacing w:after="120"/>
    </w:pPr>
  </w:style>
  <w:style w:type="paragraph" w:styleId="5">
    <w:name w:val="toc 5"/>
    <w:basedOn w:val="a"/>
    <w:next w:val="a"/>
    <w:autoRedefine/>
    <w:uiPriority w:val="39"/>
    <w:unhideWhenUsed/>
    <w:rsid w:val="007B0B0D"/>
    <w:pPr>
      <w:ind w:left="840"/>
      <w:jc w:val="left"/>
    </w:pPr>
    <w:rPr>
      <w:sz w:val="18"/>
      <w:szCs w:val="18"/>
    </w:rPr>
  </w:style>
  <w:style w:type="paragraph" w:styleId="30">
    <w:name w:val="toc 3"/>
    <w:basedOn w:val="a"/>
    <w:next w:val="a"/>
    <w:autoRedefine/>
    <w:uiPriority w:val="39"/>
    <w:unhideWhenUsed/>
    <w:qFormat/>
    <w:rsid w:val="007B0B0D"/>
    <w:pPr>
      <w:spacing w:line="240" w:lineRule="auto"/>
      <w:ind w:left="420"/>
      <w:jc w:val="left"/>
    </w:pPr>
    <w:rPr>
      <w:i/>
      <w:iCs/>
      <w:szCs w:val="20"/>
    </w:rPr>
  </w:style>
  <w:style w:type="paragraph" w:styleId="a7">
    <w:name w:val="Plain Text"/>
    <w:basedOn w:val="a"/>
    <w:link w:val="Char3"/>
    <w:uiPriority w:val="99"/>
    <w:semiHidden/>
    <w:unhideWhenUsed/>
    <w:rsid w:val="007B0B0D"/>
    <w:rPr>
      <w:rFonts w:asciiTheme="minorEastAsia" w:hAnsi="Courier New" w:cs="Courier New"/>
    </w:rPr>
  </w:style>
  <w:style w:type="paragraph" w:styleId="8">
    <w:name w:val="toc 8"/>
    <w:basedOn w:val="a"/>
    <w:next w:val="a"/>
    <w:autoRedefine/>
    <w:uiPriority w:val="39"/>
    <w:unhideWhenUsed/>
    <w:rsid w:val="007B0B0D"/>
    <w:pPr>
      <w:ind w:left="1470"/>
      <w:jc w:val="left"/>
    </w:pPr>
    <w:rPr>
      <w:rFonts w:eastAsiaTheme="minorHAnsi"/>
      <w:sz w:val="18"/>
      <w:szCs w:val="18"/>
    </w:rPr>
  </w:style>
  <w:style w:type="paragraph" w:styleId="a8">
    <w:name w:val="Date"/>
    <w:basedOn w:val="a"/>
    <w:next w:val="a"/>
    <w:link w:val="Char4"/>
    <w:uiPriority w:val="99"/>
    <w:semiHidden/>
    <w:unhideWhenUsed/>
    <w:qFormat/>
    <w:rsid w:val="007B0B0D"/>
    <w:pPr>
      <w:ind w:leftChars="2500" w:left="100"/>
    </w:pPr>
  </w:style>
  <w:style w:type="paragraph" w:styleId="a9">
    <w:name w:val="Balloon Text"/>
    <w:basedOn w:val="a"/>
    <w:link w:val="Char5"/>
    <w:uiPriority w:val="99"/>
    <w:semiHidden/>
    <w:unhideWhenUsed/>
    <w:rsid w:val="007B0B0D"/>
    <w:rPr>
      <w:sz w:val="18"/>
      <w:szCs w:val="18"/>
    </w:rPr>
  </w:style>
  <w:style w:type="paragraph" w:styleId="aa">
    <w:name w:val="footer"/>
    <w:basedOn w:val="a"/>
    <w:link w:val="Char6"/>
    <w:uiPriority w:val="99"/>
    <w:unhideWhenUsed/>
    <w:rsid w:val="007B0B0D"/>
    <w:pPr>
      <w:tabs>
        <w:tab w:val="center" w:pos="4153"/>
        <w:tab w:val="right" w:pos="8306"/>
      </w:tabs>
      <w:snapToGrid w:val="0"/>
      <w:jc w:val="left"/>
    </w:pPr>
    <w:rPr>
      <w:sz w:val="18"/>
      <w:szCs w:val="18"/>
    </w:rPr>
  </w:style>
  <w:style w:type="paragraph" w:styleId="ab">
    <w:name w:val="header"/>
    <w:basedOn w:val="a"/>
    <w:link w:val="Char7"/>
    <w:uiPriority w:val="99"/>
    <w:unhideWhenUsed/>
    <w:rsid w:val="007B0B0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rsid w:val="007B0B0D"/>
    <w:pPr>
      <w:tabs>
        <w:tab w:val="right" w:leader="dot" w:pos="9060"/>
      </w:tabs>
      <w:spacing w:line="240" w:lineRule="auto"/>
      <w:jc w:val="left"/>
    </w:pPr>
    <w:rPr>
      <w:b/>
      <w:bCs/>
      <w:caps/>
      <w:szCs w:val="20"/>
    </w:rPr>
  </w:style>
  <w:style w:type="paragraph" w:styleId="40">
    <w:name w:val="toc 4"/>
    <w:basedOn w:val="a"/>
    <w:next w:val="a"/>
    <w:autoRedefine/>
    <w:uiPriority w:val="39"/>
    <w:unhideWhenUsed/>
    <w:rsid w:val="007B0B0D"/>
    <w:pPr>
      <w:ind w:left="630"/>
      <w:jc w:val="left"/>
    </w:pPr>
    <w:rPr>
      <w:sz w:val="18"/>
      <w:szCs w:val="18"/>
    </w:rPr>
  </w:style>
  <w:style w:type="paragraph" w:styleId="6">
    <w:name w:val="toc 6"/>
    <w:basedOn w:val="a"/>
    <w:next w:val="a"/>
    <w:autoRedefine/>
    <w:uiPriority w:val="39"/>
    <w:unhideWhenUsed/>
    <w:qFormat/>
    <w:rsid w:val="007B0B0D"/>
    <w:pPr>
      <w:ind w:left="1050"/>
      <w:jc w:val="left"/>
    </w:pPr>
    <w:rPr>
      <w:sz w:val="18"/>
      <w:szCs w:val="18"/>
    </w:rPr>
  </w:style>
  <w:style w:type="paragraph" w:styleId="20">
    <w:name w:val="toc 2"/>
    <w:basedOn w:val="a"/>
    <w:next w:val="a"/>
    <w:autoRedefine/>
    <w:uiPriority w:val="39"/>
    <w:unhideWhenUsed/>
    <w:rsid w:val="007B0B0D"/>
    <w:pPr>
      <w:spacing w:line="240" w:lineRule="auto"/>
      <w:ind w:left="210"/>
      <w:jc w:val="left"/>
    </w:pPr>
    <w:rPr>
      <w:smallCaps/>
      <w:szCs w:val="20"/>
    </w:rPr>
  </w:style>
  <w:style w:type="paragraph" w:styleId="9">
    <w:name w:val="toc 9"/>
    <w:basedOn w:val="a"/>
    <w:next w:val="a"/>
    <w:autoRedefine/>
    <w:uiPriority w:val="39"/>
    <w:unhideWhenUsed/>
    <w:qFormat/>
    <w:rsid w:val="007B0B0D"/>
    <w:pPr>
      <w:ind w:left="1680"/>
      <w:jc w:val="left"/>
    </w:pPr>
    <w:rPr>
      <w:rFonts w:eastAsiaTheme="minorHAnsi"/>
      <w:sz w:val="18"/>
      <w:szCs w:val="18"/>
    </w:rPr>
  </w:style>
  <w:style w:type="paragraph" w:styleId="ac">
    <w:name w:val="Normal (Web)"/>
    <w:basedOn w:val="a"/>
    <w:uiPriority w:val="99"/>
    <w:semiHidden/>
    <w:unhideWhenUsed/>
    <w:rsid w:val="007B0B0D"/>
    <w:rPr>
      <w:rFonts w:ascii="Times New Roman" w:hAnsi="Times New Roman" w:cs="宋体"/>
      <w:sz w:val="24"/>
      <w:szCs w:val="24"/>
    </w:rPr>
  </w:style>
  <w:style w:type="paragraph" w:styleId="ad">
    <w:name w:val="Title"/>
    <w:basedOn w:val="a"/>
    <w:next w:val="a"/>
    <w:link w:val="Char8"/>
    <w:uiPriority w:val="10"/>
    <w:qFormat/>
    <w:rsid w:val="007B0B0D"/>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rsid w:val="007B0B0D"/>
    <w:rPr>
      <w:b/>
      <w:bCs/>
    </w:rPr>
  </w:style>
  <w:style w:type="table" w:styleId="af">
    <w:name w:val="Table Grid"/>
    <w:basedOn w:val="a1"/>
    <w:uiPriority w:val="39"/>
    <w:qFormat/>
    <w:rsid w:val="007B0B0D"/>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7B0B0D"/>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7B0B0D"/>
    <w:rPr>
      <w:b/>
      <w:bCs/>
    </w:rPr>
  </w:style>
  <w:style w:type="character" w:styleId="af1">
    <w:name w:val="Hyperlink"/>
    <w:basedOn w:val="a0"/>
    <w:uiPriority w:val="99"/>
    <w:unhideWhenUsed/>
    <w:rsid w:val="007B0B0D"/>
    <w:rPr>
      <w:color w:val="0000FF"/>
      <w:u w:val="single"/>
    </w:rPr>
  </w:style>
  <w:style w:type="character" w:styleId="HTML">
    <w:name w:val="HTML Code"/>
    <w:basedOn w:val="a0"/>
    <w:uiPriority w:val="99"/>
    <w:semiHidden/>
    <w:unhideWhenUsed/>
    <w:rsid w:val="007B0B0D"/>
    <w:rPr>
      <w:rFonts w:ascii="Courier New" w:hAnsi="Courier New" w:cs="Courier New"/>
      <w:sz w:val="20"/>
      <w:szCs w:val="20"/>
    </w:rPr>
  </w:style>
  <w:style w:type="character" w:styleId="af2">
    <w:name w:val="annotation reference"/>
    <w:basedOn w:val="a0"/>
    <w:uiPriority w:val="99"/>
    <w:semiHidden/>
    <w:unhideWhenUsed/>
    <w:qFormat/>
    <w:rsid w:val="007B0B0D"/>
    <w:rPr>
      <w:sz w:val="21"/>
      <w:szCs w:val="21"/>
    </w:rPr>
  </w:style>
  <w:style w:type="paragraph" w:customStyle="1" w:styleId="af3">
    <w:name w:val="代码样式"/>
    <w:link w:val="Chara"/>
    <w:qFormat/>
    <w:rsid w:val="007B0B0D"/>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sid w:val="007B0B0D"/>
    <w:rPr>
      <w:shd w:val="clear" w:color="auto" w:fill="A8D08D" w:themeFill="accent6" w:themeFillTint="99"/>
    </w:rPr>
  </w:style>
  <w:style w:type="character" w:customStyle="1" w:styleId="1Char">
    <w:name w:val="标题 1 Char"/>
    <w:basedOn w:val="a0"/>
    <w:link w:val="1"/>
    <w:uiPriority w:val="9"/>
    <w:qFormat/>
    <w:rsid w:val="007B0B0D"/>
    <w:rPr>
      <w:rFonts w:eastAsia="宋体"/>
      <w:b/>
      <w:bCs/>
      <w:sz w:val="24"/>
      <w:szCs w:val="44"/>
    </w:rPr>
  </w:style>
  <w:style w:type="character" w:customStyle="1" w:styleId="2Char">
    <w:name w:val="标题 2 Char"/>
    <w:basedOn w:val="a0"/>
    <w:link w:val="2"/>
    <w:uiPriority w:val="9"/>
    <w:rsid w:val="007B0B0D"/>
    <w:rPr>
      <w:rFonts w:asciiTheme="majorHAnsi" w:eastAsia="宋体" w:hAnsiTheme="majorHAnsi" w:cstheme="majorBidi"/>
      <w:b/>
      <w:bCs/>
      <w:sz w:val="24"/>
      <w:szCs w:val="32"/>
    </w:rPr>
  </w:style>
  <w:style w:type="character" w:customStyle="1" w:styleId="3Char">
    <w:name w:val="标题 3 Char"/>
    <w:basedOn w:val="a0"/>
    <w:link w:val="3"/>
    <w:uiPriority w:val="9"/>
    <w:rsid w:val="007B0B0D"/>
    <w:rPr>
      <w:rFonts w:eastAsia="宋体"/>
      <w:b/>
      <w:bCs/>
      <w:sz w:val="24"/>
      <w:szCs w:val="32"/>
    </w:rPr>
  </w:style>
  <w:style w:type="character" w:customStyle="1" w:styleId="4Char">
    <w:name w:val="标题 4 Char"/>
    <w:basedOn w:val="a0"/>
    <w:link w:val="4"/>
    <w:uiPriority w:val="9"/>
    <w:semiHidden/>
    <w:rsid w:val="007B0B0D"/>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7B0B0D"/>
    <w:rPr>
      <w:rFonts w:asciiTheme="minorHAnsi" w:eastAsiaTheme="minorEastAsia" w:hAnsiTheme="minorHAnsi" w:cstheme="minorBidi"/>
      <w:sz w:val="21"/>
      <w:szCs w:val="22"/>
    </w:rPr>
  </w:style>
  <w:style w:type="character" w:customStyle="1" w:styleId="Char1">
    <w:name w:val="批注文字 Char"/>
    <w:basedOn w:val="a0"/>
    <w:link w:val="a5"/>
    <w:uiPriority w:val="99"/>
    <w:semiHidden/>
    <w:rsid w:val="007B0B0D"/>
    <w:rPr>
      <w:rFonts w:asciiTheme="minorHAnsi" w:eastAsiaTheme="minorEastAsia" w:hAnsiTheme="minorHAnsi" w:cstheme="minorBidi"/>
      <w:sz w:val="21"/>
      <w:szCs w:val="22"/>
    </w:rPr>
  </w:style>
  <w:style w:type="character" w:customStyle="1" w:styleId="Char7">
    <w:name w:val="页眉 Char"/>
    <w:basedOn w:val="a0"/>
    <w:link w:val="ab"/>
    <w:uiPriority w:val="99"/>
    <w:rsid w:val="007B0B0D"/>
    <w:rPr>
      <w:rFonts w:asciiTheme="minorHAnsi" w:eastAsiaTheme="minorEastAsia" w:hAnsiTheme="minorHAnsi" w:cstheme="minorBidi"/>
      <w:sz w:val="18"/>
      <w:szCs w:val="18"/>
    </w:rPr>
  </w:style>
  <w:style w:type="character" w:customStyle="1" w:styleId="Char6">
    <w:name w:val="页脚 Char"/>
    <w:basedOn w:val="a0"/>
    <w:link w:val="aa"/>
    <w:uiPriority w:val="99"/>
    <w:rsid w:val="007B0B0D"/>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7B0B0D"/>
    <w:rPr>
      <w:rFonts w:asciiTheme="minorHAnsi" w:eastAsiaTheme="minorEastAsia" w:hAnsiTheme="minorHAnsi" w:cstheme="minorBidi"/>
      <w:sz w:val="21"/>
      <w:szCs w:val="22"/>
    </w:rPr>
  </w:style>
  <w:style w:type="character" w:customStyle="1" w:styleId="Char4">
    <w:name w:val="日期 Char"/>
    <w:basedOn w:val="a0"/>
    <w:link w:val="a8"/>
    <w:uiPriority w:val="99"/>
    <w:semiHidden/>
    <w:rsid w:val="007B0B0D"/>
    <w:rPr>
      <w:rFonts w:asciiTheme="minorHAnsi" w:eastAsiaTheme="minorEastAsia" w:hAnsiTheme="minorHAnsi" w:cstheme="minorBidi"/>
      <w:sz w:val="21"/>
      <w:szCs w:val="22"/>
    </w:rPr>
  </w:style>
  <w:style w:type="character" w:customStyle="1" w:styleId="Char3">
    <w:name w:val="纯文本 Char"/>
    <w:basedOn w:val="a0"/>
    <w:link w:val="a7"/>
    <w:uiPriority w:val="99"/>
    <w:semiHidden/>
    <w:rsid w:val="007B0B0D"/>
    <w:rPr>
      <w:rFonts w:asciiTheme="minorEastAsia" w:eastAsiaTheme="minorEastAsia" w:hAnsi="Courier New" w:cs="Courier New"/>
      <w:sz w:val="21"/>
      <w:szCs w:val="22"/>
    </w:rPr>
  </w:style>
  <w:style w:type="character" w:customStyle="1" w:styleId="Char9">
    <w:name w:val="批注主题 Char"/>
    <w:basedOn w:val="Char1"/>
    <w:link w:val="ae"/>
    <w:uiPriority w:val="99"/>
    <w:semiHidden/>
    <w:rsid w:val="007B0B0D"/>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rsid w:val="007B0B0D"/>
    <w:rPr>
      <w:rFonts w:asciiTheme="minorHAnsi" w:eastAsiaTheme="minorEastAsia" w:hAnsiTheme="minorHAnsi" w:cstheme="minorBidi"/>
      <w:sz w:val="18"/>
      <w:szCs w:val="18"/>
    </w:rPr>
  </w:style>
  <w:style w:type="paragraph" w:styleId="af4">
    <w:name w:val="List Paragraph"/>
    <w:basedOn w:val="a"/>
    <w:uiPriority w:val="34"/>
    <w:qFormat/>
    <w:rsid w:val="007B0B0D"/>
    <w:pPr>
      <w:ind w:firstLineChars="200" w:firstLine="420"/>
    </w:pPr>
  </w:style>
  <w:style w:type="character" w:customStyle="1" w:styleId="Char8">
    <w:name w:val="标题 Char"/>
    <w:basedOn w:val="a0"/>
    <w:link w:val="ad"/>
    <w:uiPriority w:val="10"/>
    <w:rsid w:val="007B0B0D"/>
    <w:rPr>
      <w:rFonts w:asciiTheme="majorHAnsi" w:eastAsiaTheme="majorEastAsia" w:hAnsiTheme="majorHAnsi" w:cstheme="majorBidi"/>
      <w:b/>
      <w:bCs/>
      <w:sz w:val="32"/>
      <w:szCs w:val="32"/>
    </w:rPr>
  </w:style>
  <w:style w:type="paragraph" w:customStyle="1" w:styleId="biaogeleft">
    <w:name w:val="biaoge_left"/>
    <w:basedOn w:val="a"/>
    <w:rsid w:val="007B0B0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7B0B0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7B0B0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7B0B0D"/>
    <w:rPr>
      <w:rFonts w:ascii="宋体" w:eastAsia="宋体" w:hAnsi="宋体"/>
      <w:color w:val="000000" w:themeColor="text1"/>
      <w:sz w:val="21"/>
    </w:rPr>
  </w:style>
  <w:style w:type="paragraph" w:customStyle="1" w:styleId="TOC1">
    <w:name w:val="TOC 标题1"/>
    <w:basedOn w:val="1"/>
    <w:next w:val="a"/>
    <w:uiPriority w:val="39"/>
    <w:unhideWhenUsed/>
    <w:qFormat/>
    <w:rsid w:val="007B0B0D"/>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rsid w:val="007B0B0D"/>
    <w:rPr>
      <w:rFonts w:ascii="宋体" w:eastAsia="宋体"/>
      <w:sz w:val="18"/>
      <w:szCs w:val="18"/>
    </w:rPr>
  </w:style>
  <w:style w:type="paragraph" w:customStyle="1" w:styleId="zhangjiep2">
    <w:name w:val="zhangjie_p2"/>
    <w:basedOn w:val="a"/>
    <w:next w:val="a"/>
    <w:autoRedefine/>
    <w:qFormat/>
    <w:rsid w:val="007B0B0D"/>
    <w:pPr>
      <w:spacing w:line="240" w:lineRule="auto"/>
      <w:jc w:val="left"/>
    </w:pPr>
    <w:rPr>
      <w:bCs/>
      <w:iCs/>
      <w:cap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2866</Characters>
  <Application>Microsoft Office Word</Application>
  <DocSecurity>4</DocSecurity>
  <Lines>23</Lines>
  <Paragraphs>6</Paragraphs>
  <ScaleCrop>false</ScaleCrop>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7F0B18A70E534D1DA249B8929880DF81_13</vt:lpwstr>
  </property>
  <property fmtid="{D5CDD505-2E9C-101B-9397-08002B2CF9AE}" pid="4" name="KSOTemplateDocerSaveRecord">
    <vt:lpwstr>eyJoZGlkIjoiZmE2ZjQ3MzZhYWIzMWM4OWY2ODMyNTljMGY1ZTFiZWQiLCJ1c2VySWQiOiIyODA3NTU1MjIifQ==</vt:lpwstr>
  </property>
</Properties>
</file>