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04B" w:rsidRDefault="00374CF3">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华宝基金关于旗下部分基金新增中航证券有限公司为代销机构的公告</w:t>
      </w:r>
    </w:p>
    <w:p w:rsidR="001C404B" w:rsidRDefault="00374CF3">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）与中航证券有限公司（以下简称</w:t>
      </w:r>
      <w:r>
        <w:rPr>
          <w:rFonts w:ascii="宋体" w:eastAsia="宋体" w:hAnsi="宋体" w:cs="宋体"/>
          <w:sz w:val="21"/>
          <w:szCs w:val="21"/>
        </w:rPr>
        <w:t>"</w:t>
      </w:r>
      <w:r>
        <w:rPr>
          <w:rFonts w:ascii="宋体" w:eastAsia="宋体" w:hAnsi="宋体" w:cs="宋体"/>
          <w:sz w:val="21"/>
          <w:szCs w:val="21"/>
        </w:rPr>
        <w:t>中航证券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01</w:t>
      </w:r>
      <w:r>
        <w:rPr>
          <w:rFonts w:ascii="宋体" w:eastAsia="宋体" w:hAnsi="宋体" w:cs="宋体"/>
          <w:sz w:val="21"/>
          <w:szCs w:val="21"/>
        </w:rPr>
        <w:t>月</w:t>
      </w:r>
      <w:r>
        <w:rPr>
          <w:rFonts w:ascii="宋体" w:eastAsia="宋体" w:hAnsi="宋体" w:cs="宋体"/>
          <w:sz w:val="21"/>
          <w:szCs w:val="21"/>
        </w:rPr>
        <w:t>26</w:t>
      </w:r>
      <w:r>
        <w:rPr>
          <w:rFonts w:ascii="宋体" w:eastAsia="宋体" w:hAnsi="宋体" w:cs="宋体"/>
          <w:sz w:val="21"/>
          <w:szCs w:val="21"/>
        </w:rPr>
        <w:t>日起增加中航证券为以下适用基金的代销机构。</w:t>
      </w:r>
      <w:r>
        <w:rPr>
          <w:rFonts w:ascii="宋体" w:eastAsia="宋体" w:hAnsi="宋体" w:cs="宋体"/>
          <w:sz w:val="21"/>
          <w:szCs w:val="21"/>
        </w:rPr>
        <w:t xml:space="preserve"> </w:t>
      </w:r>
    </w:p>
    <w:p w:rsidR="001C404B" w:rsidRDefault="00374CF3">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347"/>
        <w:gridCol w:w="888"/>
      </w:tblGrid>
      <w:tr w:rsidR="001C404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b/>
                <w:bCs/>
                <w:color w:val="000000"/>
                <w:sz w:val="21"/>
                <w:szCs w:val="21"/>
              </w:rPr>
            </w:pPr>
            <w:r>
              <w:rPr>
                <w:rFonts w:ascii="宋体" w:eastAsia="宋体" w:hAnsi="宋体" w:cs="宋体"/>
                <w:b/>
                <w:bCs/>
                <w:color w:val="000000"/>
                <w:sz w:val="21"/>
                <w:szCs w:val="21"/>
              </w:rPr>
              <w:t>基金代码</w:t>
            </w:r>
          </w:p>
        </w:tc>
      </w:tr>
      <w:tr w:rsidR="001C404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rPr>
                <w:color w:val="000000"/>
                <w:sz w:val="21"/>
                <w:szCs w:val="21"/>
              </w:rPr>
            </w:pPr>
            <w:r>
              <w:rPr>
                <w:rFonts w:ascii="宋体" w:eastAsia="宋体" w:hAnsi="宋体" w:cs="宋体"/>
                <w:color w:val="000000"/>
                <w:sz w:val="21"/>
                <w:szCs w:val="21"/>
              </w:rPr>
              <w:t>华宝标普石油天然气上游股票指数证券投资基金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color w:val="000000"/>
                <w:sz w:val="21"/>
                <w:szCs w:val="21"/>
              </w:rPr>
            </w:pPr>
            <w:r>
              <w:rPr>
                <w:rFonts w:ascii="宋体" w:eastAsia="宋体" w:hAnsi="宋体" w:cs="宋体"/>
                <w:color w:val="000000"/>
                <w:sz w:val="21"/>
                <w:szCs w:val="21"/>
              </w:rPr>
              <w:t>007844</w:t>
            </w:r>
          </w:p>
        </w:tc>
      </w:tr>
      <w:tr w:rsidR="001C404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rPr>
                <w:color w:val="000000"/>
                <w:sz w:val="21"/>
                <w:szCs w:val="21"/>
              </w:rPr>
            </w:pPr>
            <w:r>
              <w:rPr>
                <w:rFonts w:ascii="宋体" w:eastAsia="宋体" w:hAnsi="宋体" w:cs="宋体"/>
                <w:color w:val="000000"/>
                <w:sz w:val="21"/>
                <w:szCs w:val="21"/>
              </w:rPr>
              <w:t>华宝标普美国品质消费股票指数证券投资基金</w:t>
            </w:r>
            <w:r>
              <w:rPr>
                <w:rFonts w:ascii="宋体" w:eastAsia="宋体" w:hAnsi="宋体" w:cs="宋体"/>
                <w:color w:val="000000"/>
                <w:sz w:val="21"/>
                <w:szCs w:val="21"/>
              </w:rPr>
              <w:t xml:space="preserve">(LOF)C </w:t>
            </w:r>
            <w:r>
              <w:rPr>
                <w:rFonts w:ascii="宋体" w:eastAsia="宋体" w:hAnsi="宋体" w:cs="宋体"/>
                <w:color w:val="000000"/>
                <w:sz w:val="21"/>
                <w:szCs w:val="21"/>
              </w:rPr>
              <w:br/>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color w:val="000000"/>
                <w:sz w:val="21"/>
                <w:szCs w:val="21"/>
              </w:rPr>
            </w:pPr>
            <w:r>
              <w:rPr>
                <w:rFonts w:ascii="宋体" w:eastAsia="宋体" w:hAnsi="宋体" w:cs="宋体"/>
                <w:color w:val="000000"/>
                <w:sz w:val="21"/>
                <w:szCs w:val="21"/>
              </w:rPr>
              <w:t>009975</w:t>
            </w:r>
          </w:p>
        </w:tc>
      </w:tr>
      <w:tr w:rsidR="001C404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rPr>
                <w:color w:val="000000"/>
                <w:sz w:val="21"/>
                <w:szCs w:val="21"/>
              </w:rPr>
            </w:pPr>
            <w:r>
              <w:rPr>
                <w:rFonts w:ascii="宋体" w:eastAsia="宋体" w:hAnsi="宋体" w:cs="宋体"/>
                <w:color w:val="000000"/>
                <w:sz w:val="21"/>
                <w:szCs w:val="21"/>
              </w:rPr>
              <w:t>华宝港股通恒生中国（香港上市）</w:t>
            </w:r>
            <w:r>
              <w:rPr>
                <w:rFonts w:ascii="宋体" w:eastAsia="宋体" w:hAnsi="宋体" w:cs="宋体"/>
                <w:color w:val="000000"/>
                <w:sz w:val="21"/>
                <w:szCs w:val="21"/>
              </w:rPr>
              <w:t>30</w:t>
            </w:r>
            <w:r>
              <w:rPr>
                <w:rFonts w:ascii="宋体" w:eastAsia="宋体" w:hAnsi="宋体" w:cs="宋体"/>
                <w:color w:val="000000"/>
                <w:sz w:val="21"/>
                <w:szCs w:val="21"/>
              </w:rPr>
              <w:t>交易型开放式指数证</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券投资基金联接基金（</w:t>
            </w:r>
            <w:r>
              <w:rPr>
                <w:rFonts w:ascii="宋体" w:eastAsia="宋体" w:hAnsi="宋体" w:cs="宋体"/>
                <w:color w:val="000000"/>
                <w:sz w:val="21"/>
                <w:szCs w:val="21"/>
              </w:rPr>
              <w:t>LOF</w:t>
            </w:r>
            <w:r>
              <w:rPr>
                <w:rFonts w:ascii="宋体" w:eastAsia="宋体" w:hAnsi="宋体" w:cs="宋体"/>
                <w:color w:val="000000"/>
                <w:sz w:val="21"/>
                <w:szCs w:val="21"/>
              </w:rPr>
              <w:t>）</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color w:val="000000"/>
                <w:sz w:val="21"/>
                <w:szCs w:val="21"/>
              </w:rPr>
            </w:pPr>
            <w:r>
              <w:rPr>
                <w:rFonts w:ascii="宋体" w:eastAsia="宋体" w:hAnsi="宋体" w:cs="宋体"/>
                <w:color w:val="000000"/>
                <w:sz w:val="21"/>
                <w:szCs w:val="21"/>
              </w:rPr>
              <w:t>501301</w:t>
            </w:r>
          </w:p>
        </w:tc>
      </w:tr>
      <w:tr w:rsidR="001C404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rPr>
                <w:color w:val="000000"/>
                <w:sz w:val="21"/>
                <w:szCs w:val="21"/>
              </w:rPr>
            </w:pPr>
            <w:r>
              <w:rPr>
                <w:rFonts w:ascii="宋体" w:eastAsia="宋体" w:hAnsi="宋体" w:cs="宋体"/>
                <w:color w:val="000000"/>
                <w:sz w:val="21"/>
                <w:szCs w:val="21"/>
              </w:rPr>
              <w:t>华宝港股通恒生中国（香港上市）</w:t>
            </w:r>
            <w:r>
              <w:rPr>
                <w:rFonts w:ascii="宋体" w:eastAsia="宋体" w:hAnsi="宋体" w:cs="宋体"/>
                <w:color w:val="000000"/>
                <w:sz w:val="21"/>
                <w:szCs w:val="21"/>
              </w:rPr>
              <w:t>30</w:t>
            </w:r>
            <w:r>
              <w:rPr>
                <w:rFonts w:ascii="宋体" w:eastAsia="宋体" w:hAnsi="宋体" w:cs="宋体"/>
                <w:color w:val="000000"/>
                <w:sz w:val="21"/>
                <w:szCs w:val="21"/>
              </w:rPr>
              <w:t>交易型开放式指数证</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券投资基金联接基金（</w:t>
            </w:r>
            <w:r>
              <w:rPr>
                <w:rFonts w:ascii="宋体" w:eastAsia="宋体" w:hAnsi="宋体" w:cs="宋体"/>
                <w:color w:val="000000"/>
                <w:sz w:val="21"/>
                <w:szCs w:val="21"/>
              </w:rPr>
              <w:t>LOF</w:t>
            </w:r>
            <w:r>
              <w:rPr>
                <w:rFonts w:ascii="宋体" w:eastAsia="宋体" w:hAnsi="宋体" w:cs="宋体"/>
                <w:color w:val="000000"/>
                <w:sz w:val="21"/>
                <w:szCs w:val="21"/>
              </w:rPr>
              <w:t>）</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color w:val="000000"/>
                <w:sz w:val="21"/>
                <w:szCs w:val="21"/>
              </w:rPr>
            </w:pPr>
            <w:r>
              <w:rPr>
                <w:rFonts w:ascii="宋体" w:eastAsia="宋体" w:hAnsi="宋体" w:cs="宋体"/>
                <w:color w:val="000000"/>
                <w:sz w:val="21"/>
                <w:szCs w:val="21"/>
              </w:rPr>
              <w:t>006355</w:t>
            </w:r>
          </w:p>
        </w:tc>
      </w:tr>
      <w:tr w:rsidR="001C404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rPr>
                <w:color w:val="000000"/>
                <w:sz w:val="21"/>
                <w:szCs w:val="21"/>
              </w:rPr>
            </w:pPr>
            <w:r>
              <w:rPr>
                <w:rFonts w:ascii="宋体" w:eastAsia="宋体" w:hAnsi="宋体" w:cs="宋体"/>
                <w:color w:val="000000"/>
                <w:sz w:val="21"/>
                <w:szCs w:val="21"/>
              </w:rPr>
              <w:t>华宝海外科技股票型证券投资基金（</w:t>
            </w:r>
            <w:r>
              <w:rPr>
                <w:rFonts w:ascii="宋体" w:eastAsia="宋体" w:hAnsi="宋体" w:cs="宋体"/>
                <w:color w:val="000000"/>
                <w:sz w:val="21"/>
                <w:szCs w:val="21"/>
              </w:rPr>
              <w:t>QDII-LOF</w:t>
            </w:r>
            <w:r>
              <w:rPr>
                <w:rFonts w:ascii="宋体" w:eastAsia="宋体" w:hAnsi="宋体" w:cs="宋体"/>
                <w:color w:val="000000"/>
                <w:sz w:val="21"/>
                <w:szCs w:val="21"/>
              </w:rPr>
              <w:t>）</w:t>
            </w:r>
            <w:r>
              <w:rPr>
                <w:rFonts w:ascii="宋体" w:eastAsia="宋体" w:hAnsi="宋体" w:cs="宋体"/>
                <w:color w:val="000000"/>
                <w:sz w:val="21"/>
                <w:szCs w:val="21"/>
              </w:rPr>
              <w:t xml:space="preserve">A </w:t>
            </w:r>
            <w:r>
              <w:rPr>
                <w:rFonts w:ascii="宋体" w:eastAsia="宋体" w:hAnsi="宋体" w:cs="宋体"/>
                <w:color w:val="000000"/>
                <w:sz w:val="21"/>
                <w:szCs w:val="21"/>
              </w:rPr>
              <w:br/>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color w:val="000000"/>
                <w:sz w:val="21"/>
                <w:szCs w:val="21"/>
              </w:rPr>
            </w:pPr>
            <w:r>
              <w:rPr>
                <w:rFonts w:ascii="宋体" w:eastAsia="宋体" w:hAnsi="宋体" w:cs="宋体"/>
                <w:color w:val="000000"/>
                <w:sz w:val="21"/>
                <w:szCs w:val="21"/>
              </w:rPr>
              <w:t>501312</w:t>
            </w:r>
          </w:p>
        </w:tc>
      </w:tr>
      <w:tr w:rsidR="001C404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rPr>
                <w:color w:val="000000"/>
                <w:sz w:val="21"/>
                <w:szCs w:val="21"/>
              </w:rPr>
            </w:pPr>
            <w:r>
              <w:rPr>
                <w:rFonts w:ascii="宋体" w:eastAsia="宋体" w:hAnsi="宋体" w:cs="宋体"/>
                <w:color w:val="000000"/>
                <w:sz w:val="21"/>
                <w:szCs w:val="21"/>
              </w:rPr>
              <w:t>华宝海外科技股票型证券投资基金（</w:t>
            </w:r>
            <w:r>
              <w:rPr>
                <w:rFonts w:ascii="宋体" w:eastAsia="宋体" w:hAnsi="宋体" w:cs="宋体"/>
                <w:color w:val="000000"/>
                <w:sz w:val="21"/>
                <w:szCs w:val="21"/>
              </w:rPr>
              <w:t>QDII-LOF</w:t>
            </w:r>
            <w:r>
              <w:rPr>
                <w:rFonts w:ascii="宋体" w:eastAsia="宋体" w:hAnsi="宋体" w:cs="宋体"/>
                <w:color w:val="000000"/>
                <w:sz w:val="21"/>
                <w:szCs w:val="21"/>
              </w:rPr>
              <w:t>）</w:t>
            </w:r>
            <w:r>
              <w:rPr>
                <w:rFonts w:ascii="宋体" w:eastAsia="宋体" w:hAnsi="宋体" w:cs="宋体"/>
                <w:color w:val="000000"/>
                <w:sz w:val="21"/>
                <w:szCs w:val="21"/>
              </w:rPr>
              <w:t xml:space="preserve">C </w:t>
            </w:r>
            <w:r>
              <w:rPr>
                <w:rFonts w:ascii="宋体" w:eastAsia="宋体" w:hAnsi="宋体" w:cs="宋体"/>
                <w:color w:val="000000"/>
                <w:sz w:val="21"/>
                <w:szCs w:val="21"/>
              </w:rPr>
              <w:br/>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C404B" w:rsidRDefault="00374CF3">
            <w:pPr>
              <w:jc w:val="center"/>
              <w:rPr>
                <w:color w:val="000000"/>
                <w:sz w:val="21"/>
                <w:szCs w:val="21"/>
              </w:rPr>
            </w:pPr>
            <w:r>
              <w:rPr>
                <w:rFonts w:ascii="宋体" w:eastAsia="宋体" w:hAnsi="宋体" w:cs="宋体"/>
                <w:color w:val="000000"/>
                <w:sz w:val="21"/>
                <w:szCs w:val="21"/>
              </w:rPr>
              <w:t>017204</w:t>
            </w:r>
          </w:p>
        </w:tc>
      </w:tr>
    </w:tbl>
    <w:p w:rsidR="001C404B" w:rsidRDefault="00374CF3">
      <w:pPr>
        <w:spacing w:before="210" w:after="210" w:line="560" w:lineRule="atLeast"/>
        <w:ind w:left="420"/>
        <w:rPr>
          <w:sz w:val="21"/>
          <w:szCs w:val="21"/>
        </w:rPr>
      </w:pPr>
      <w:r>
        <w:rPr>
          <w:rFonts w:ascii="宋体" w:eastAsia="宋体" w:hAnsi="宋体" w:cs="宋体"/>
          <w:sz w:val="21"/>
          <w:szCs w:val="21"/>
        </w:rPr>
        <w:t>二、投资者可到中航证券办理上述基金的开户、认购、申赎及其他业务。投资者可以通过以下途径了解或咨询相关情况：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中航证券有限公司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xml:space="preserve">: </w:t>
      </w:r>
      <w:r>
        <w:rPr>
          <w:rFonts w:ascii="宋体" w:eastAsia="宋体" w:hAnsi="宋体" w:cs="宋体"/>
          <w:sz w:val="21"/>
          <w:szCs w:val="21"/>
        </w:rPr>
        <w:t>4008866567</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www.avicsec.com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1C404B" w:rsidRDefault="00374CF3">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1C404B" w:rsidRDefault="00374CF3">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1C404B" w:rsidRDefault="00374CF3">
      <w:pPr>
        <w:spacing w:before="210" w:after="210" w:line="560" w:lineRule="atLeast"/>
        <w:jc w:val="right"/>
        <w:rPr>
          <w:sz w:val="21"/>
          <w:szCs w:val="21"/>
        </w:rPr>
      </w:pPr>
      <w:r>
        <w:rPr>
          <w:rFonts w:ascii="宋体" w:eastAsia="宋体" w:hAnsi="宋体" w:cs="宋体"/>
          <w:sz w:val="21"/>
          <w:szCs w:val="21"/>
        </w:rPr>
        <w:lastRenderedPageBreak/>
        <w:t>华宝基金管理有限公司</w:t>
      </w:r>
      <w:r>
        <w:rPr>
          <w:rFonts w:ascii="宋体" w:eastAsia="宋体" w:hAnsi="宋体" w:cs="宋体"/>
          <w:sz w:val="21"/>
          <w:szCs w:val="21"/>
        </w:rPr>
        <w:br/>
        <w:t>2026</w:t>
      </w:r>
      <w:r>
        <w:rPr>
          <w:rFonts w:ascii="宋体" w:eastAsia="宋体" w:hAnsi="宋体" w:cs="宋体"/>
          <w:sz w:val="21"/>
          <w:szCs w:val="21"/>
        </w:rPr>
        <w:t>年</w:t>
      </w:r>
      <w:r>
        <w:rPr>
          <w:rFonts w:ascii="宋体" w:eastAsia="宋体" w:hAnsi="宋体" w:cs="宋体"/>
          <w:sz w:val="21"/>
          <w:szCs w:val="21"/>
        </w:rPr>
        <w:t>01</w:t>
      </w:r>
      <w:r>
        <w:rPr>
          <w:rFonts w:ascii="宋体" w:eastAsia="宋体" w:hAnsi="宋体" w:cs="宋体"/>
          <w:sz w:val="21"/>
          <w:szCs w:val="21"/>
        </w:rPr>
        <w:t>月</w:t>
      </w:r>
      <w:r>
        <w:rPr>
          <w:rFonts w:ascii="宋体" w:eastAsia="宋体" w:hAnsi="宋体" w:cs="宋体"/>
          <w:sz w:val="21"/>
          <w:szCs w:val="21"/>
        </w:rPr>
        <w:t>26</w:t>
      </w:r>
      <w:r>
        <w:rPr>
          <w:rFonts w:ascii="宋体" w:eastAsia="宋体" w:hAnsi="宋体" w:cs="宋体"/>
          <w:sz w:val="21"/>
          <w:szCs w:val="21"/>
        </w:rPr>
        <w:t>日</w:t>
      </w:r>
      <w:r>
        <w:rPr>
          <w:rFonts w:ascii="宋体" w:eastAsia="宋体" w:hAnsi="宋体" w:cs="宋体"/>
          <w:sz w:val="21"/>
          <w:szCs w:val="21"/>
        </w:rPr>
        <w:t xml:space="preserve"> </w:t>
      </w:r>
    </w:p>
    <w:p w:rsidR="001C404B" w:rsidRDefault="001C404B">
      <w:pPr>
        <w:spacing w:before="240" w:after="240"/>
      </w:pPr>
    </w:p>
    <w:sectPr w:rsidR="001C404B" w:rsidSect="001C404B">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04B" w:rsidRDefault="001C404B" w:rsidP="001C404B">
      <w:r>
        <w:separator/>
      </w:r>
    </w:p>
  </w:endnote>
  <w:endnote w:type="continuationSeparator" w:id="0">
    <w:p w:rsidR="001C404B" w:rsidRDefault="001C404B" w:rsidP="001C4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4B" w:rsidRDefault="001C404B">
    <w:pPr>
      <w:jc w:val="center"/>
      <w:rPr>
        <w:sz w:val="20"/>
      </w:rPr>
    </w:pPr>
    <w:r>
      <w:rPr>
        <w:sz w:val="20"/>
      </w:rPr>
      <w:fldChar w:fldCharType="begin"/>
    </w:r>
    <w:r w:rsidR="00374CF3">
      <w:rPr>
        <w:rFonts w:ascii="宋体" w:eastAsia="宋体" w:hAnsi="宋体" w:cs="宋体"/>
        <w:sz w:val="20"/>
      </w:rPr>
      <w:instrText>PAGE</w:instrText>
    </w:r>
    <w:r>
      <w:rPr>
        <w:sz w:val="20"/>
      </w:rPr>
      <w:fldChar w:fldCharType="separate"/>
    </w:r>
    <w:r w:rsidR="00374CF3">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04B" w:rsidRDefault="001C404B" w:rsidP="001C404B">
      <w:r>
        <w:separator/>
      </w:r>
    </w:p>
  </w:footnote>
  <w:footnote w:type="continuationSeparator" w:id="0">
    <w:p w:rsidR="001C404B" w:rsidRDefault="001C404B" w:rsidP="001C40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C404B"/>
    <w:rsid w:val="00374CF3"/>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404B"/>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2026-01-25T16:00:00Z</dcterms:created>
  <dcterms:modified xsi:type="dcterms:W3CDTF">2026-01-25T16:00:00Z</dcterms:modified>
</cp:coreProperties>
</file>