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F7" w:rsidRDefault="008B5EFE">
      <w:pPr>
        <w:spacing w:line="300" w:lineRule="auto"/>
        <w:jc w:val="center"/>
        <w:rPr>
          <w:rFonts w:ascii="宋体" w:hAnsi="宋体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>永赢</w:t>
      </w:r>
      <w:r w:rsidR="006C05CF">
        <w:rPr>
          <w:rFonts w:ascii="宋体" w:hAnsi="宋体"/>
          <w:b/>
          <w:sz w:val="24"/>
          <w:szCs w:val="24"/>
          <w:lang w:eastAsia="zh-CN"/>
        </w:rPr>
        <w:t>高端装备智选</w:t>
      </w:r>
      <w:r>
        <w:rPr>
          <w:rFonts w:ascii="宋体" w:hAnsi="宋体"/>
          <w:b/>
          <w:sz w:val="24"/>
          <w:szCs w:val="24"/>
          <w:lang w:eastAsia="zh-CN"/>
        </w:rPr>
        <w:t>混合型发起式证券投资基金暂停个人投资者大额申购（含定期定额投资）、转换转入业务的公告</w:t>
      </w:r>
    </w:p>
    <w:p w:rsidR="005A35F7" w:rsidRDefault="008B5EFE">
      <w:pPr>
        <w:spacing w:line="360" w:lineRule="auto"/>
        <w:ind w:firstLine="480"/>
        <w:jc w:val="center"/>
      </w:pPr>
      <w:r>
        <w:rPr>
          <w:rFonts w:ascii="宋体" w:hAnsi="宋体" w:hint="eastAsia"/>
          <w:sz w:val="24"/>
          <w:szCs w:val="24"/>
        </w:rPr>
        <w:t>公告送出日期：</w:t>
      </w:r>
      <w:r w:rsidR="006C05CF">
        <w:rPr>
          <w:rFonts w:ascii="宋体" w:hAnsi="宋体"/>
          <w:sz w:val="24"/>
          <w:szCs w:val="24"/>
        </w:rPr>
        <w:t>2026</w:t>
      </w:r>
      <w:r>
        <w:rPr>
          <w:rFonts w:ascii="宋体" w:hAnsi="宋体"/>
          <w:sz w:val="24"/>
          <w:szCs w:val="24"/>
        </w:rPr>
        <w:t>年</w:t>
      </w:r>
      <w:r w:rsidR="006C05CF">
        <w:rPr>
          <w:rFonts w:ascii="宋体" w:hAnsi="宋体"/>
          <w:sz w:val="24"/>
          <w:szCs w:val="24"/>
        </w:rPr>
        <w:t>01</w:t>
      </w:r>
      <w:r>
        <w:rPr>
          <w:rFonts w:ascii="宋体" w:hAnsi="宋体"/>
          <w:sz w:val="24"/>
          <w:szCs w:val="24"/>
        </w:rPr>
        <w:t>月</w:t>
      </w:r>
      <w:r w:rsidR="00162AD4">
        <w:rPr>
          <w:rFonts w:ascii="宋体" w:hAnsi="宋体"/>
          <w:sz w:val="24"/>
          <w:szCs w:val="24"/>
        </w:rPr>
        <w:t>24</w:t>
      </w:r>
      <w:r>
        <w:rPr>
          <w:rFonts w:ascii="宋体" w:hAnsi="宋体"/>
          <w:sz w:val="24"/>
          <w:szCs w:val="24"/>
        </w:rPr>
        <w:t>日</w:t>
      </w:r>
    </w:p>
    <w:p w:rsidR="005A35F7" w:rsidRDefault="008B5EFE">
      <w:r>
        <w:rPr>
          <w:rFonts w:ascii="宋体" w:hAnsi="宋体" w:hint="eastAsia"/>
          <w:b/>
          <w:sz w:val="24"/>
          <w:szCs w:val="24"/>
        </w:rPr>
        <w:t xml:space="preserve">1 </w:t>
      </w:r>
      <w:proofErr w:type="spellStart"/>
      <w:r>
        <w:rPr>
          <w:rFonts w:ascii="宋体" w:hAnsi="宋体" w:hint="eastAsia"/>
          <w:b/>
          <w:sz w:val="24"/>
          <w:szCs w:val="24"/>
        </w:rPr>
        <w:t>公告基本信息</w:t>
      </w:r>
      <w:proofErr w:type="spellEnd"/>
    </w:p>
    <w:tbl>
      <w:tblPr>
        <w:tblOverlap w:val="never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64"/>
        <w:gridCol w:w="3425"/>
        <w:gridCol w:w="2583"/>
        <w:gridCol w:w="2584"/>
      </w:tblGrid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基金名称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混合型发起式证券投资基金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基金简称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混合发起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基金主代码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6C05C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015789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基金管理人名称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永赢基金管理有限公司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公告依据</w:t>
            </w:r>
            <w:proofErr w:type="spellEnd"/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《公开募集证券投资基金信息披露管理办法》、《永赢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混合型发起式证券投资基金基金合同》、《永赢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混合型发起式证券投资基金招募说明书》等相关文件的规定。</w:t>
            </w:r>
          </w:p>
        </w:tc>
      </w:tr>
      <w:tr w:rsidR="005A35F7">
        <w:trPr>
          <w:jc w:val="center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暂停相关业务的起始日、金额及原因说明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申购（含定期定额投资）起始日</w:t>
            </w:r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6C05CF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年0</w:t>
            </w:r>
            <w:r w:rsidR="006C05CF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 w:rsidR="00162AD4">
              <w:rPr>
                <w:rFonts w:ascii="宋体" w:hAnsi="宋体"/>
                <w:sz w:val="24"/>
                <w:szCs w:val="24"/>
              </w:rPr>
              <w:t>27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5A35F7">
        <w:trPr>
          <w:jc w:val="center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5A35F7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转换转入起始日</w:t>
            </w:r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6C05CF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年0</w:t>
            </w:r>
            <w:r w:rsidR="006C05CF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 w:rsidR="00162AD4">
              <w:rPr>
                <w:rFonts w:ascii="宋体" w:hAnsi="宋体"/>
                <w:sz w:val="24"/>
                <w:szCs w:val="24"/>
              </w:rPr>
              <w:t>27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5A35F7">
        <w:trPr>
          <w:jc w:val="center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5A35F7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申购（含定期定额投资）金额（单位：人民币元）</w:t>
            </w:r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6C05CF" w:rsidP="006C05C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8B5EFE">
              <w:rPr>
                <w:rFonts w:ascii="宋体" w:hAnsi="宋体"/>
                <w:sz w:val="24"/>
                <w:szCs w:val="24"/>
              </w:rPr>
              <w:t>00,000.00</w:t>
            </w:r>
          </w:p>
        </w:tc>
      </w:tr>
      <w:tr w:rsidR="005A35F7">
        <w:trPr>
          <w:jc w:val="center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5A35F7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转换转入金额（单位：人民币元）</w:t>
            </w:r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6C05CF" w:rsidP="006C05C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8B5EFE">
              <w:rPr>
                <w:rFonts w:ascii="宋体" w:hAnsi="宋体"/>
                <w:sz w:val="24"/>
                <w:szCs w:val="24"/>
              </w:rPr>
              <w:t>00,000.00</w:t>
            </w:r>
          </w:p>
        </w:tc>
      </w:tr>
      <w:tr w:rsidR="005A35F7">
        <w:trPr>
          <w:jc w:val="center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5A35F7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申购（含定期定额投资）、转换转入的原因说明</w:t>
            </w:r>
          </w:p>
        </w:tc>
        <w:tc>
          <w:tcPr>
            <w:tcW w:w="8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为保护基金份额持有人利益。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下属基金份额类别的基金简称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混合发起A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</w:t>
            </w:r>
            <w:r w:rsidR="006C05CF">
              <w:rPr>
                <w:rFonts w:ascii="宋体" w:hAnsi="宋体"/>
                <w:sz w:val="24"/>
                <w:szCs w:val="24"/>
                <w:lang w:eastAsia="zh-CN"/>
              </w:rPr>
              <w:t>高端装备智选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混合发起C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下属基金份额类别的交易代码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6C05C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015789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6C05C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6C05CF">
              <w:rPr>
                <w:rFonts w:ascii="宋体" w:hAnsi="宋体"/>
                <w:sz w:val="24"/>
                <w:szCs w:val="24"/>
              </w:rPr>
              <w:t>015790</w:t>
            </w:r>
          </w:p>
        </w:tc>
      </w:tr>
      <w:tr w:rsidR="005A35F7">
        <w:trPr>
          <w:jc w:val="center"/>
        </w:trPr>
        <w:tc>
          <w:tcPr>
            <w:tcW w:w="7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该基金份额类别是否暂停大额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5F7" w:rsidRDefault="008B5EFE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</w:tr>
    </w:tbl>
    <w:p w:rsidR="005A35F7" w:rsidRDefault="008B5EFE">
      <w:pPr>
        <w:spacing w:line="360" w:lineRule="auto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注：上述限额如有变化，本基金管理人将另行公告。</w:t>
      </w:r>
    </w:p>
    <w:p w:rsidR="005A35F7" w:rsidRDefault="008B5EFE">
      <w:pPr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 xml:space="preserve">2 </w:t>
      </w:r>
      <w:r>
        <w:rPr>
          <w:rFonts w:ascii="宋体" w:hAnsi="宋体" w:hint="eastAsia"/>
          <w:b/>
          <w:sz w:val="24"/>
          <w:szCs w:val="24"/>
          <w:lang w:eastAsia="zh-CN"/>
        </w:rPr>
        <w:t>其他需要提示的事项</w:t>
      </w:r>
    </w:p>
    <w:p w:rsidR="005A35F7" w:rsidRDefault="008B5EFE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（1）自202</w:t>
      </w:r>
      <w:r w:rsidR="006C05CF">
        <w:rPr>
          <w:rFonts w:ascii="宋体" w:hAnsi="宋体" w:cs="宋体"/>
          <w:color w:val="000000"/>
          <w:sz w:val="24"/>
          <w:lang w:eastAsia="zh-CN"/>
        </w:rPr>
        <w:t>6</w:t>
      </w:r>
      <w:r>
        <w:rPr>
          <w:rFonts w:ascii="宋体" w:hAnsi="宋体" w:cs="宋体"/>
          <w:color w:val="000000"/>
          <w:sz w:val="24"/>
          <w:lang w:eastAsia="zh-CN"/>
        </w:rPr>
        <w:t>年0</w:t>
      </w:r>
      <w:r w:rsidR="006C05CF">
        <w:rPr>
          <w:rFonts w:ascii="宋体" w:hAnsi="宋体" w:cs="宋体"/>
          <w:color w:val="000000"/>
          <w:sz w:val="24"/>
          <w:lang w:eastAsia="zh-CN"/>
        </w:rPr>
        <w:t>1</w:t>
      </w:r>
      <w:r>
        <w:rPr>
          <w:rFonts w:ascii="宋体" w:hAnsi="宋体" w:cs="宋体"/>
          <w:color w:val="000000"/>
          <w:sz w:val="24"/>
          <w:lang w:eastAsia="zh-CN"/>
        </w:rPr>
        <w:t>月</w:t>
      </w:r>
      <w:r w:rsidR="00162AD4">
        <w:rPr>
          <w:rFonts w:ascii="宋体" w:hAnsi="宋体" w:cs="宋体" w:hint="eastAsia"/>
          <w:color w:val="000000"/>
          <w:sz w:val="24"/>
          <w:lang w:eastAsia="zh-CN"/>
        </w:rPr>
        <w:t>2</w:t>
      </w:r>
      <w:r w:rsidR="00162AD4">
        <w:rPr>
          <w:rFonts w:ascii="宋体" w:hAnsi="宋体" w:cs="宋体"/>
          <w:color w:val="000000"/>
          <w:sz w:val="24"/>
          <w:lang w:eastAsia="zh-CN"/>
        </w:rPr>
        <w:t>7</w:t>
      </w:r>
      <w:r>
        <w:rPr>
          <w:rFonts w:ascii="宋体" w:hAnsi="宋体" w:cs="宋体"/>
          <w:color w:val="000000"/>
          <w:sz w:val="24"/>
          <w:lang w:eastAsia="zh-CN"/>
        </w:rPr>
        <w:t>日起，个人投资者办理本基金（A类及C类份额合并计算）的申购（含定期定额投资）、转换转入业务时，如单日单个基金账户单笔申请金额高于</w:t>
      </w:r>
      <w:r w:rsidR="006C05CF">
        <w:rPr>
          <w:rFonts w:ascii="宋体" w:hAnsi="宋体" w:cs="宋体"/>
          <w:color w:val="000000"/>
          <w:sz w:val="24"/>
          <w:lang w:eastAsia="zh-CN"/>
        </w:rPr>
        <w:t>5</w:t>
      </w:r>
      <w:r>
        <w:rPr>
          <w:rFonts w:ascii="宋体" w:hAnsi="宋体" w:cs="宋体"/>
          <w:color w:val="000000"/>
          <w:sz w:val="24"/>
          <w:lang w:eastAsia="zh-CN"/>
        </w:rPr>
        <w:t>00,000.00元（不含），本基金管理人有权全部或部分确认失败；如单日单个基金账户多笔累计申请金额高于</w:t>
      </w:r>
      <w:r w:rsidR="006C05CF">
        <w:rPr>
          <w:rFonts w:ascii="宋体" w:hAnsi="宋体" w:cs="宋体"/>
          <w:color w:val="000000"/>
          <w:sz w:val="24"/>
          <w:lang w:eastAsia="zh-CN"/>
        </w:rPr>
        <w:t>5</w:t>
      </w:r>
      <w:r>
        <w:rPr>
          <w:rFonts w:ascii="宋体" w:hAnsi="宋体" w:cs="宋体"/>
          <w:color w:val="000000"/>
          <w:sz w:val="24"/>
          <w:lang w:eastAsia="zh-CN"/>
        </w:rPr>
        <w:t>00,000.00元（不含），则对申请按照申请金额从大到小排序，逐笔累加至符合不超过</w:t>
      </w:r>
      <w:r w:rsidR="006C05CF">
        <w:rPr>
          <w:rFonts w:ascii="宋体" w:hAnsi="宋体" w:cs="宋体"/>
          <w:color w:val="000000"/>
          <w:sz w:val="24"/>
          <w:lang w:eastAsia="zh-CN"/>
        </w:rPr>
        <w:t>5</w:t>
      </w:r>
      <w:r>
        <w:rPr>
          <w:rFonts w:ascii="宋体" w:hAnsi="宋体" w:cs="宋体"/>
          <w:color w:val="000000"/>
          <w:sz w:val="24"/>
          <w:lang w:eastAsia="zh-CN"/>
        </w:rPr>
        <w:t>00,000.00元限额的申请确认成功，其余笔数本基金管理人有权全部或部分确认失败。机构投资者办理本基金的申购（含定期定额投资）、转换转入业务，不设限额金额。</w:t>
      </w:r>
    </w:p>
    <w:p w:rsidR="005A35F7" w:rsidRDefault="008B5EFE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lastRenderedPageBreak/>
        <w:t>（2）在上述期间的交易日，本基金赎回、转换转出业务仍照常办理。本基金恢复个人投资者正常申购（含定期定额投资）、转换转入业务的具体时间将另行公告。</w:t>
      </w:r>
    </w:p>
    <w:p w:rsidR="005A35F7" w:rsidRDefault="008B5EFE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（3）如有疑问，请拨打本公司客户服务电话400-805-8888，或登录本公司网站www.maxwealthfund.com获取相关信息。</w:t>
      </w:r>
    </w:p>
    <w:p w:rsidR="005A35F7" w:rsidRDefault="008B5EFE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风险揭示：本基金管理人承诺以诚实信用、勤勉尽责的原则管理和运用基金资产,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5A35F7" w:rsidRDefault="008B5EFE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特此公告。</w:t>
      </w:r>
    </w:p>
    <w:p w:rsidR="005A35F7" w:rsidRDefault="005A35F7">
      <w:pPr>
        <w:rPr>
          <w:lang w:eastAsia="zh-CN"/>
        </w:rPr>
      </w:pPr>
    </w:p>
    <w:p w:rsidR="005A35F7" w:rsidRDefault="008B5EFE">
      <w:pPr>
        <w:spacing w:line="360" w:lineRule="auto"/>
        <w:ind w:firstLine="480"/>
        <w:jc w:val="right"/>
        <w:rPr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永赢基金管理有限公司</w:t>
      </w:r>
    </w:p>
    <w:p w:rsidR="005A35F7" w:rsidRDefault="008B5EFE">
      <w:pPr>
        <w:spacing w:line="360" w:lineRule="auto"/>
        <w:ind w:firstLine="480"/>
        <w:jc w:val="right"/>
      </w:pPr>
      <w:r>
        <w:rPr>
          <w:rFonts w:ascii="宋体" w:hAnsi="宋体"/>
          <w:sz w:val="24"/>
          <w:szCs w:val="24"/>
        </w:rPr>
        <w:t>202</w:t>
      </w:r>
      <w:r w:rsidR="006C05CF"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年0</w:t>
      </w:r>
      <w:r w:rsidR="006C05CF"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月</w:t>
      </w:r>
      <w:r w:rsidR="00162AD4">
        <w:rPr>
          <w:rFonts w:ascii="宋体" w:hAnsi="宋体"/>
          <w:sz w:val="24"/>
          <w:szCs w:val="24"/>
        </w:rPr>
        <w:t>24</w:t>
      </w:r>
      <w:r>
        <w:rPr>
          <w:rFonts w:ascii="宋体" w:hAnsi="宋体"/>
          <w:sz w:val="24"/>
          <w:szCs w:val="24"/>
        </w:rPr>
        <w:t>日</w:t>
      </w:r>
    </w:p>
    <w:sectPr w:rsidR="005A35F7">
      <w:footerReference w:type="default" r:id="rId7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F3" w:rsidRDefault="001035F3">
      <w:r>
        <w:separator/>
      </w:r>
    </w:p>
  </w:endnote>
  <w:endnote w:type="continuationSeparator" w:id="0">
    <w:p w:rsidR="001035F3" w:rsidRDefault="0010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F7" w:rsidRDefault="005A35F7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F3" w:rsidRDefault="001035F3">
      <w:r>
        <w:separator/>
      </w:r>
    </w:p>
  </w:footnote>
  <w:footnote w:type="continuationSeparator" w:id="0">
    <w:p w:rsidR="001035F3" w:rsidRDefault="00103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F7"/>
    <w:rsid w:val="001035F3"/>
    <w:rsid w:val="00162AD4"/>
    <w:rsid w:val="003A2DFB"/>
    <w:rsid w:val="005A35F7"/>
    <w:rsid w:val="00614A48"/>
    <w:rsid w:val="006C05CF"/>
    <w:rsid w:val="007C08AD"/>
    <w:rsid w:val="008B5EFE"/>
    <w:rsid w:val="00A17354"/>
    <w:rsid w:val="00B2520C"/>
    <w:rsid w:val="00BD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  <w:rPr>
      <w:sz w:val="20"/>
    </w:r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annotation subject"/>
    <w:basedOn w:val="a4"/>
    <w:next w:val="a4"/>
    <w:link w:val="af6"/>
    <w:uiPriority w:val="99"/>
    <w:semiHidden/>
    <w:unhideWhenUsed/>
    <w:rPr>
      <w:b/>
      <w:bCs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uiPriority w:val="99"/>
    <w:semiHidden/>
    <w:unhideWhenUsed/>
    <w:rPr>
      <w:sz w:val="21"/>
      <w:szCs w:val="21"/>
    </w:rPr>
  </w:style>
  <w:style w:type="character" w:styleId="afb">
    <w:name w:val="footnote reference"/>
    <w:uiPriority w:val="99"/>
    <w:unhideWhenUsed/>
    <w:rPr>
      <w:vertAlign w:val="superscript"/>
    </w:rPr>
  </w:style>
  <w:style w:type="character" w:customStyle="1" w:styleId="CaptionChar">
    <w:name w:val="Caption Char"/>
    <w:uiPriority w:val="99"/>
    <w:qFormat/>
  </w:style>
  <w:style w:type="character" w:customStyle="1" w:styleId="a7">
    <w:name w:val="尾注文本 字符"/>
    <w:link w:val="a6"/>
    <w:uiPriority w:val="99"/>
    <w:rPr>
      <w:sz w:val="20"/>
    </w:rPr>
  </w:style>
  <w:style w:type="character" w:customStyle="1" w:styleId="10">
    <w:name w:val="标题 1 字符"/>
    <w:link w:val="1"/>
    <w:uiPriority w:val="9"/>
    <w:qFormat/>
    <w:rPr>
      <w:rFonts w:ascii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hAnsi="Arial" w:cs="Arial"/>
      <w:i/>
      <w:iCs/>
      <w:sz w:val="21"/>
      <w:szCs w:val="21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rPr>
      <w:rFonts w:ascii="Calibri" w:hAnsi="Calibri" w:cs="Times New Roman"/>
      <w:sz w:val="22"/>
      <w:szCs w:val="22"/>
      <w:lang w:eastAsia="en-US"/>
    </w:rPr>
  </w:style>
  <w:style w:type="character" w:customStyle="1" w:styleId="af4">
    <w:name w:val="标题 字符"/>
    <w:link w:val="af3"/>
    <w:uiPriority w:val="10"/>
    <w:qFormat/>
    <w:rPr>
      <w:sz w:val="48"/>
      <w:szCs w:val="48"/>
    </w:rPr>
  </w:style>
  <w:style w:type="character" w:customStyle="1" w:styleId="af">
    <w:name w:val="副标题 字符"/>
    <w:link w:val="ae"/>
    <w:uiPriority w:val="11"/>
    <w:qFormat/>
    <w:rPr>
      <w:sz w:val="24"/>
      <w:szCs w:val="24"/>
    </w:rPr>
  </w:style>
  <w:style w:type="paragraph" w:styleId="afe">
    <w:name w:val="Quote"/>
    <w:basedOn w:val="a"/>
    <w:next w:val="a"/>
    <w:link w:val="aff"/>
    <w:uiPriority w:val="29"/>
    <w:qFormat/>
    <w:pPr>
      <w:ind w:left="720" w:right="720"/>
    </w:pPr>
    <w:rPr>
      <w:i/>
    </w:rPr>
  </w:style>
  <w:style w:type="character" w:customStyle="1" w:styleId="aff">
    <w:name w:val="引用 字符"/>
    <w:link w:val="afe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f1">
    <w:name w:val="明显引用 字符"/>
    <w:link w:val="aff0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0">
    <w:name w:val="无格式表格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0">
    <w:name w:val="无格式表格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0">
    <w:name w:val="无格式表格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0">
    <w:name w:val="无格式表格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0">
    <w:name w:val="无格式表格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1">
    <w:name w:val="网格表 1 浅色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1">
    <w:name w:val="网格表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1">
    <w:name w:val="网格表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1">
    <w:name w:val="网格表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BC2" w:fill="5D8AC2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795" w:fill="D9969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BBB59" w:fill="9ABB59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1">
    <w:name w:val="网格表 5 深色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napToGrid/>
      </w:pPr>
      <w:tblPr/>
      <w:tcPr>
        <w:shd w:val="clear" w:color="898989" w:fill="8A8A8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pPr>
        <w:snapToGrid/>
      </w:pPr>
      <w:tblPr/>
      <w:tcPr>
        <w:shd w:val="clear" w:color="AEC5E0" w:fill="AEC4E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4E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pPr>
        <w:snapToGrid/>
      </w:pPr>
      <w:tblPr/>
      <w:tcPr>
        <w:shd w:val="clear" w:color="E2AEAD" w:fill="E2AEA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pPr>
        <w:snapToGrid/>
      </w:pPr>
      <w:tblPr/>
      <w:tcPr>
        <w:shd w:val="clear" w:color="D1DFB2" w:fill="D0DFB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0DFB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pPr>
        <w:snapToGrid/>
      </w:pPr>
      <w:tblPr/>
      <w:tcPr>
        <w:shd w:val="clear" w:color="C4B7D4" w:fill="C4B7D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pPr>
        <w:snapToGrid/>
      </w:pPr>
      <w:tblPr/>
      <w:tcPr>
        <w:shd w:val="clear" w:color="ACD8E4" w:fill="ACD8E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pPr>
        <w:snapToGrid/>
      </w:pPr>
      <w:tblPr/>
      <w:tcPr>
        <w:shd w:val="clear" w:color="FBCEAA" w:fill="FBCEA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0">
    <w:name w:val="网格表 6 彩色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b/>
        <w:color w:val="7F7F7F"/>
      </w:rPr>
    </w:tblStylePr>
    <w:tblStylePr w:type="firstCol">
      <w:pPr>
        <w:snapToGrid/>
      </w:pPr>
      <w:rPr>
        <w:b/>
        <w:color w:val="7F7F7F"/>
      </w:rPr>
    </w:tblStylePr>
    <w:tblStylePr w:type="lastCol">
      <w:pPr>
        <w:snapToGrid/>
      </w:pPr>
      <w:rPr>
        <w:b/>
        <w:color w:val="7F7F7F"/>
      </w:rPr>
    </w:tblStylePr>
    <w:tblStylePr w:type="band1Vert">
      <w:pPr>
        <w:snapToGrid/>
      </w:p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CACACA" w:fill="CBCBCB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>
        <w:snapToGrid/>
      </w:pPr>
      <w:rPr>
        <w:b/>
        <w:color w:val="A6BFDD"/>
      </w:rPr>
    </w:tblStylePr>
    <w:tblStylePr w:type="firstCol">
      <w:pPr>
        <w:snapToGrid/>
      </w:pPr>
      <w:rPr>
        <w:b/>
        <w:color w:val="A6BFDD"/>
      </w:rPr>
    </w:tblStylePr>
    <w:tblStylePr w:type="lastCol">
      <w:pPr>
        <w:snapToGrid/>
      </w:pPr>
      <w:rPr>
        <w:b/>
        <w:color w:val="A6BFDD"/>
      </w:rPr>
    </w:tblStylePr>
    <w:tblStylePr w:type="band1Vert">
      <w:pPr>
        <w:snapToGrid/>
      </w:p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BE5F1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b/>
        <w:color w:val="D99695"/>
      </w:r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>
        <w:snapToGrid/>
      </w:pPr>
      <w:rPr>
        <w:b/>
        <w:color w:val="9ABB59"/>
      </w:rPr>
    </w:tblStylePr>
    <w:tblStylePr w:type="firstCol">
      <w:pPr>
        <w:snapToGrid/>
      </w:pPr>
      <w:rPr>
        <w:b/>
        <w:color w:val="9ABB59"/>
      </w:rPr>
    </w:tblStylePr>
    <w:tblStylePr w:type="lastCol">
      <w:pPr>
        <w:snapToGrid/>
      </w:pPr>
      <w:rPr>
        <w:b/>
        <w:color w:val="9ABB59"/>
      </w:rPr>
    </w:tblStylePr>
    <w:tblStylePr w:type="band1Vert">
      <w:pPr>
        <w:snapToGrid/>
      </w:p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AF1DD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b/>
        <w:color w:val="B2A1C6"/>
      </w:r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FDE9D9" w:fill="FDE9D8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0">
    <w:name w:val="网格表 7 彩色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F1F1F1" w:fill="F2F2F2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BE5F1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AF1DD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/>
        <w:sz w:val="22"/>
      </w:rPr>
      <w:tblPr/>
      <w:tcPr>
        <w:shd w:val="clear" w:color="FDE9D9" w:fill="FDE9D8"/>
      </w:tcPr>
    </w:tblStylePr>
    <w:tblStylePr w:type="band2Horz">
      <w:pPr>
        <w:snapToGrid/>
      </w:pPr>
      <w:rPr>
        <w:rFonts w:ascii="Arial" w:hAnsi="Arial"/>
        <w:color w:val="B15407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2">
    <w:name w:val="清单表 1 浅色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2">
    <w:name w:val="清单表 21"/>
    <w:basedOn w:val="a1"/>
    <w:uiPriority w:val="99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2">
    <w:name w:val="清单表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B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2">
    <w:name w:val="清单表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2">
    <w:name w:val="清单表 5 深色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E7E7E" w:fill="7F7F7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7E7E7E" w:fill="7F7F7F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795" w:fill="D9969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D99795" w:fill="D99695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795" w:fill="D99695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795" w:fill="D99695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C" w:fill="C3D69B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C3D69C" w:fill="C3D69B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C" w:fill="C3D69B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C" w:fill="C3D69B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1">
    <w:name w:val="清单表 6 彩色1"/>
    <w:basedOn w:val="a1"/>
    <w:uiPriority w:val="99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pPr>
        <w:snapToGrid/>
      </w:pPr>
      <w:rPr>
        <w:b/>
        <w:color w:val="2A4A71"/>
      </w:rPr>
    </w:tblStylePr>
    <w:tblStylePr w:type="lastCol">
      <w:pPr>
        <w:snapToGrid/>
      </w:pPr>
      <w:rPr>
        <w:b/>
        <w:color w:val="2A4A71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>
        <w:snapToGrid/>
      </w:pPr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EFD3D2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pPr>
        <w:snapToGrid/>
      </w:pPr>
      <w:rPr>
        <w:b/>
        <w:color w:val="C3D69B"/>
      </w:rPr>
    </w:tblStylePr>
    <w:tblStylePr w:type="lastCol">
      <w:pPr>
        <w:snapToGrid/>
      </w:pPr>
      <w:rPr>
        <w:b/>
        <w:color w:val="C3D69B"/>
      </w:r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5EDD5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>
        <w:snapToGrid/>
      </w:pPr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>
        <w:snapToGrid/>
      </w:pPr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pPr>
        <w:snapToGrid/>
      </w:pPr>
      <w:rPr>
        <w:b/>
        <w:color w:val="92CCDC"/>
      </w:rPr>
    </w:tblStylePr>
    <w:tblStylePr w:type="lastCol">
      <w:pPr>
        <w:snapToGrid/>
      </w:pPr>
      <w:rPr>
        <w:b/>
        <w:color w:val="92CCDC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pPr>
        <w:snapToGrid/>
      </w:pPr>
      <w:rPr>
        <w:b/>
        <w:color w:val="FAC090"/>
      </w:rPr>
    </w:tblStylePr>
    <w:tblStylePr w:type="lastCol">
      <w:pPr>
        <w:snapToGrid/>
      </w:pPr>
      <w:rPr>
        <w:b/>
        <w:color w:val="FAC090"/>
      </w:r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FCE4D0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1">
    <w:name w:val="清单表 7 彩色1"/>
    <w:basedOn w:val="a1"/>
    <w:uiPriority w:val="99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EFD3D2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5EDD5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FCE4D0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af1">
    <w:name w:val="脚注文本 字符"/>
    <w:link w:val="af0"/>
    <w:uiPriority w:val="99"/>
    <w:rPr>
      <w:sz w:val="18"/>
    </w:rPr>
  </w:style>
  <w:style w:type="paragraph" w:customStyle="1" w:styleId="TOC1">
    <w:name w:val="TOC 标题1"/>
    <w:uiPriority w:val="39"/>
    <w:unhideWhenUsed/>
    <w:rPr>
      <w:rFonts w:ascii="Calibri" w:hAnsi="Calibri" w:cs="Times New Roman"/>
      <w:sz w:val="22"/>
      <w:szCs w:val="22"/>
      <w:lang w:eastAsia="en-US"/>
    </w:rPr>
  </w:style>
  <w:style w:type="character" w:customStyle="1" w:styleId="ad">
    <w:name w:val="页眉 字符"/>
    <w:link w:val="ac"/>
    <w:uiPriority w:val="99"/>
    <w:qFormat/>
    <w:rPr>
      <w:rFonts w:cs="Times New Roman"/>
      <w:sz w:val="18"/>
      <w:szCs w:val="18"/>
    </w:rPr>
  </w:style>
  <w:style w:type="character" w:customStyle="1" w:styleId="ab">
    <w:name w:val="页脚 字符"/>
    <w:link w:val="aa"/>
    <w:uiPriority w:val="99"/>
    <w:rPr>
      <w:rFonts w:cs="Times New Roman"/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rFonts w:cs="Times New Roman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Pr>
      <w:rFonts w:cs="Times New Roman"/>
      <w:sz w:val="22"/>
      <w:szCs w:val="22"/>
    </w:rPr>
  </w:style>
  <w:style w:type="character" w:customStyle="1" w:styleId="af6">
    <w:name w:val="批注主题 字符"/>
    <w:link w:val="af5"/>
    <w:uiPriority w:val="99"/>
    <w:semiHidden/>
    <w:rPr>
      <w:rFonts w:cs="Times New Roman"/>
      <w:b/>
      <w:bCs/>
      <w:sz w:val="22"/>
      <w:szCs w:val="22"/>
    </w:rPr>
  </w:style>
  <w:style w:type="paragraph" w:customStyle="1" w:styleId="12">
    <w:name w:val="修订1"/>
    <w:hidden/>
    <w:uiPriority w:val="99"/>
    <w:semiHidden/>
    <w:rPr>
      <w:rFonts w:ascii="Calibri" w:hAnsi="Calibri" w:cs="Times New Roman"/>
      <w:sz w:val="21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4</DocSecurity>
  <Lines>8</Lines>
  <Paragraphs>2</Paragraphs>
  <ScaleCrop>false</ScaleCrop>
  <Company>china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dcterms:created xsi:type="dcterms:W3CDTF">2026-01-23T16:01:00Z</dcterms:created>
  <dcterms:modified xsi:type="dcterms:W3CDTF">2026-01-23T16:01:00Z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17929CAEFA4F4F0C932F1D9C28BC1A9D_12</vt:lpwstr>
  </property>
</Properties>
</file>