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564676">
      <w:pPr>
        <w:pStyle w:val="XBRL2"/>
        <w:spacing w:before="156"/>
      </w:pPr>
      <w:bookmarkStart w:id="0" w:name="_Toc510201001"/>
      <w:bookmarkEnd w:id="0"/>
      <w:r>
        <w:t xml:space="preserve">　</w:t>
      </w:r>
      <w:r>
        <w:t xml:space="preserve"> </w:t>
      </w:r>
    </w:p>
    <w:p w:rsidR="00000000" w:rsidRDefault="00564676">
      <w:pPr>
        <w:jc w:val="center"/>
        <w:rPr>
          <w:rFonts w:cs="Times New Roman" w:hint="eastAsia"/>
          <w:b/>
          <w:sz w:val="48"/>
          <w:szCs w:val="48"/>
        </w:rPr>
      </w:pPr>
      <w:r>
        <w:rPr>
          <w:rFonts w:cs="Times New Roman" w:hint="eastAsia"/>
          <w:b/>
          <w:sz w:val="48"/>
          <w:szCs w:val="48"/>
        </w:rPr>
        <w:t>工银瑞信科技智选混合型证券投资基金</w:t>
      </w:r>
    </w:p>
    <w:p w:rsidR="00000000" w:rsidRDefault="00564676">
      <w:pPr>
        <w:jc w:val="center"/>
      </w:pPr>
      <w:r>
        <w:rPr>
          <w:rFonts w:cs="Times New Roman" w:hint="eastAsia"/>
          <w:b/>
          <w:sz w:val="48"/>
          <w:szCs w:val="48"/>
        </w:rPr>
        <w:t>基金合同生效公告</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564676">
      <w:pPr>
        <w:spacing w:line="360" w:lineRule="auto"/>
        <w:jc w:val="center"/>
        <w:rPr>
          <w:rFonts w:hint="eastAsia"/>
        </w:rPr>
      </w:pPr>
      <w:r>
        <w:rPr>
          <w:rFonts w:hint="eastAsia"/>
          <w:b/>
          <w:bCs/>
          <w:sz w:val="24"/>
          <w:szCs w:val="30"/>
        </w:rPr>
        <w:t>公告送出日期：</w:t>
      </w:r>
      <w:r>
        <w:rPr>
          <w:rFonts w:hint="eastAsia"/>
          <w:b/>
          <w:bCs/>
          <w:sz w:val="24"/>
          <w:szCs w:val="30"/>
        </w:rPr>
        <w:t>2026</w:t>
      </w:r>
      <w:r>
        <w:rPr>
          <w:rFonts w:hint="eastAsia"/>
          <w:b/>
          <w:bCs/>
          <w:sz w:val="24"/>
          <w:szCs w:val="30"/>
        </w:rPr>
        <w:t>年</w:t>
      </w:r>
      <w:r>
        <w:rPr>
          <w:rFonts w:hint="eastAsia"/>
          <w:b/>
          <w:bCs/>
          <w:sz w:val="24"/>
          <w:szCs w:val="30"/>
        </w:rPr>
        <w:t>1</w:t>
      </w:r>
      <w:r>
        <w:rPr>
          <w:rFonts w:hint="eastAsia"/>
          <w:b/>
          <w:bCs/>
          <w:sz w:val="24"/>
          <w:szCs w:val="30"/>
        </w:rPr>
        <w:t>月</w:t>
      </w:r>
      <w:r>
        <w:rPr>
          <w:rFonts w:hint="eastAsia"/>
          <w:b/>
          <w:bCs/>
          <w:sz w:val="24"/>
          <w:szCs w:val="30"/>
        </w:rPr>
        <w:t>24</w:t>
      </w:r>
      <w:r>
        <w:rPr>
          <w:rFonts w:hint="eastAsia"/>
          <w:b/>
          <w:bCs/>
          <w:sz w:val="24"/>
          <w:szCs w:val="30"/>
        </w:rPr>
        <w:t>日</w:t>
      </w:r>
    </w:p>
    <w:p w:rsidR="00000000" w:rsidRDefault="00564676">
      <w:pPr>
        <w:pStyle w:val="XBRLTitle1"/>
        <w:spacing w:before="156"/>
        <w:jc w:val="left"/>
        <w:rPr>
          <w:rFonts w:hint="eastAsia"/>
        </w:rPr>
      </w:pPr>
      <w:r>
        <w:rPr>
          <w:rFonts w:hint="eastAsia"/>
          <w:b w:val="0"/>
          <w:bCs w:val="0"/>
          <w:color w:val="404040"/>
          <w:kern w:val="0"/>
        </w:rPr>
        <w:br w:type="page"/>
      </w:r>
      <w:bookmarkStart w:id="1" w:name="_Toc490050000"/>
      <w:bookmarkStart w:id="2" w:name="_Toc34322059"/>
      <w:bookmarkStart w:id="3" w:name="_Toc17898178"/>
      <w:bookmarkStart w:id="4" w:name="_Toc438646451"/>
      <w:bookmarkStart w:id="5" w:name="_Toc17897936"/>
      <w:bookmarkStart w:id="6" w:name="_Toc513295892"/>
      <w:bookmarkStart w:id="7" w:name="_Toc513295846"/>
      <w:bookmarkStart w:id="8" w:name="_Toc481075046"/>
      <w:bookmarkStart w:id="9" w:name="_Toc512519480"/>
      <w:bookmarkStart w:id="10" w:name="m101"/>
      <w:bookmarkStart w:id="11" w:name="m01_01"/>
      <w:bookmarkStart w:id="12" w:name="_Toc194311890"/>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1"/>
        <w:gridCol w:w="3020"/>
        <w:gridCol w:w="3020"/>
      </w:tblGrid>
      <w:tr w:rsidR="00000000">
        <w:trPr>
          <w:trHeight w:val="64"/>
        </w:trPr>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szCs w:val="24"/>
                <w:lang/>
              </w:rPr>
              <w:t>工银瑞信科技智选混合型证券投资基金</w:t>
            </w:r>
            <w:r>
              <w:rPr>
                <w:rFonts w:hint="eastAsia"/>
                <w:lang/>
              </w:rPr>
              <w:t xml:space="preserve"> </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lang/>
              </w:rPr>
              <w:t>工银科技智选混合</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szCs w:val="24"/>
                <w:lang/>
              </w:rPr>
              <w:t>026212</w:t>
            </w:r>
            <w:r>
              <w:rPr>
                <w:rFonts w:hint="eastAsia"/>
                <w:lang/>
              </w:rPr>
              <w:t xml:space="preserve"> </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lang/>
              </w:rPr>
              <w:t>契约型开放式</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lang/>
              </w:rPr>
              <w:t>2026</w:t>
            </w:r>
            <w:r>
              <w:rPr>
                <w:rFonts w:hint="eastAsia"/>
                <w:lang/>
              </w:rPr>
              <w:t>年</w:t>
            </w:r>
            <w:r>
              <w:rPr>
                <w:rFonts w:hint="eastAsia"/>
                <w:lang/>
              </w:rPr>
              <w:t>1</w:t>
            </w:r>
            <w:r>
              <w:rPr>
                <w:rFonts w:hint="eastAsia"/>
                <w:lang/>
              </w:rPr>
              <w:t>月</w:t>
            </w:r>
            <w:r>
              <w:rPr>
                <w:rFonts w:hint="eastAsia"/>
                <w:lang/>
              </w:rPr>
              <w:t>23</w:t>
            </w:r>
            <w:r>
              <w:rPr>
                <w:rFonts w:hint="eastAsia"/>
                <w:lang/>
              </w:rPr>
              <w:t>日</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lang/>
              </w:rPr>
              <w:t>工银瑞信基金管理有限公司</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lang/>
              </w:rPr>
              <w:t>中国农业银行股份有限公司</w:t>
            </w:r>
          </w:p>
        </w:tc>
      </w:tr>
      <w:tr w:rsidR="00000000">
        <w:tc>
          <w:tcPr>
            <w:tcW w:w="4103" w:type="dxa"/>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tcPr>
          <w:p w:rsidR="00000000" w:rsidRDefault="00564676">
            <w:pPr>
              <w:spacing w:line="360" w:lineRule="auto"/>
              <w:jc w:val="left"/>
              <w:rPr>
                <w:rFonts w:hint="eastAsia"/>
              </w:rPr>
            </w:pPr>
            <w:r>
              <w:rPr>
                <w:rFonts w:hint="eastAsia"/>
                <w:lang/>
              </w:rPr>
              <w:t>根据《中华人民共和国证券投</w:t>
            </w:r>
            <w:r>
              <w:rPr>
                <w:rFonts w:hint="eastAsia"/>
                <w:lang/>
              </w:rPr>
              <w:t>资基金法》、《公开募集证券投资基金运作管理办法》、《公开募集证券投资基金信息披露管理办法》及其他有关法律法规以及本基金相关法律文件等。</w:t>
            </w:r>
          </w:p>
        </w:tc>
      </w:tr>
      <w:tr w:rsidR="00000000">
        <w:trPr>
          <w:trHeight w:val="347"/>
        </w:trPr>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360" w:lineRule="auto"/>
              <w:jc w:val="left"/>
              <w:rPr>
                <w:rFonts w:hint="eastAsia"/>
              </w:rPr>
            </w:pPr>
            <w:r>
              <w:rPr>
                <w:rFonts w:hint="eastAsia"/>
              </w:rPr>
              <w:t>工银科技智选混合</w:t>
            </w:r>
            <w:r>
              <w:rPr>
                <w:rFonts w:hint="eastAsia"/>
              </w:rPr>
              <w:t>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360" w:lineRule="auto"/>
              <w:jc w:val="left"/>
              <w:rPr>
                <w:rFonts w:hint="eastAsia"/>
              </w:rPr>
            </w:pPr>
            <w:r>
              <w:rPr>
                <w:rFonts w:hint="eastAsia"/>
              </w:rPr>
              <w:t>工银科技智选混合</w:t>
            </w:r>
            <w:r>
              <w:rPr>
                <w:rFonts w:hint="eastAsia"/>
              </w:rPr>
              <w:t>C</w:t>
            </w:r>
            <w:r>
              <w:rPr>
                <w:rFonts w:hint="eastAsia"/>
                <w:lang/>
              </w:rPr>
              <w:t xml:space="preserve"> </w:t>
            </w:r>
          </w:p>
        </w:tc>
      </w:tr>
      <w:tr w:rsidR="00000000">
        <w:trPr>
          <w:trHeight w:val="347"/>
        </w:trPr>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360" w:lineRule="auto"/>
              <w:jc w:val="left"/>
              <w:rPr>
                <w:rFonts w:hint="eastAsia"/>
              </w:rPr>
            </w:pPr>
            <w:r>
              <w:rPr>
                <w:rFonts w:hint="eastAsia"/>
              </w:rPr>
              <w:t>026212</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360" w:lineRule="auto"/>
              <w:jc w:val="left"/>
              <w:rPr>
                <w:rFonts w:hint="eastAsia"/>
              </w:rPr>
            </w:pPr>
            <w:r>
              <w:rPr>
                <w:rFonts w:hint="eastAsia"/>
              </w:rPr>
              <w:t>026213</w:t>
            </w:r>
            <w:r>
              <w:rPr>
                <w:rFonts w:hint="eastAsia"/>
                <w:lang/>
              </w:rPr>
              <w:t xml:space="preserve"> </w:t>
            </w:r>
            <w:bookmarkEnd w:id="13"/>
          </w:p>
        </w:tc>
      </w:tr>
    </w:tbl>
    <w:p w:rsidR="00000000" w:rsidRDefault="00564676">
      <w:pPr>
        <w:pStyle w:val="XBRLTitle1"/>
        <w:spacing w:before="156" w:line="360" w:lineRule="auto"/>
        <w:jc w:val="left"/>
        <w:rPr>
          <w:rFonts w:hint="eastAsia"/>
        </w:rPr>
      </w:pPr>
      <w:bookmarkStart w:id="14" w:name="_Toc438646452"/>
      <w:bookmarkStart w:id="15" w:name="_Toc513295893"/>
      <w:bookmarkStart w:id="16" w:name="_Toc17897937"/>
      <w:bookmarkStart w:id="17" w:name="_Toc512519481"/>
      <w:bookmarkStart w:id="18" w:name="_Toc17898179"/>
      <w:bookmarkStart w:id="19" w:name="_Toc34322060"/>
      <w:bookmarkStart w:id="20" w:name="_Toc481075047"/>
      <w:bookmarkStart w:id="21" w:name="_Toc490050001"/>
      <w:bookmarkStart w:id="22" w:name="_Toc513295847"/>
      <w:r>
        <w:rPr>
          <w:rFonts w:hAnsi="宋体" w:hint="eastAsia"/>
          <w:szCs w:val="24"/>
        </w:rPr>
        <w:t>基金募集情况</w:t>
      </w:r>
      <w:bookmarkEnd w:id="10"/>
      <w:bookmarkEnd w:id="21"/>
      <w:bookmarkEnd w:id="22"/>
      <w:bookmarkEnd w:id="14"/>
      <w:bookmarkEnd w:id="15"/>
      <w:bookmarkEnd w:id="16"/>
      <w:bookmarkEnd w:id="17"/>
      <w:bookmarkEnd w:id="18"/>
      <w:bookmarkEnd w:id="19"/>
      <w:bookmarkEnd w:id="20"/>
      <w:r>
        <w:rPr>
          <w:rFonts w:hAnsi="宋体" w:hint="eastAsia"/>
          <w:szCs w:val="24"/>
        </w:rPr>
        <w:t xml:space="preserve"> </w:t>
      </w:r>
      <w:bookmarkEnd w:id="11"/>
      <w:bookmarkEnd w:id="12"/>
    </w:p>
    <w:tbl>
      <w:tblPr>
        <w:tblW w:w="5000" w:type="pct"/>
        <w:tblInd w:w="113" w:type="dxa"/>
        <w:tblBorders>
          <w:top w:val="single" w:sz="4" w:space="0" w:color="000000"/>
          <w:left w:val="single" w:sz="4" w:space="0" w:color="000000"/>
          <w:bottom w:val="single" w:sz="4" w:space="0" w:color="000000"/>
          <w:right w:val="single" w:sz="4" w:space="0" w:color="000000"/>
        </w:tblBorders>
        <w:tblLook w:val="0000"/>
      </w:tblPr>
      <w:tblGrid>
        <w:gridCol w:w="900"/>
        <w:gridCol w:w="900"/>
        <w:gridCol w:w="2457"/>
        <w:gridCol w:w="2347"/>
        <w:gridCol w:w="2457"/>
      </w:tblGrid>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基金募集申请获中国证监会核准的文号</w:t>
            </w:r>
            <w:r>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证监许可【</w:t>
            </w:r>
            <w:r>
              <w:rPr>
                <w:rFonts w:hint="eastAsia"/>
                <w:szCs w:val="21"/>
              </w:rPr>
              <w:t>2025</w:t>
            </w:r>
            <w:r>
              <w:rPr>
                <w:rFonts w:hint="eastAsia"/>
                <w:szCs w:val="21"/>
              </w:rPr>
              <w:t>】</w:t>
            </w:r>
            <w:r>
              <w:rPr>
                <w:rFonts w:hint="eastAsia"/>
                <w:szCs w:val="21"/>
              </w:rPr>
              <w:t xml:space="preserve">2594 </w:t>
            </w:r>
            <w:r>
              <w:rPr>
                <w:rFonts w:hint="eastAsia"/>
                <w:szCs w:val="21"/>
              </w:rPr>
              <w:t>号</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szCs w:val="21"/>
              </w:rPr>
              <w:t>基金募集期间</w:t>
            </w:r>
            <w:r>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自</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8</w:t>
            </w:r>
            <w:r>
              <w:rPr>
                <w:rFonts w:hint="eastAsia"/>
                <w:szCs w:val="21"/>
              </w:rPr>
              <w:t>日至</w:t>
            </w: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21</w:t>
            </w:r>
            <w:r>
              <w:rPr>
                <w:rFonts w:hint="eastAsia"/>
                <w:szCs w:val="21"/>
              </w:rPr>
              <w:t>日止</w:t>
            </w:r>
            <w:r>
              <w:rPr>
                <w:rFonts w:hint="eastAsia"/>
                <w:szCs w:val="21"/>
              </w:rPr>
              <w:t xml:space="preserve"> </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验资机构名称</w:t>
            </w:r>
            <w:r>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安永华明会计师事务所（特殊普通合伙）</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募集资金划入基金托管专户的日期</w:t>
            </w:r>
            <w:r>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2026</w:t>
            </w:r>
            <w:r>
              <w:rPr>
                <w:rFonts w:hint="eastAsia"/>
                <w:szCs w:val="21"/>
              </w:rPr>
              <w:t>年</w:t>
            </w:r>
            <w:r>
              <w:rPr>
                <w:rFonts w:hint="eastAsia"/>
                <w:szCs w:val="21"/>
              </w:rPr>
              <w:t>1</w:t>
            </w:r>
            <w:r>
              <w:rPr>
                <w:rFonts w:hint="eastAsia"/>
                <w:szCs w:val="21"/>
              </w:rPr>
              <w:t>月</w:t>
            </w:r>
            <w:r>
              <w:rPr>
                <w:rFonts w:hint="eastAsia"/>
                <w:szCs w:val="21"/>
              </w:rPr>
              <w:t>23</w:t>
            </w:r>
            <w:r>
              <w:rPr>
                <w:rFonts w:hint="eastAsia"/>
                <w:szCs w:val="21"/>
              </w:rPr>
              <w:t>日</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募集有效认购总户数（单位：户）</w:t>
            </w:r>
            <w:r>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116,628</w:t>
            </w:r>
            <w:r>
              <w:rPr>
                <w:rFonts w:hint="eastAsia"/>
                <w:szCs w:val="21"/>
              </w:rPr>
              <w:t xml:space="preserve"> </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份额级别</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175" w:lineRule="atLeast"/>
              <w:rPr>
                <w:rFonts w:hint="eastAsia"/>
                <w:szCs w:val="21"/>
              </w:rPr>
            </w:pPr>
            <w:r>
              <w:rPr>
                <w:rFonts w:hint="eastAsia"/>
                <w:szCs w:val="21"/>
              </w:rPr>
              <w:t>工银科技智选混合</w:t>
            </w:r>
            <w:r>
              <w:rPr>
                <w:rFonts w:hint="eastAsia"/>
                <w:szCs w:val="21"/>
              </w:rPr>
              <w:t>A</w:t>
            </w:r>
            <w:r>
              <w:rPr>
                <w:rFonts w:hint="eastAsia"/>
                <w:szCs w:val="21"/>
              </w:rPr>
              <w:t xml:space="preserve">　</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spacing w:line="175" w:lineRule="atLeast"/>
              <w:rPr>
                <w:rFonts w:hint="eastAsia"/>
                <w:szCs w:val="21"/>
              </w:rPr>
            </w:pPr>
            <w:r>
              <w:rPr>
                <w:rFonts w:hint="eastAsia"/>
                <w:szCs w:val="21"/>
              </w:rPr>
              <w:t>工银科技智选混合</w:t>
            </w:r>
            <w:r>
              <w:rPr>
                <w:rFonts w:hint="eastAsia"/>
                <w:szCs w:val="21"/>
              </w:rPr>
              <w:t>C</w:t>
            </w:r>
            <w:r>
              <w:rPr>
                <w:rFonts w:hint="eastAsia"/>
                <w:szCs w:val="21"/>
              </w:rPr>
              <w:t xml:space="preserve">　</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合计</w:t>
            </w:r>
            <w:r>
              <w:rPr>
                <w:rFonts w:hint="eastAsia"/>
                <w:szCs w:val="21"/>
              </w:rPr>
              <w:t xml:space="preserve"> </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募集期间净认购金额（单位：人民币元）</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1,557,338,536.46</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973,780,335.82</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2,531,118,872.28</w:t>
            </w:r>
            <w:r>
              <w:rPr>
                <w:rFonts w:hint="eastAsia"/>
                <w:szCs w:val="21"/>
              </w:rPr>
              <w:t xml:space="preserve"> </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认购资金在募集期间产生的利息（单位：人民币元）</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329,360.26</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szCs w:val="21"/>
              </w:rPr>
              <w:t>152,654.35</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482,014.61</w:t>
            </w:r>
            <w:r>
              <w:rPr>
                <w:rFonts w:hint="eastAsia"/>
                <w:szCs w:val="21"/>
              </w:rPr>
              <w:t xml:space="preserve"> </w:t>
            </w:r>
          </w:p>
        </w:tc>
      </w:tr>
      <w:tr w:rsidR="00000000">
        <w:tc>
          <w:tcPr>
            <w:tcW w:w="1190" w:type="dxa"/>
            <w:vMerge w:val="restart"/>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募集份额（单位：份）</w:t>
            </w:r>
            <w:r>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有效认购份额</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1,557,338,536.46</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973,780,335</w:t>
            </w:r>
            <w:r>
              <w:rPr>
                <w:rFonts w:hint="eastAsia"/>
                <w:color w:val="000000"/>
                <w:szCs w:val="21"/>
              </w:rPr>
              <w:t>.82</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2,531,118,872.28</w:t>
            </w:r>
            <w:r>
              <w:rPr>
                <w:rFonts w:hint="eastAsia"/>
                <w:szCs w:val="21"/>
              </w:rPr>
              <w:t xml:space="preserve"> </w:t>
            </w:r>
          </w:p>
        </w:tc>
      </w:tr>
      <w:tr w:rsidR="00000000">
        <w:tc>
          <w:tcPr>
            <w:tcW w:w="0" w:type="auto"/>
            <w:vMerge/>
            <w:tcBorders>
              <w:top w:val="single" w:sz="4" w:space="0" w:color="000000"/>
              <w:left w:val="single" w:sz="4" w:space="0" w:color="000000"/>
              <w:bottom w:val="single" w:sz="4" w:space="0" w:color="000000"/>
              <w:right w:val="single" w:sz="4" w:space="0" w:color="000000"/>
            </w:tcBorders>
            <w:vAlign w:val="center"/>
          </w:tcPr>
          <w:p w:rsidR="00000000" w:rsidRDefault="00564676">
            <w:pPr>
              <w:widowControl/>
              <w:jc w:val="left"/>
            </w:pP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利息结转的份额</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329,360.26</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152,654.35</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482,014.61</w:t>
            </w:r>
            <w:r>
              <w:rPr>
                <w:rFonts w:hint="eastAsia"/>
                <w:szCs w:val="21"/>
              </w:rPr>
              <w:t xml:space="preserve"> </w:t>
            </w:r>
          </w:p>
        </w:tc>
      </w:tr>
      <w:tr w:rsidR="00000000">
        <w:tc>
          <w:tcPr>
            <w:tcW w:w="0" w:type="auto"/>
            <w:vMerge/>
            <w:tcBorders>
              <w:top w:val="single" w:sz="4" w:space="0" w:color="000000"/>
              <w:left w:val="single" w:sz="4" w:space="0" w:color="000000"/>
              <w:bottom w:val="single" w:sz="4" w:space="0" w:color="000000"/>
              <w:right w:val="single" w:sz="4" w:space="0" w:color="000000"/>
            </w:tcBorders>
            <w:vAlign w:val="center"/>
          </w:tcPr>
          <w:p w:rsidR="00000000" w:rsidRDefault="00564676">
            <w:pPr>
              <w:widowControl/>
              <w:jc w:val="left"/>
            </w:pP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合计</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1,557,667,896.72</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973,932,990.17</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2,531,600,886.89</w:t>
            </w:r>
          </w:p>
        </w:tc>
      </w:tr>
      <w:tr w:rsidR="00000000">
        <w:tc>
          <w:tcPr>
            <w:tcW w:w="1190" w:type="dxa"/>
            <w:vMerge w:val="restart"/>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其中：募集期间基金管理人运用固有资金认购本基金情况</w:t>
            </w:r>
            <w:r>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认购的基金份额（单位：份）</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w:t>
            </w:r>
          </w:p>
        </w:tc>
      </w:tr>
      <w:tr w:rsidR="00000000">
        <w:tc>
          <w:tcPr>
            <w:tcW w:w="0" w:type="auto"/>
            <w:vMerge/>
            <w:tcBorders>
              <w:top w:val="single" w:sz="4" w:space="0" w:color="000000"/>
              <w:left w:val="single" w:sz="4" w:space="0" w:color="000000"/>
              <w:bottom w:val="single" w:sz="4" w:space="0" w:color="000000"/>
              <w:right w:val="single" w:sz="4" w:space="0" w:color="000000"/>
            </w:tcBorders>
            <w:vAlign w:val="center"/>
          </w:tcPr>
          <w:p w:rsidR="00000000" w:rsidRDefault="00564676">
            <w:pPr>
              <w:widowControl/>
              <w:jc w:val="left"/>
            </w:pP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lang/>
              </w:rPr>
              <w:t>占基金总份额比例</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w:t>
            </w:r>
            <w:r>
              <w:rPr>
                <w:rFonts w:hint="eastAsia"/>
                <w:szCs w:val="21"/>
              </w:rPr>
              <w:t xml:space="preserve"> </w:t>
            </w:r>
          </w:p>
        </w:tc>
      </w:tr>
      <w:tr w:rsidR="00000000">
        <w:tc>
          <w:tcPr>
            <w:tcW w:w="0" w:type="auto"/>
            <w:vMerge/>
            <w:tcBorders>
              <w:top w:val="single" w:sz="4" w:space="0" w:color="000000"/>
              <w:left w:val="single" w:sz="4" w:space="0" w:color="000000"/>
              <w:bottom w:val="single" w:sz="4" w:space="0" w:color="000000"/>
              <w:right w:val="single" w:sz="4" w:space="0" w:color="000000"/>
            </w:tcBorders>
            <w:vAlign w:val="center"/>
          </w:tcPr>
          <w:p w:rsidR="00000000" w:rsidRDefault="00564676">
            <w:pPr>
              <w:widowControl/>
              <w:jc w:val="left"/>
            </w:pP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其他需要说明的事项</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w:t>
            </w:r>
          </w:p>
        </w:tc>
      </w:tr>
      <w:tr w:rsidR="00000000">
        <w:tc>
          <w:tcPr>
            <w:tcW w:w="1190" w:type="dxa"/>
            <w:vMerge w:val="restart"/>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其中：募集期间基金管理人的从业人员认购本基金情况</w:t>
            </w:r>
            <w:r>
              <w:rPr>
                <w:rFonts w:hint="eastAsia"/>
                <w:szCs w:val="21"/>
              </w:rPr>
              <w:t xml:space="preserve"> </w:t>
            </w: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认购的基金份额（单位：份）</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336,966.78</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399,962.64</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736,929.42</w:t>
            </w:r>
            <w:r>
              <w:rPr>
                <w:rFonts w:hint="eastAsia"/>
                <w:szCs w:val="21"/>
              </w:rPr>
              <w:t xml:space="preserve"> </w:t>
            </w:r>
          </w:p>
        </w:tc>
      </w:tr>
      <w:tr w:rsidR="00000000">
        <w:tc>
          <w:tcPr>
            <w:tcW w:w="0" w:type="auto"/>
            <w:vMerge/>
            <w:tcBorders>
              <w:top w:val="single" w:sz="4" w:space="0" w:color="000000"/>
              <w:left w:val="single" w:sz="4" w:space="0" w:color="000000"/>
              <w:bottom w:val="single" w:sz="4" w:space="0" w:color="000000"/>
              <w:right w:val="single" w:sz="4" w:space="0" w:color="000000"/>
            </w:tcBorders>
            <w:vAlign w:val="center"/>
          </w:tcPr>
          <w:p w:rsidR="00000000" w:rsidRDefault="00564676">
            <w:pPr>
              <w:widowControl/>
              <w:jc w:val="left"/>
            </w:pPr>
          </w:p>
        </w:tc>
        <w:tc>
          <w:tcPr>
            <w:tcW w:w="1190" w:type="dxa"/>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占基金总份额比例</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0.0216</w:t>
            </w:r>
            <w:r>
              <w:rPr>
                <w:rFonts w:hint="eastAsia"/>
              </w:rPr>
              <w:t>%</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0.0411</w:t>
            </w:r>
            <w:r>
              <w:rPr>
                <w:rFonts w:hint="eastAsia"/>
              </w:rPr>
              <w:t>%</w:t>
            </w:r>
            <w:r>
              <w:rPr>
                <w:rFonts w:hint="eastAsia"/>
                <w:szCs w:val="21"/>
              </w:rPr>
              <w:t xml:space="preserve"> </w:t>
            </w:r>
          </w:p>
        </w:tc>
        <w:tc>
          <w:tcPr>
            <w:tcW w:w="3071" w:type="dxa"/>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0.0291</w:t>
            </w:r>
            <w:r>
              <w:rPr>
                <w:rFonts w:hint="eastAsia"/>
              </w:rPr>
              <w:t>%</w:t>
            </w:r>
            <w:r>
              <w:rPr>
                <w:rFonts w:hint="eastAsia"/>
                <w:szCs w:val="21"/>
              </w:rPr>
              <w:t xml:space="preserve"> </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募集期限届满基金是否符合法律法规规定的办理基金备案手续的条件</w:t>
            </w:r>
            <w:r>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lang/>
              </w:rPr>
              <w:t>是</w:t>
            </w:r>
          </w:p>
        </w:tc>
      </w:tr>
      <w:tr w:rsidR="00000000">
        <w:tc>
          <w:tcPr>
            <w:tcW w:w="2380" w:type="dxa"/>
            <w:gridSpan w:val="2"/>
            <w:tcBorders>
              <w:top w:val="single" w:sz="4" w:space="0" w:color="000000"/>
              <w:left w:val="single" w:sz="4" w:space="0" w:color="000000"/>
              <w:bottom w:val="single" w:sz="4" w:space="0" w:color="000000"/>
              <w:right w:val="single" w:sz="4" w:space="0" w:color="000000"/>
            </w:tcBorders>
          </w:tcPr>
          <w:p w:rsidR="00000000" w:rsidRDefault="00564676">
            <w:pPr>
              <w:rPr>
                <w:rFonts w:hint="eastAsia"/>
              </w:rPr>
            </w:pPr>
            <w:r>
              <w:rPr>
                <w:rFonts w:hint="eastAsia"/>
                <w:color w:val="000000"/>
                <w:szCs w:val="21"/>
              </w:rPr>
              <w:t>向中国证监会办理基金备案手续获得书面确认的日期</w:t>
            </w:r>
            <w:r>
              <w:rPr>
                <w:rFonts w:hint="eastAsia"/>
                <w:szCs w:val="21"/>
              </w:rPr>
              <w:t xml:space="preserve"> </w:t>
            </w:r>
          </w:p>
        </w:tc>
        <w:tc>
          <w:tcPr>
            <w:tcW w:w="6142"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564676">
            <w:pPr>
              <w:rPr>
                <w:rFonts w:hint="eastAsia"/>
              </w:rPr>
            </w:pPr>
            <w:r>
              <w:rPr>
                <w:rFonts w:hint="eastAsia"/>
                <w:color w:val="000000"/>
                <w:szCs w:val="21"/>
              </w:rPr>
              <w:t>2026</w:t>
            </w:r>
            <w:r>
              <w:rPr>
                <w:rFonts w:hint="eastAsia"/>
                <w:color w:val="000000"/>
                <w:szCs w:val="21"/>
              </w:rPr>
              <w:t>年</w:t>
            </w:r>
            <w:r>
              <w:rPr>
                <w:rFonts w:hint="eastAsia"/>
                <w:color w:val="000000"/>
                <w:szCs w:val="21"/>
              </w:rPr>
              <w:t>1</w:t>
            </w:r>
            <w:r>
              <w:rPr>
                <w:rFonts w:hint="eastAsia"/>
                <w:color w:val="000000"/>
                <w:szCs w:val="21"/>
              </w:rPr>
              <w:t>月</w:t>
            </w:r>
            <w:r>
              <w:rPr>
                <w:rFonts w:hint="eastAsia"/>
                <w:color w:val="000000"/>
                <w:szCs w:val="21"/>
              </w:rPr>
              <w:t>23</w:t>
            </w:r>
            <w:r>
              <w:rPr>
                <w:rFonts w:hint="eastAsia"/>
                <w:color w:val="000000"/>
                <w:szCs w:val="21"/>
              </w:rPr>
              <w:t>日</w:t>
            </w:r>
            <w:r>
              <w:rPr>
                <w:rFonts w:hint="eastAsia"/>
                <w:szCs w:val="21"/>
              </w:rPr>
              <w:t xml:space="preserve"> </w:t>
            </w:r>
          </w:p>
        </w:tc>
      </w:tr>
    </w:tbl>
    <w:p w:rsidR="00000000" w:rsidRDefault="00564676">
      <w:pPr>
        <w:spacing w:line="360" w:lineRule="auto"/>
        <w:jc w:val="left"/>
        <w:rPr>
          <w:rFonts w:hint="eastAsia"/>
          <w:kern w:val="0"/>
          <w:szCs w:val="21"/>
        </w:rPr>
      </w:pPr>
      <w:r>
        <w:rPr>
          <w:rFonts w:hint="eastAsia"/>
          <w:kern w:val="0"/>
          <w:szCs w:val="21"/>
        </w:rPr>
        <w:t>注</w:t>
      </w:r>
      <w:r>
        <w:rPr>
          <w:rFonts w:hint="eastAsia"/>
          <w:kern w:val="0"/>
          <w:szCs w:val="21"/>
        </w:rPr>
        <w:t xml:space="preserve">:1 </w:t>
      </w:r>
      <w:r>
        <w:rPr>
          <w:rFonts w:hint="eastAsia"/>
          <w:kern w:val="0"/>
          <w:szCs w:val="21"/>
        </w:rPr>
        <w:t>、基金合同生效前所发生的信息披露费、律师费和会计师费以及其他费用不从基金财产中支付；</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2</w:t>
      </w:r>
      <w:r>
        <w:rPr>
          <w:rFonts w:hint="eastAsia"/>
          <w:kern w:val="0"/>
          <w:szCs w:val="21"/>
        </w:rPr>
        <w:t>、本基金管理人高级管理人员、基金投资和研究部门负责人持有本基金份额总量的数量区间为</w:t>
      </w:r>
      <w:r>
        <w:rPr>
          <w:rFonts w:hint="eastAsia"/>
          <w:kern w:val="0"/>
          <w:szCs w:val="21"/>
        </w:rPr>
        <w:t>0</w:t>
      </w:r>
      <w:r>
        <w:rPr>
          <w:rFonts w:hint="eastAsia"/>
          <w:kern w:val="0"/>
          <w:szCs w:val="21"/>
        </w:rPr>
        <w:t>；本基金的基金经理持有本基金</w:t>
      </w:r>
      <w:r>
        <w:rPr>
          <w:rFonts w:hint="eastAsia"/>
          <w:kern w:val="0"/>
          <w:szCs w:val="21"/>
        </w:rPr>
        <w:t>份额总量的数量区间为</w:t>
      </w:r>
      <w:r>
        <w:rPr>
          <w:rFonts w:hint="eastAsia"/>
          <w:kern w:val="0"/>
          <w:szCs w:val="21"/>
        </w:rPr>
        <w:t>0</w:t>
      </w:r>
      <w:r>
        <w:rPr>
          <w:rFonts w:hint="eastAsia"/>
          <w:kern w:val="0"/>
          <w:szCs w:val="21"/>
        </w:rPr>
        <w:t>。</w:t>
      </w:r>
    </w:p>
    <w:p w:rsidR="00000000" w:rsidRDefault="00564676">
      <w:pPr>
        <w:pStyle w:val="XBRLTitle1"/>
        <w:spacing w:before="156" w:line="360" w:lineRule="auto"/>
        <w:jc w:val="left"/>
        <w:rPr>
          <w:rFonts w:hint="eastAsia"/>
        </w:rPr>
      </w:pPr>
      <w:bookmarkStart w:id="23" w:name="_Toc513295878"/>
      <w:bookmarkStart w:id="24" w:name="_Toc438646481"/>
      <w:bookmarkStart w:id="25" w:name="_Toc481075097"/>
      <w:bookmarkStart w:id="26" w:name="_Toc17897969"/>
      <w:bookmarkStart w:id="27" w:name="_Toc512519529"/>
      <w:bookmarkStart w:id="28" w:name="_Toc490050049"/>
      <w:bookmarkStart w:id="29" w:name="_Toc34322063"/>
      <w:bookmarkStart w:id="30" w:name="_Toc513295941"/>
      <w:bookmarkStart w:id="31" w:name="_Toc17898228"/>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000000" w:rsidRDefault="00564676">
      <w:pPr>
        <w:pStyle w:val="aa"/>
        <w:spacing w:before="0" w:beforeAutospacing="0" w:after="0" w:afterAutospacing="0" w:line="360" w:lineRule="auto"/>
        <w:ind w:firstLineChars="200" w:firstLine="420"/>
        <w:rPr>
          <w:rFonts w:hint="eastAsia"/>
          <w:sz w:val="21"/>
          <w:szCs w:val="21"/>
        </w:rPr>
      </w:pPr>
      <w:r>
        <w:rPr>
          <w:rFonts w:hint="eastAsia"/>
          <w:sz w:val="21"/>
          <w:szCs w:val="21"/>
        </w:rPr>
        <w:t>基金份额持有人可以到销售机构的网点进行交易确认单的查询和打印，也可以通过本基金管理人的网站（</w:t>
      </w:r>
      <w:r>
        <w:rPr>
          <w:rFonts w:hint="eastAsia"/>
          <w:sz w:val="21"/>
          <w:szCs w:val="21"/>
        </w:rPr>
        <w:t>www.icbcubs.com.cn</w:t>
      </w:r>
      <w:r>
        <w:rPr>
          <w:rFonts w:hint="eastAsia"/>
          <w:sz w:val="21"/>
          <w:szCs w:val="21"/>
        </w:rPr>
        <w:t>）或客户服务电话（</w:t>
      </w:r>
      <w:r>
        <w:rPr>
          <w:rFonts w:hint="eastAsia"/>
          <w:sz w:val="21"/>
          <w:szCs w:val="21"/>
        </w:rPr>
        <w:t>400-811-9999</w:t>
      </w:r>
      <w:r>
        <w:rPr>
          <w:rFonts w:hint="eastAsia"/>
          <w:sz w:val="21"/>
          <w:szCs w:val="21"/>
        </w:rPr>
        <w:t>）查询交易确认情况。</w:t>
      </w:r>
      <w:r>
        <w:rPr>
          <w:rFonts w:hint="eastAsia"/>
          <w:sz w:val="21"/>
          <w:szCs w:val="21"/>
        </w:rPr>
        <w:t xml:space="preserve"> </w:t>
      </w:r>
    </w:p>
    <w:p w:rsidR="00000000" w:rsidRDefault="00564676">
      <w:pPr>
        <w:pStyle w:val="aa"/>
        <w:spacing w:before="0" w:beforeAutospacing="0" w:after="0" w:afterAutospacing="0" w:line="360" w:lineRule="auto"/>
        <w:ind w:firstLineChars="200" w:firstLine="420"/>
        <w:rPr>
          <w:rFonts w:hint="eastAsia"/>
          <w:sz w:val="21"/>
          <w:szCs w:val="21"/>
        </w:rPr>
      </w:pPr>
      <w:r>
        <w:rPr>
          <w:rFonts w:hint="eastAsia"/>
          <w:sz w:val="21"/>
          <w:szCs w:val="21"/>
        </w:rPr>
        <w:t>基金管理人自基金合同生效之日起不超过</w:t>
      </w:r>
      <w:r>
        <w:rPr>
          <w:rFonts w:hint="eastAsia"/>
          <w:sz w:val="21"/>
          <w:szCs w:val="21"/>
        </w:rPr>
        <w:t>3</w:t>
      </w:r>
      <w:r>
        <w:rPr>
          <w:rFonts w:hint="eastAsia"/>
          <w:sz w:val="21"/>
          <w:szCs w:val="21"/>
        </w:rPr>
        <w:t>个月开始办理申购和赎回。本基金办理申购、赎回业务的具体时间由本基金管理人于申购、赎回开放日前依照《公开募集证券投资基金信息披露管理办法》的有关规定在规定媒介上公告。</w:t>
      </w:r>
      <w:r>
        <w:rPr>
          <w:rFonts w:hint="eastAsia"/>
          <w:sz w:val="21"/>
          <w:szCs w:val="21"/>
        </w:rPr>
        <w:t xml:space="preserve"> </w:t>
      </w:r>
    </w:p>
    <w:p w:rsidR="00000000" w:rsidRDefault="00564676">
      <w:pPr>
        <w:pStyle w:val="aa"/>
        <w:spacing w:before="0" w:beforeAutospacing="0" w:after="0" w:afterAutospacing="0" w:line="360" w:lineRule="auto"/>
        <w:ind w:firstLineChars="200" w:firstLine="420"/>
        <w:rPr>
          <w:rFonts w:hint="eastAsia"/>
          <w:sz w:val="21"/>
          <w:szCs w:val="21"/>
        </w:rPr>
      </w:pPr>
      <w:r>
        <w:rPr>
          <w:rFonts w:hint="eastAsia"/>
          <w:sz w:val="21"/>
          <w:szCs w:val="21"/>
        </w:rPr>
        <w:t>风险提示：</w:t>
      </w:r>
    </w:p>
    <w:p w:rsidR="00000000" w:rsidRDefault="00564676">
      <w:pPr>
        <w:pStyle w:val="aa"/>
        <w:spacing w:before="0" w:beforeAutospacing="0" w:after="0" w:afterAutospacing="0" w:line="360" w:lineRule="auto"/>
        <w:ind w:firstLineChars="200" w:firstLine="420"/>
        <w:rPr>
          <w:rFonts w:hint="eastAsia"/>
          <w:sz w:val="21"/>
          <w:szCs w:val="21"/>
        </w:rPr>
      </w:pPr>
      <w:r>
        <w:rPr>
          <w:rFonts w:hint="eastAsia"/>
          <w:sz w:val="21"/>
          <w:szCs w:val="21"/>
        </w:rPr>
        <w:t>1</w:t>
      </w:r>
      <w:r>
        <w:rPr>
          <w:rFonts w:hint="eastAsia"/>
          <w:sz w:val="21"/>
          <w:szCs w:val="21"/>
        </w:rPr>
        <w:t>、本基金发售面值为人民币</w:t>
      </w:r>
      <w:r>
        <w:rPr>
          <w:rFonts w:hint="eastAsia"/>
          <w:sz w:val="21"/>
          <w:szCs w:val="21"/>
        </w:rPr>
        <w:t>1.00</w:t>
      </w:r>
      <w:r>
        <w:rPr>
          <w:rFonts w:hint="eastAsia"/>
          <w:sz w:val="21"/>
          <w:szCs w:val="21"/>
        </w:rPr>
        <w:t>元。在市场波动因素</w:t>
      </w:r>
      <w:r>
        <w:rPr>
          <w:rFonts w:hint="eastAsia"/>
          <w:sz w:val="21"/>
          <w:szCs w:val="21"/>
        </w:rPr>
        <w:t>影响下，本基金净值可能低于发售面值，本基金投资者有可能出现亏损。</w:t>
      </w:r>
    </w:p>
    <w:p w:rsidR="00000000" w:rsidRDefault="00564676">
      <w:pPr>
        <w:pStyle w:val="aa"/>
        <w:spacing w:before="0" w:beforeAutospacing="0" w:after="0" w:afterAutospacing="0" w:line="360" w:lineRule="auto"/>
        <w:ind w:firstLineChars="200" w:firstLine="420"/>
        <w:rPr>
          <w:rFonts w:hint="eastAsia"/>
          <w:sz w:val="21"/>
          <w:szCs w:val="21"/>
        </w:rPr>
      </w:pPr>
      <w:r>
        <w:rPr>
          <w:rFonts w:hint="eastAsia"/>
          <w:sz w:val="21"/>
          <w:szCs w:val="21"/>
        </w:rPr>
        <w:t>2</w:t>
      </w:r>
      <w:r>
        <w:rPr>
          <w:rFonts w:hint="eastAsia"/>
          <w:sz w:val="21"/>
          <w:szCs w:val="21"/>
        </w:rPr>
        <w:t>、基金的过往业绩并不预示其未来表现。</w:t>
      </w:r>
    </w:p>
    <w:p w:rsidR="00000000" w:rsidRDefault="00564676">
      <w:pPr>
        <w:pStyle w:val="aa"/>
        <w:spacing w:before="0" w:beforeAutospacing="0" w:after="0" w:afterAutospacing="0" w:line="360" w:lineRule="auto"/>
        <w:ind w:firstLineChars="200" w:firstLine="420"/>
        <w:rPr>
          <w:rFonts w:hint="eastAsia"/>
          <w:sz w:val="21"/>
          <w:szCs w:val="21"/>
        </w:rPr>
      </w:pPr>
      <w:r>
        <w:rPr>
          <w:rFonts w:hint="eastAsia"/>
          <w:sz w:val="21"/>
          <w:szCs w:val="21"/>
        </w:rPr>
        <w:t>3</w:t>
      </w:r>
      <w:r>
        <w:rPr>
          <w:rFonts w:hint="eastAsia"/>
          <w:sz w:val="21"/>
          <w:szCs w:val="21"/>
        </w:rPr>
        <w:t>、基金管理人管理的其它基金的业绩并不构成对本基金业绩表现的保证。基金管理人依照恪尽职守、诚实信用、谨慎勤勉的原则管理和运用基金财产，但不保证基金一定盈利，也不保证最低收益。</w:t>
      </w:r>
    </w:p>
    <w:p w:rsidR="00000000" w:rsidRDefault="00564676">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564676">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564676">
      <w:pPr>
        <w:spacing w:line="360" w:lineRule="auto"/>
        <w:ind w:firstLineChars="600" w:firstLine="1446"/>
        <w:jc w:val="right"/>
        <w:rPr>
          <w:rFonts w:hint="eastAsia"/>
        </w:rPr>
      </w:pPr>
      <w:r>
        <w:rPr>
          <w:rFonts w:hint="eastAsia"/>
          <w:b/>
          <w:bCs/>
          <w:sz w:val="24"/>
          <w:szCs w:val="24"/>
        </w:rPr>
        <w:t>工银瑞信基金管理有限公司</w:t>
      </w:r>
    </w:p>
    <w:p w:rsidR="00000000" w:rsidRDefault="00564676">
      <w:pPr>
        <w:spacing w:line="360" w:lineRule="auto"/>
        <w:ind w:firstLineChars="600" w:firstLine="1446"/>
        <w:jc w:val="right"/>
        <w:rPr>
          <w:rFonts w:hint="eastAsia"/>
        </w:rPr>
      </w:pPr>
      <w:r>
        <w:rPr>
          <w:rFonts w:hint="eastAsia"/>
          <w:b/>
          <w:bCs/>
          <w:sz w:val="24"/>
          <w:szCs w:val="24"/>
        </w:rPr>
        <w:t>2026</w:t>
      </w:r>
      <w:r>
        <w:rPr>
          <w:rFonts w:hint="eastAsia"/>
          <w:b/>
          <w:bCs/>
          <w:sz w:val="24"/>
          <w:szCs w:val="24"/>
        </w:rPr>
        <w:t>年</w:t>
      </w:r>
      <w:r>
        <w:rPr>
          <w:rFonts w:hint="eastAsia"/>
          <w:b/>
          <w:bCs/>
          <w:sz w:val="24"/>
          <w:szCs w:val="24"/>
        </w:rPr>
        <w:t>1</w:t>
      </w:r>
      <w:r>
        <w:rPr>
          <w:rFonts w:hint="eastAsia"/>
          <w:b/>
          <w:bCs/>
          <w:sz w:val="24"/>
          <w:szCs w:val="24"/>
        </w:rPr>
        <w:t>月</w:t>
      </w:r>
      <w:r>
        <w:rPr>
          <w:rFonts w:hint="eastAsia"/>
          <w:b/>
          <w:bCs/>
          <w:sz w:val="24"/>
          <w:szCs w:val="24"/>
        </w:rPr>
        <w:t>24</w:t>
      </w:r>
      <w:r>
        <w:rPr>
          <w:rFonts w:hint="eastAsia"/>
          <w:b/>
          <w:bCs/>
          <w:sz w:val="24"/>
          <w:szCs w:val="24"/>
        </w:rPr>
        <w:t>日</w:t>
      </w:r>
      <w:bookmarkEnd w:id="32"/>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64676">
      <w:r>
        <w:separator/>
      </w:r>
    </w:p>
  </w:endnote>
  <w:endnote w:type="continuationSeparator" w:id="0">
    <w:p w:rsidR="00000000" w:rsidRDefault="00564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67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67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rPr>
      <w:t>页</w:t>
    </w:r>
    <w:r>
      <w:rPr>
        <w:rFonts w:hint="eastAsia"/>
      </w:rPr>
      <w:t xml:space="preserve"> </w:t>
    </w:r>
  </w:p>
  <w:p w:rsidR="00000000" w:rsidRDefault="00564676">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64676">
      <w:r>
        <w:separator/>
      </w:r>
    </w:p>
  </w:footnote>
  <w:footnote w:type="continuationSeparator" w:id="0">
    <w:p w:rsidR="00000000" w:rsidRDefault="00564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676">
    <w:pPr>
      <w:pStyle w:val="a7"/>
      <w:jc w:val="right"/>
    </w:pPr>
    <w:r>
      <w:rPr>
        <w:rFonts w:hint="eastAsia"/>
      </w:rPr>
      <w:t>工银瑞信科技智选混合型证券投资基金基金合同生效公告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676">
    <w:pPr>
      <w:pStyle w:val="a7"/>
      <w:jc w:val="right"/>
      <w:rPr>
        <w:rFonts w:hint="eastAsia"/>
      </w:rPr>
    </w:pPr>
    <w:r>
      <w:rPr>
        <w:rFonts w:hint="eastAsia"/>
      </w:rPr>
      <w:t>工银瑞信科技智选混合型证券投资基金基金合同生</w:t>
    </w:r>
    <w:r>
      <w:rPr>
        <w:rFonts w:hint="eastAsia"/>
      </w:rPr>
      <w:t>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2C98"/>
    <w:rsid w:val="00052DA6"/>
    <w:rsid w:val="00564676"/>
    <w:rsid w:val="00762C98"/>
    <w:rsid w:val="066918CF"/>
    <w:rsid w:val="129B2F79"/>
    <w:rsid w:val="35CF2253"/>
    <w:rsid w:val="7AB475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
    <w:pPr>
      <w:shd w:val="clear" w:color="auto" w:fill="000080"/>
    </w:pPr>
  </w:style>
  <w:style w:type="character" w:customStyle="1" w:styleId="Char">
    <w:name w:val="文档结构图 Char"/>
    <w:link w:val="a3"/>
    <w:locked/>
    <w:rPr>
      <w:rFonts w:ascii="宋体" w:eastAsia="宋体" w:hAnsi="宋体" w:hint="eastAsia"/>
      <w:kern w:val="2"/>
      <w:sz w:val="18"/>
      <w:szCs w:val="18"/>
    </w:rPr>
  </w:style>
  <w:style w:type="paragraph" w:styleId="30">
    <w:name w:val="toc 3"/>
    <w:basedOn w:val="a"/>
    <w:next w:val="a"/>
    <w:uiPriority w:val="39"/>
    <w:unhideWhenUsed/>
  </w:style>
  <w:style w:type="paragraph" w:styleId="a4">
    <w:name w:val="Date"/>
    <w:basedOn w:val="a"/>
    <w:next w:val="a"/>
    <w:link w:val="Char0"/>
    <w:rPr>
      <w:sz w:val="32"/>
    </w:rPr>
  </w:style>
  <w:style w:type="character" w:customStyle="1" w:styleId="Char0">
    <w:name w:val="日期 Char"/>
    <w:link w:val="a4"/>
    <w:locked/>
    <w:rPr>
      <w:kern w:val="2"/>
      <w:sz w:val="21"/>
    </w:rPr>
  </w:style>
  <w:style w:type="paragraph" w:styleId="a5">
    <w:name w:val="Balloon Text"/>
    <w:basedOn w:val="a"/>
    <w:link w:val="Char1"/>
    <w:uiPriority w:val="99"/>
    <w:unhideWhenUsed/>
    <w:rPr>
      <w:sz w:val="18"/>
      <w:szCs w:val="18"/>
    </w:rPr>
  </w:style>
  <w:style w:type="character" w:customStyle="1" w:styleId="Char1">
    <w:name w:val="批注框文本 Char"/>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
    <w:link w:val="a6"/>
    <w:uiPriority w:val="99"/>
    <w:locked/>
    <w:rPr>
      <w:kern w:val="2"/>
      <w:sz w:val="18"/>
      <w:szCs w:val="18"/>
    </w:rPr>
  </w:style>
  <w:style w:type="paragraph" w:styleId="a7">
    <w:name w:val="header"/>
    <w:basedOn w:val="a"/>
    <w:link w:val="Char3"/>
    <w:uiPriority w:val="99"/>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4"/>
    <w:qFormat/>
    <w:pPr>
      <w:spacing w:before="240" w:after="60" w:line="312" w:lineRule="auto"/>
      <w:jc w:val="left"/>
    </w:pPr>
    <w:rPr>
      <w:bCs w:val="0"/>
      <w:kern w:val="24"/>
      <w:sz w:val="24"/>
    </w:rPr>
  </w:style>
  <w:style w:type="character" w:customStyle="1" w:styleId="Char4">
    <w:name w:val="副标题 Char"/>
    <w:link w:val="a8"/>
    <w:locked/>
    <w:rPr>
      <w:rFonts w:ascii="Cambria" w:hAnsi="Cambria" w:cs="Times New Roman" w:hint="default"/>
      <w:b/>
      <w:bCs/>
      <w:kern w:val="24"/>
      <w:sz w:val="32"/>
      <w:szCs w:val="32"/>
    </w:rPr>
  </w:style>
  <w:style w:type="paragraph" w:styleId="a9">
    <w:name w:val="footnote text"/>
    <w:basedOn w:val="a"/>
    <w:link w:val="Char5"/>
    <w:pPr>
      <w:snapToGrid w:val="0"/>
      <w:jc w:val="left"/>
    </w:pPr>
    <w:rPr>
      <w:sz w:val="18"/>
      <w:szCs w:val="18"/>
    </w:rPr>
  </w:style>
  <w:style w:type="character" w:customStyle="1" w:styleId="Char5">
    <w:name w:val="脚注文本 Char"/>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6"/>
    <w:uiPriority w:val="10"/>
    <w:qFormat/>
    <w:pPr>
      <w:keepNext w:val="0"/>
      <w:keepLines w:val="0"/>
      <w:spacing w:before="240" w:after="60" w:line="240" w:lineRule="auto"/>
      <w:jc w:val="center"/>
    </w:pPr>
    <w:rPr>
      <w:rFonts w:ascii="Cambria" w:hAnsi="Cambria"/>
      <w:kern w:val="0"/>
      <w:sz w:val="32"/>
      <w:szCs w:val="32"/>
    </w:rPr>
  </w:style>
  <w:style w:type="character" w:customStyle="1" w:styleId="Char6">
    <w:name w:val="标题 Char"/>
    <w:link w:val="ab"/>
    <w:uiPriority w:val="10"/>
    <w:locked/>
    <w:rPr>
      <w:rFonts w:ascii="Cambria" w:hAnsi="Cambria" w:cs="Times New Roman" w:hint="default"/>
      <w:b/>
      <w:bCs/>
      <w:kern w:val="2"/>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2">
    <w:name w:val="文档结构图 字符1"/>
    <w:link w:val="a3"/>
    <w:locked/>
    <w:rPr>
      <w:rFonts w:ascii="宋体" w:eastAsia="宋体" w:hAnsi="宋体" w:hint="eastAsia"/>
      <w:kern w:val="2"/>
      <w:sz w:val="18"/>
      <w:szCs w:val="18"/>
    </w:rPr>
  </w:style>
  <w:style w:type="character" w:customStyle="1" w:styleId="13">
    <w:name w:val="日期 字符1"/>
    <w:link w:val="a4"/>
    <w:locked/>
    <w:rPr>
      <w:rFonts w:ascii="宋体" w:eastAsia="宋体" w:hAnsi="宋体" w:hint="eastAsia"/>
      <w:kern w:val="2"/>
      <w:sz w:val="32"/>
    </w:rPr>
  </w:style>
  <w:style w:type="character" w:customStyle="1" w:styleId="14">
    <w:name w:val="批注框文本 字符1"/>
    <w:link w:val="a5"/>
    <w:uiPriority w:val="99"/>
    <w:semiHidden/>
    <w:locked/>
    <w:rPr>
      <w:kern w:val="2"/>
      <w:sz w:val="18"/>
      <w:szCs w:val="18"/>
    </w:rPr>
  </w:style>
  <w:style w:type="character" w:customStyle="1" w:styleId="15">
    <w:name w:val="页脚 字符1"/>
    <w:link w:val="a6"/>
    <w:uiPriority w:val="99"/>
    <w:locked/>
    <w:rPr>
      <w:kern w:val="2"/>
      <w:sz w:val="18"/>
      <w:szCs w:val="18"/>
    </w:rPr>
  </w:style>
  <w:style w:type="character" w:customStyle="1" w:styleId="22">
    <w:name w:val="页眉 字符2"/>
    <w:link w:val="a7"/>
    <w:locked/>
    <w:rPr>
      <w:kern w:val="2"/>
      <w:sz w:val="18"/>
      <w:szCs w:val="18"/>
    </w:rPr>
  </w:style>
  <w:style w:type="character" w:customStyle="1" w:styleId="16">
    <w:name w:val="副标题 字符1"/>
    <w:link w:val="a8"/>
    <w:locked/>
    <w:rPr>
      <w:rFonts w:ascii="Cambria" w:eastAsia="宋体" w:hAnsi="Cambria" w:cs="宋体" w:hint="default"/>
      <w:b/>
      <w:bCs w:val="0"/>
      <w:kern w:val="24"/>
      <w:sz w:val="24"/>
      <w:szCs w:val="32"/>
    </w:rPr>
  </w:style>
  <w:style w:type="character" w:customStyle="1" w:styleId="17">
    <w:name w:val="脚注文本 字符1"/>
    <w:link w:val="a9"/>
    <w:locked/>
    <w:rPr>
      <w:kern w:val="2"/>
      <w:sz w:val="18"/>
      <w:szCs w:val="18"/>
    </w:rPr>
  </w:style>
  <w:style w:type="character" w:customStyle="1" w:styleId="18">
    <w:name w:val="标题 字符1"/>
    <w:link w:val="ab"/>
    <w:uiPriority w:val="10"/>
    <w:locked/>
    <w:rPr>
      <w:rFonts w:ascii="Cambria" w:hAnsi="Cambria" w:cs="宋体" w:hint="default"/>
      <w:b/>
      <w:bCs/>
      <w:sz w:val="32"/>
      <w:szCs w:val="32"/>
    </w:rPr>
  </w:style>
  <w:style w:type="character" w:customStyle="1" w:styleId="19">
    <w:name w:val="标题 1 字符"/>
    <w:link w:val="1"/>
    <w:uiPriority w:val="9"/>
    <w:locked/>
    <w:rPr>
      <w:b/>
      <w:bCs/>
      <w:kern w:val="44"/>
      <w:sz w:val="44"/>
      <w:szCs w:val="44"/>
    </w:rPr>
  </w:style>
  <w:style w:type="character" w:customStyle="1" w:styleId="23">
    <w:name w:val="标题 2 字符"/>
    <w:link w:val="2"/>
    <w:uiPriority w:val="9"/>
    <w:locked/>
    <w:rPr>
      <w:rFonts w:ascii="Cambria" w:eastAsia="宋体" w:hAnsi="Cambria" w:cs="Times New Roman" w:hint="default"/>
      <w:b/>
      <w:bCs/>
      <w:kern w:val="2"/>
      <w:sz w:val="32"/>
      <w:szCs w:val="32"/>
    </w:rPr>
  </w:style>
  <w:style w:type="character" w:customStyle="1" w:styleId="32">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7">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a">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1454</Characters>
  <Application>Microsoft Office Word</Application>
  <DocSecurity>4</DocSecurity>
  <Lines>12</Lines>
  <Paragraphs>3</Paragraphs>
  <ScaleCrop>false</ScaleCrop>
  <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2026-01-23T16:01:00Z</dcterms:created>
  <dcterms:modified xsi:type="dcterms:W3CDTF">2026-01-23T16:01:00Z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9DFAF2DE9DA549B58662CE31F6DA3AB4_12</vt:lpwstr>
  </property>
</Properties>
</file>