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2534" w:rsidRDefault="0094574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银华活钱宝货币市场基金</w:t>
      </w:r>
      <w:r>
        <w:rPr>
          <w:rFonts w:ascii="宋体" w:hAnsi="宋体" w:hint="eastAsia"/>
          <w:b/>
          <w:sz w:val="30"/>
          <w:szCs w:val="30"/>
        </w:rPr>
        <w:t>F</w:t>
      </w:r>
      <w:r>
        <w:rPr>
          <w:rFonts w:ascii="宋体" w:hAnsi="宋体" w:hint="eastAsia"/>
          <w:b/>
          <w:sz w:val="30"/>
          <w:szCs w:val="30"/>
        </w:rPr>
        <w:t>类基金份额恢复及暂停</w:t>
      </w:r>
      <w:r>
        <w:rPr>
          <w:rFonts w:ascii="宋体" w:hAnsi="宋体" w:hint="eastAsia"/>
          <w:b/>
          <w:bCs/>
          <w:sz w:val="30"/>
        </w:rPr>
        <w:t>部分</w:t>
      </w:r>
      <w:r>
        <w:rPr>
          <w:rFonts w:ascii="宋体" w:hAnsi="宋体" w:cs="宋体" w:hint="eastAsia"/>
          <w:b/>
          <w:bCs/>
          <w:kern w:val="0"/>
          <w:sz w:val="30"/>
          <w:szCs w:val="30"/>
          <w:lang/>
        </w:rPr>
        <w:t>代销机构的机构投资者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5F2534" w:rsidRDefault="005F2534">
      <w:pPr>
        <w:jc w:val="center"/>
        <w:rPr>
          <w:rFonts w:ascii="宋体" w:hAnsi="宋体"/>
          <w:sz w:val="30"/>
        </w:rPr>
      </w:pPr>
    </w:p>
    <w:p w:rsidR="005F2534" w:rsidRDefault="0094574E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23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5F2534" w:rsidRDefault="0094574E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1231"/>
        <w:gridCol w:w="1134"/>
        <w:gridCol w:w="1134"/>
        <w:gridCol w:w="1134"/>
        <w:gridCol w:w="1134"/>
      </w:tblGrid>
      <w:tr w:rsidR="005F2534">
        <w:tc>
          <w:tcPr>
            <w:tcW w:w="5245" w:type="dxa"/>
            <w:gridSpan w:val="4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银华活钱宝货币市场基金</w:t>
            </w:r>
          </w:p>
        </w:tc>
      </w:tr>
      <w:tr w:rsidR="005F2534">
        <w:tc>
          <w:tcPr>
            <w:tcW w:w="5245" w:type="dxa"/>
            <w:gridSpan w:val="4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银华活钱宝货币</w:t>
            </w:r>
          </w:p>
        </w:tc>
      </w:tr>
      <w:tr w:rsidR="005F2534">
        <w:tc>
          <w:tcPr>
            <w:tcW w:w="5245" w:type="dxa"/>
            <w:gridSpan w:val="4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000657</w:t>
            </w:r>
          </w:p>
        </w:tc>
      </w:tr>
      <w:tr w:rsidR="005F2534">
        <w:tc>
          <w:tcPr>
            <w:tcW w:w="5245" w:type="dxa"/>
            <w:gridSpan w:val="4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5F2534">
        <w:tc>
          <w:tcPr>
            <w:tcW w:w="5245" w:type="dxa"/>
            <w:gridSpan w:val="4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《银华活钱宝货币市场基金基金合同》和《银华活钱宝货币市场基金招募说明书》</w:t>
            </w:r>
          </w:p>
        </w:tc>
      </w:tr>
      <w:tr w:rsidR="005F2534">
        <w:tc>
          <w:tcPr>
            <w:tcW w:w="1701" w:type="dxa"/>
            <w:vMerge w:val="restart"/>
          </w:tcPr>
          <w:p w:rsidR="005F2534" w:rsidRDefault="0094574E">
            <w:pPr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恢复相关业务的起始日及原因说明</w:t>
            </w:r>
          </w:p>
        </w:tc>
        <w:tc>
          <w:tcPr>
            <w:tcW w:w="3544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恢复大额申购起始日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2534">
        <w:tc>
          <w:tcPr>
            <w:tcW w:w="1701" w:type="dxa"/>
            <w:vMerge/>
          </w:tcPr>
          <w:p w:rsidR="005F2534" w:rsidRDefault="005F253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恢复大额转换转入起始日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8" w:name="t_3_1_1_2798_a1_fm1"/>
            <w:bookmarkEnd w:id="8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2534">
        <w:tc>
          <w:tcPr>
            <w:tcW w:w="1701" w:type="dxa"/>
            <w:vMerge/>
          </w:tcPr>
          <w:p w:rsidR="005F2534" w:rsidRDefault="005F253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恢复大额定期定额投资起始日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9" w:name="t_3_1_1_2800_a1_fm2210"/>
            <w:bookmarkEnd w:id="9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2534">
        <w:trPr>
          <w:trHeight w:val="664"/>
        </w:trPr>
        <w:tc>
          <w:tcPr>
            <w:tcW w:w="1701" w:type="dxa"/>
            <w:vMerge/>
          </w:tcPr>
          <w:p w:rsidR="005F2534" w:rsidRDefault="005F25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10" w:name="t_3_1_3_fj_table"/>
            <w:bookmarkEnd w:id="10"/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bookmarkStart w:id="11" w:name="t_3_1_3_fj_2805_a1_fm1"/>
            <w:bookmarkEnd w:id="11"/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  <w:tr w:rsidR="005F2534">
        <w:trPr>
          <w:trHeight w:val="290"/>
        </w:trPr>
        <w:tc>
          <w:tcPr>
            <w:tcW w:w="1701" w:type="dxa"/>
            <w:vMerge w:val="restart"/>
            <w:vAlign w:val="center"/>
          </w:tcPr>
          <w:p w:rsidR="005F2534" w:rsidRDefault="0094574E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暂停</w:t>
            </w:r>
            <w:r>
              <w:rPr>
                <w:szCs w:val="21"/>
              </w:rPr>
              <w:t>相关业务的起始日、金额及原因说明</w:t>
            </w:r>
          </w:p>
        </w:tc>
        <w:tc>
          <w:tcPr>
            <w:tcW w:w="3544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2534">
        <w:tc>
          <w:tcPr>
            <w:tcW w:w="1701" w:type="dxa"/>
            <w:vMerge/>
          </w:tcPr>
          <w:p w:rsidR="005F2534" w:rsidRDefault="005F25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2534">
        <w:trPr>
          <w:trHeight w:val="265"/>
        </w:trPr>
        <w:tc>
          <w:tcPr>
            <w:tcW w:w="1701" w:type="dxa"/>
            <w:vMerge/>
          </w:tcPr>
          <w:p w:rsidR="005F2534" w:rsidRDefault="005F25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2534">
        <w:trPr>
          <w:trHeight w:val="676"/>
        </w:trPr>
        <w:tc>
          <w:tcPr>
            <w:tcW w:w="1701" w:type="dxa"/>
            <w:vMerge/>
          </w:tcPr>
          <w:p w:rsidR="005F2534" w:rsidRDefault="005F25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402" w:type="dxa"/>
            <w:gridSpan w:val="3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5F2534">
        <w:tc>
          <w:tcPr>
            <w:tcW w:w="1701" w:type="dxa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179" w:type="dxa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231" w:type="dxa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E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F</w:t>
            </w:r>
          </w:p>
        </w:tc>
      </w:tr>
      <w:tr w:rsidR="005F2534">
        <w:tc>
          <w:tcPr>
            <w:tcW w:w="1701" w:type="dxa"/>
          </w:tcPr>
          <w:p w:rsidR="005F2534" w:rsidRDefault="009457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179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000657</w:t>
            </w:r>
          </w:p>
        </w:tc>
        <w:tc>
          <w:tcPr>
            <w:tcW w:w="1231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000658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000659</w:t>
            </w:r>
          </w:p>
        </w:tc>
        <w:tc>
          <w:tcPr>
            <w:tcW w:w="1134" w:type="dxa"/>
          </w:tcPr>
          <w:p w:rsidR="005F2534" w:rsidRDefault="0094574E">
            <w:pPr>
              <w:tabs>
                <w:tab w:val="center" w:pos="38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000660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000661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000662</w:t>
            </w:r>
          </w:p>
        </w:tc>
      </w:tr>
      <w:tr w:rsidR="005F2534">
        <w:tc>
          <w:tcPr>
            <w:tcW w:w="1701" w:type="dxa"/>
          </w:tcPr>
          <w:p w:rsidR="005F2534" w:rsidRDefault="0094574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该类基金份额是否恢复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暂停大额申购（含定期定额投资及转换转入）业务</w:t>
            </w:r>
          </w:p>
        </w:tc>
        <w:tc>
          <w:tcPr>
            <w:tcW w:w="1179" w:type="dxa"/>
          </w:tcPr>
          <w:p w:rsidR="005F2534" w:rsidRDefault="0094574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231" w:type="dxa"/>
          </w:tcPr>
          <w:p w:rsidR="005F2534" w:rsidRDefault="0094574E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5F2534">
        <w:tc>
          <w:tcPr>
            <w:tcW w:w="1701" w:type="dxa"/>
          </w:tcPr>
          <w:p w:rsidR="005F2534" w:rsidRDefault="0094574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下属各类基金的限制申购（含定期定额投资及转换转入）金额（单</w:t>
            </w:r>
            <w:r>
              <w:rPr>
                <w:rFonts w:ascii="宋体" w:hAnsi="宋体" w:hint="eastAsia"/>
                <w:szCs w:val="21"/>
              </w:rPr>
              <w:lastRenderedPageBreak/>
              <w:t>位：人民币元）</w:t>
            </w:r>
          </w:p>
        </w:tc>
        <w:tc>
          <w:tcPr>
            <w:tcW w:w="1179" w:type="dxa"/>
          </w:tcPr>
          <w:p w:rsidR="005F2534" w:rsidRDefault="005F25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</w:tcPr>
          <w:p w:rsidR="005F2534" w:rsidRDefault="005F25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F2534" w:rsidRDefault="005F25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F2534" w:rsidRDefault="005F25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F2534" w:rsidRDefault="005F25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F2534" w:rsidRDefault="0094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00,000.00</w:t>
            </w:r>
          </w:p>
        </w:tc>
      </w:tr>
    </w:tbl>
    <w:p w:rsidR="005F2534" w:rsidRDefault="0094574E">
      <w:pPr>
        <w:spacing w:line="360" w:lineRule="auto"/>
        <w:rPr>
          <w:rFonts w:ascii="宋体" w:hAnsi="宋体"/>
          <w:szCs w:val="21"/>
        </w:rPr>
      </w:pPr>
      <w:bookmarkStart w:id="12" w:name="t_3_1_4_fj_2803_a1_fm1"/>
      <w:bookmarkEnd w:id="12"/>
      <w:r>
        <w:rPr>
          <w:rFonts w:ascii="宋体" w:hAnsi="宋体"/>
          <w:szCs w:val="21"/>
        </w:rPr>
        <w:lastRenderedPageBreak/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26</w:t>
      </w:r>
      <w:r>
        <w:rPr>
          <w:rFonts w:ascii="宋体" w:hAnsi="宋体" w:hint="eastAsia"/>
          <w:szCs w:val="21"/>
        </w:rPr>
        <w:t>日（含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26</w:t>
      </w:r>
      <w:r>
        <w:rPr>
          <w:rFonts w:ascii="宋体" w:hAnsi="宋体" w:hint="eastAsia"/>
          <w:szCs w:val="21"/>
        </w:rPr>
        <w:t>日）恢复平安银行股份有限公司</w:t>
      </w:r>
      <w:bookmarkStart w:id="13" w:name="_GoBack"/>
      <w:bookmarkEnd w:id="13"/>
      <w:r>
        <w:rPr>
          <w:rFonts w:ascii="宋体" w:hAnsi="宋体" w:hint="eastAsia"/>
          <w:szCs w:val="21"/>
        </w:rPr>
        <w:t>的机构投资者办理银华活钱宝货币市场基金（以下简称“本基金”）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万元以上的大额申购（含定期定额投资及转换转入）业务，自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</w:t>
      </w:r>
      <w:r>
        <w:rPr>
          <w:rFonts w:ascii="宋体" w:hAnsi="宋体" w:hint="eastAsia"/>
          <w:szCs w:val="21"/>
        </w:rPr>
        <w:t>日（含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</w:t>
      </w:r>
      <w:r>
        <w:rPr>
          <w:rFonts w:ascii="宋体" w:hAnsi="宋体" w:hint="eastAsia"/>
          <w:szCs w:val="21"/>
        </w:rPr>
        <w:t>日）起，暂停平安银行股份有限公司的机构投资者办理本基金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万元以上的大额申购（含定期定额投资及转换转入）业务。敬请投资者留意。</w:t>
      </w:r>
    </w:p>
    <w:p w:rsidR="005F2534" w:rsidRDefault="0094574E">
      <w:pPr>
        <w:spacing w:line="360" w:lineRule="auto"/>
        <w:rPr>
          <w:rFonts w:ascii="宋体" w:hAnsi="宋体"/>
          <w:szCs w:val="21"/>
        </w:rPr>
      </w:pPr>
      <w:r>
        <w:rPr>
          <w:rStyle w:val="aa"/>
          <w:rFonts w:hint="eastAsia"/>
        </w:rPr>
        <w:t>2</w:t>
      </w:r>
      <w:r>
        <w:rPr>
          <w:rFonts w:ascii="宋体" w:hAnsi="宋体" w:hint="eastAsia"/>
          <w:szCs w:val="21"/>
        </w:rPr>
        <w:t>、在暂停代销机构的机构投资者办理本基金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万元以上的大额申购（含定期定额投资及转换转入）业务期间，机构投资者可分别从兴业银行股份有限公司、中国邮政储蓄银行股份有限公司、中信银行股份有限公</w:t>
      </w:r>
      <w:r>
        <w:rPr>
          <w:rFonts w:ascii="宋体" w:hAnsi="宋体" w:hint="eastAsia"/>
          <w:szCs w:val="21"/>
        </w:rPr>
        <w:t>司、平安银行股份有限公司、中国民生银行股份有限公司、宁波银行股份有限公司、杭州银行股份有限公司、招商银行股份有限公司、中信建投证券股份有限公司、蚂蚁（杭州）基金销售有限公司、上海长量基金销售有限公司、浙江同花顺基金销售有限公司、阳光人寿保险股份有限公司、江苏银行股份有限公司和其他代销机构分别办理不超过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的申购（含定期定额投资及转换转入）业务。如单日每个基金账户的申购申请、转换转入、定期定额投资单笔或累计金额超过以上情况，本基金管理人有权拒绝。针对单笔申购业务申请，仅有确认和不予确认两种处理方式，不存在</w:t>
      </w:r>
      <w:r>
        <w:rPr>
          <w:rFonts w:ascii="宋体" w:hAnsi="宋体" w:hint="eastAsia"/>
          <w:szCs w:val="21"/>
        </w:rPr>
        <w:t>对单笔申请的部分确认。敬请投资者留意。</w:t>
      </w:r>
    </w:p>
    <w:p w:rsidR="005F2534" w:rsidRDefault="0094574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、在本基金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类基金份额暂停代销机构的机构投资者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万元以上的大额申购（含定期定额投资及转换转入）业务期间，本公司将正常办理本基金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类基金份额的赎回及转换转出业务和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类基金份额代销机构的个人投资者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万元以上的大额申购（含定期定额投资及转换转入）业务及直销机构的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万元以上的大额申购（含定期定额投资及转换转入）业务。本基金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类基金份额恢复办理部分代销机构的机构投资者大额申购（含定期定额投资及转换转入）业务的具体时间将另行公告。</w:t>
      </w:r>
    </w:p>
    <w:p w:rsidR="005F2534" w:rsidRDefault="005F2534">
      <w:pPr>
        <w:spacing w:line="360" w:lineRule="auto"/>
        <w:jc w:val="left"/>
        <w:rPr>
          <w:rFonts w:ascii="宋体" w:hAnsi="宋体"/>
          <w:szCs w:val="21"/>
        </w:rPr>
      </w:pPr>
    </w:p>
    <w:p w:rsidR="005F2534" w:rsidRDefault="0094574E" w:rsidP="0094574E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4" w:name="t_3_2_table"/>
      <w:bookmarkEnd w:id="14"/>
      <w:r>
        <w:rPr>
          <w:rFonts w:ascii="宋体" w:eastAsia="宋体" w:hAnsi="宋体" w:hint="eastAsia"/>
          <w:sz w:val="24"/>
        </w:rPr>
        <w:t>其他需要提示的事项</w:t>
      </w:r>
    </w:p>
    <w:p w:rsidR="005F2534" w:rsidRDefault="0094574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5" w:name="t_3_2_2646_a1_fm1"/>
      <w:bookmarkEnd w:id="15"/>
      <w:r>
        <w:rPr>
          <w:rFonts w:ascii="宋体" w:hAnsi="宋体" w:hint="eastAsia"/>
          <w:szCs w:val="21"/>
        </w:rPr>
        <w:t>投资者可以通过以下途径咨询有关详情：</w:t>
      </w:r>
    </w:p>
    <w:p w:rsidR="005F2534" w:rsidRDefault="0094574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5F2534" w:rsidRDefault="0094574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5F2534" w:rsidRDefault="0094574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9"/>
            <w:rFonts w:ascii="宋体" w:hAnsi="宋体" w:hint="eastAsia"/>
            <w:color w:val="auto"/>
            <w:szCs w:val="21"/>
          </w:rPr>
          <w:t>www.yhfund.com.cn</w:t>
        </w:r>
      </w:hyperlink>
    </w:p>
    <w:p w:rsidR="005F2534" w:rsidRDefault="005F25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5F2534" w:rsidRDefault="0094574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风险提示：</w:t>
      </w:r>
    </w:p>
    <w:p w:rsidR="005F2534" w:rsidRDefault="0094574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5F2534" w:rsidRDefault="0094574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5F2534" w:rsidRDefault="005F25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5F2534" w:rsidRDefault="0094574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5F2534" w:rsidRDefault="005F2534">
      <w:pPr>
        <w:spacing w:line="360" w:lineRule="auto"/>
        <w:jc w:val="left"/>
        <w:rPr>
          <w:rFonts w:ascii="宋体" w:hAnsi="宋体"/>
          <w:szCs w:val="21"/>
        </w:rPr>
      </w:pPr>
    </w:p>
    <w:p w:rsidR="005F2534" w:rsidRDefault="0094574E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5F2534" w:rsidRDefault="0094574E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2026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23</w:t>
      </w:r>
      <w:r>
        <w:rPr>
          <w:rFonts w:ascii="宋体" w:hAnsi="宋体" w:hint="eastAsia"/>
          <w:sz w:val="24"/>
          <w:szCs w:val="30"/>
        </w:rPr>
        <w:t>日</w:t>
      </w:r>
    </w:p>
    <w:sectPr w:rsidR="005F2534" w:rsidSect="005F253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34" w:rsidRDefault="005F2534" w:rsidP="005F2534">
      <w:r>
        <w:separator/>
      </w:r>
    </w:p>
  </w:endnote>
  <w:endnote w:type="continuationSeparator" w:id="0">
    <w:p w:rsidR="005F2534" w:rsidRDefault="005F2534" w:rsidP="005F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34" w:rsidRDefault="005F2534" w:rsidP="005F2534">
      <w:r>
        <w:separator/>
      </w:r>
    </w:p>
  </w:footnote>
  <w:footnote w:type="continuationSeparator" w:id="0">
    <w:p w:rsidR="005F2534" w:rsidRDefault="005F2534" w:rsidP="005F2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34" w:rsidRDefault="0094574E">
    <w:pPr>
      <w:pStyle w:val="a7"/>
      <w:jc w:val="both"/>
    </w:pPr>
    <w:r>
      <w:rPr>
        <w:rFonts w:hint="eastAsia"/>
        <w:noProof/>
      </w:rPr>
      <w:drawing>
        <wp:inline distT="0" distB="0" distL="114300" distR="114300">
          <wp:extent cx="2084705" cy="257175"/>
          <wp:effectExtent l="0" t="0" r="10795" b="9525"/>
          <wp:docPr id="1" name="图片 1" descr="17e0e628572b36a930039ef4a8c95ac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e0e628572b36a930039ef4a8c95ac4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hZDQ2NzIzNGIyNDQ4MzJhYjE0YWQ5ZDQxMzM4MGUifQ=="/>
  </w:docVars>
  <w:rsids>
    <w:rsidRoot w:val="00172A27"/>
    <w:rsid w:val="000052D4"/>
    <w:rsid w:val="00006B0C"/>
    <w:rsid w:val="00012173"/>
    <w:rsid w:val="00025B37"/>
    <w:rsid w:val="0002650E"/>
    <w:rsid w:val="00032291"/>
    <w:rsid w:val="0003234A"/>
    <w:rsid w:val="0003754B"/>
    <w:rsid w:val="000533A7"/>
    <w:rsid w:val="00073D57"/>
    <w:rsid w:val="00076F4E"/>
    <w:rsid w:val="00077D3B"/>
    <w:rsid w:val="000809CF"/>
    <w:rsid w:val="000A149B"/>
    <w:rsid w:val="000D56CF"/>
    <w:rsid w:val="000E7DA5"/>
    <w:rsid w:val="000F4B19"/>
    <w:rsid w:val="0015043E"/>
    <w:rsid w:val="00166236"/>
    <w:rsid w:val="001712DE"/>
    <w:rsid w:val="00172A27"/>
    <w:rsid w:val="00174278"/>
    <w:rsid w:val="00176E04"/>
    <w:rsid w:val="001A29A3"/>
    <w:rsid w:val="001A7394"/>
    <w:rsid w:val="001B65D9"/>
    <w:rsid w:val="001C165D"/>
    <w:rsid w:val="001D7E76"/>
    <w:rsid w:val="001F0C5E"/>
    <w:rsid w:val="001F6FA8"/>
    <w:rsid w:val="0021174A"/>
    <w:rsid w:val="00212EF4"/>
    <w:rsid w:val="00214CB3"/>
    <w:rsid w:val="002154B9"/>
    <w:rsid w:val="00243151"/>
    <w:rsid w:val="00251586"/>
    <w:rsid w:val="002575AC"/>
    <w:rsid w:val="00296096"/>
    <w:rsid w:val="002A4646"/>
    <w:rsid w:val="002A4E5C"/>
    <w:rsid w:val="002B28DC"/>
    <w:rsid w:val="002C6792"/>
    <w:rsid w:val="002C7254"/>
    <w:rsid w:val="00300634"/>
    <w:rsid w:val="00302F49"/>
    <w:rsid w:val="00317580"/>
    <w:rsid w:val="00337A94"/>
    <w:rsid w:val="003402B5"/>
    <w:rsid w:val="00343A12"/>
    <w:rsid w:val="00360464"/>
    <w:rsid w:val="003713FE"/>
    <w:rsid w:val="00380F34"/>
    <w:rsid w:val="00391DB2"/>
    <w:rsid w:val="00397558"/>
    <w:rsid w:val="003A2831"/>
    <w:rsid w:val="003B009C"/>
    <w:rsid w:val="003C7F5F"/>
    <w:rsid w:val="003F3157"/>
    <w:rsid w:val="003F6FF7"/>
    <w:rsid w:val="00415FD9"/>
    <w:rsid w:val="00427B27"/>
    <w:rsid w:val="0045086C"/>
    <w:rsid w:val="00481772"/>
    <w:rsid w:val="00482CE9"/>
    <w:rsid w:val="004D1BAA"/>
    <w:rsid w:val="004D32CA"/>
    <w:rsid w:val="0050785F"/>
    <w:rsid w:val="00513D49"/>
    <w:rsid w:val="00524576"/>
    <w:rsid w:val="0053595C"/>
    <w:rsid w:val="0056251E"/>
    <w:rsid w:val="00565BCD"/>
    <w:rsid w:val="00566036"/>
    <w:rsid w:val="005C09BD"/>
    <w:rsid w:val="005D6232"/>
    <w:rsid w:val="005E4796"/>
    <w:rsid w:val="005F2534"/>
    <w:rsid w:val="005F7592"/>
    <w:rsid w:val="00626928"/>
    <w:rsid w:val="00631F61"/>
    <w:rsid w:val="00637405"/>
    <w:rsid w:val="006656E6"/>
    <w:rsid w:val="00666659"/>
    <w:rsid w:val="006729EE"/>
    <w:rsid w:val="006757D1"/>
    <w:rsid w:val="00695EA5"/>
    <w:rsid w:val="006A56D5"/>
    <w:rsid w:val="006A633E"/>
    <w:rsid w:val="006B797D"/>
    <w:rsid w:val="006B79BC"/>
    <w:rsid w:val="006C16C2"/>
    <w:rsid w:val="006C1D84"/>
    <w:rsid w:val="006C5B46"/>
    <w:rsid w:val="006D5BFA"/>
    <w:rsid w:val="006E0E14"/>
    <w:rsid w:val="00705BBA"/>
    <w:rsid w:val="00733DE8"/>
    <w:rsid w:val="0073544A"/>
    <w:rsid w:val="0073663E"/>
    <w:rsid w:val="007367F9"/>
    <w:rsid w:val="007431E2"/>
    <w:rsid w:val="007764F1"/>
    <w:rsid w:val="00777BB1"/>
    <w:rsid w:val="007941B9"/>
    <w:rsid w:val="007961D1"/>
    <w:rsid w:val="007A4551"/>
    <w:rsid w:val="007A7664"/>
    <w:rsid w:val="007E0E5C"/>
    <w:rsid w:val="008024AD"/>
    <w:rsid w:val="008153AB"/>
    <w:rsid w:val="00824DF6"/>
    <w:rsid w:val="00826130"/>
    <w:rsid w:val="00830616"/>
    <w:rsid w:val="00841933"/>
    <w:rsid w:val="00844BFD"/>
    <w:rsid w:val="008A7DCE"/>
    <w:rsid w:val="008B19A8"/>
    <w:rsid w:val="008C0669"/>
    <w:rsid w:val="008C3A3D"/>
    <w:rsid w:val="008E3731"/>
    <w:rsid w:val="008E4FF9"/>
    <w:rsid w:val="008E7A00"/>
    <w:rsid w:val="008F3DC4"/>
    <w:rsid w:val="009023A7"/>
    <w:rsid w:val="00915A5C"/>
    <w:rsid w:val="00915C0F"/>
    <w:rsid w:val="00920D0E"/>
    <w:rsid w:val="0094574E"/>
    <w:rsid w:val="00946CD2"/>
    <w:rsid w:val="00954636"/>
    <w:rsid w:val="00977F5E"/>
    <w:rsid w:val="00985EFF"/>
    <w:rsid w:val="00994AD0"/>
    <w:rsid w:val="009A21B6"/>
    <w:rsid w:val="009A3534"/>
    <w:rsid w:val="009C07DD"/>
    <w:rsid w:val="009C245B"/>
    <w:rsid w:val="009C4337"/>
    <w:rsid w:val="009D09B7"/>
    <w:rsid w:val="009F790E"/>
    <w:rsid w:val="00A2305F"/>
    <w:rsid w:val="00A25C07"/>
    <w:rsid w:val="00A313D4"/>
    <w:rsid w:val="00A72A55"/>
    <w:rsid w:val="00A74C77"/>
    <w:rsid w:val="00AA300A"/>
    <w:rsid w:val="00AA74EC"/>
    <w:rsid w:val="00AB3E02"/>
    <w:rsid w:val="00AD3CB2"/>
    <w:rsid w:val="00AE16A4"/>
    <w:rsid w:val="00B1191D"/>
    <w:rsid w:val="00B16386"/>
    <w:rsid w:val="00B2355D"/>
    <w:rsid w:val="00B32D14"/>
    <w:rsid w:val="00B6374E"/>
    <w:rsid w:val="00B7222A"/>
    <w:rsid w:val="00B82FC1"/>
    <w:rsid w:val="00BB0A7C"/>
    <w:rsid w:val="00BB25A9"/>
    <w:rsid w:val="00BB3954"/>
    <w:rsid w:val="00BC1B1A"/>
    <w:rsid w:val="00BD54E0"/>
    <w:rsid w:val="00BD6E65"/>
    <w:rsid w:val="00BF371C"/>
    <w:rsid w:val="00C00D3F"/>
    <w:rsid w:val="00C1271B"/>
    <w:rsid w:val="00C253DE"/>
    <w:rsid w:val="00C459B7"/>
    <w:rsid w:val="00C57EDE"/>
    <w:rsid w:val="00C9333F"/>
    <w:rsid w:val="00C9601B"/>
    <w:rsid w:val="00CA148E"/>
    <w:rsid w:val="00CA4E5E"/>
    <w:rsid w:val="00CA754E"/>
    <w:rsid w:val="00CB1745"/>
    <w:rsid w:val="00CE1FA8"/>
    <w:rsid w:val="00CE2430"/>
    <w:rsid w:val="00CF1438"/>
    <w:rsid w:val="00CF299F"/>
    <w:rsid w:val="00CF69FA"/>
    <w:rsid w:val="00D01CD0"/>
    <w:rsid w:val="00D10B1A"/>
    <w:rsid w:val="00D11425"/>
    <w:rsid w:val="00D1346E"/>
    <w:rsid w:val="00D1610A"/>
    <w:rsid w:val="00D17A92"/>
    <w:rsid w:val="00D26901"/>
    <w:rsid w:val="00D310E8"/>
    <w:rsid w:val="00D3277D"/>
    <w:rsid w:val="00D3395C"/>
    <w:rsid w:val="00D4228C"/>
    <w:rsid w:val="00D53C3B"/>
    <w:rsid w:val="00D5463D"/>
    <w:rsid w:val="00D60309"/>
    <w:rsid w:val="00D64D08"/>
    <w:rsid w:val="00D9020E"/>
    <w:rsid w:val="00D91010"/>
    <w:rsid w:val="00DA5658"/>
    <w:rsid w:val="00DB58D0"/>
    <w:rsid w:val="00DB59F6"/>
    <w:rsid w:val="00DB79F3"/>
    <w:rsid w:val="00DC00B3"/>
    <w:rsid w:val="00DC01CB"/>
    <w:rsid w:val="00DD5A0F"/>
    <w:rsid w:val="00DE0E35"/>
    <w:rsid w:val="00DE2B87"/>
    <w:rsid w:val="00DE752D"/>
    <w:rsid w:val="00DF7894"/>
    <w:rsid w:val="00E26085"/>
    <w:rsid w:val="00E340F5"/>
    <w:rsid w:val="00E45A19"/>
    <w:rsid w:val="00E45CD4"/>
    <w:rsid w:val="00E642E8"/>
    <w:rsid w:val="00E65318"/>
    <w:rsid w:val="00E84BD6"/>
    <w:rsid w:val="00EB133D"/>
    <w:rsid w:val="00EC5193"/>
    <w:rsid w:val="00ED0193"/>
    <w:rsid w:val="00ED12E5"/>
    <w:rsid w:val="00ED5C58"/>
    <w:rsid w:val="00ED65DE"/>
    <w:rsid w:val="00ED7051"/>
    <w:rsid w:val="00EE41F1"/>
    <w:rsid w:val="00EE53C4"/>
    <w:rsid w:val="00EE6BCC"/>
    <w:rsid w:val="00EF6120"/>
    <w:rsid w:val="00F14DD2"/>
    <w:rsid w:val="00F177D1"/>
    <w:rsid w:val="00F77477"/>
    <w:rsid w:val="00F812AC"/>
    <w:rsid w:val="00FA04FD"/>
    <w:rsid w:val="00FF76AC"/>
    <w:rsid w:val="041C72BF"/>
    <w:rsid w:val="046A4B88"/>
    <w:rsid w:val="04B34B04"/>
    <w:rsid w:val="05195141"/>
    <w:rsid w:val="058E1CC9"/>
    <w:rsid w:val="06071298"/>
    <w:rsid w:val="061647E8"/>
    <w:rsid w:val="072B172E"/>
    <w:rsid w:val="075F1B85"/>
    <w:rsid w:val="09C2797A"/>
    <w:rsid w:val="0BE55F9E"/>
    <w:rsid w:val="0CB56867"/>
    <w:rsid w:val="0DDE4848"/>
    <w:rsid w:val="0F372ABE"/>
    <w:rsid w:val="10EC0149"/>
    <w:rsid w:val="11DF72D1"/>
    <w:rsid w:val="128857C0"/>
    <w:rsid w:val="134A6659"/>
    <w:rsid w:val="140C2170"/>
    <w:rsid w:val="1468115A"/>
    <w:rsid w:val="147E544D"/>
    <w:rsid w:val="14977CD7"/>
    <w:rsid w:val="154360B0"/>
    <w:rsid w:val="16005C5A"/>
    <w:rsid w:val="17C72A56"/>
    <w:rsid w:val="18790C37"/>
    <w:rsid w:val="19371CA6"/>
    <w:rsid w:val="19571F1C"/>
    <w:rsid w:val="1A807414"/>
    <w:rsid w:val="1B1B59A0"/>
    <w:rsid w:val="1E397857"/>
    <w:rsid w:val="1F7817EF"/>
    <w:rsid w:val="1F997C68"/>
    <w:rsid w:val="2071439C"/>
    <w:rsid w:val="20D51DBA"/>
    <w:rsid w:val="21E52AA7"/>
    <w:rsid w:val="220D6EA1"/>
    <w:rsid w:val="2214631A"/>
    <w:rsid w:val="223A60D1"/>
    <w:rsid w:val="2315071A"/>
    <w:rsid w:val="257225F2"/>
    <w:rsid w:val="26791447"/>
    <w:rsid w:val="26823BFC"/>
    <w:rsid w:val="26EA291E"/>
    <w:rsid w:val="28795F27"/>
    <w:rsid w:val="28D41244"/>
    <w:rsid w:val="28E30421"/>
    <w:rsid w:val="295D0C90"/>
    <w:rsid w:val="29650771"/>
    <w:rsid w:val="296C014A"/>
    <w:rsid w:val="29C325CE"/>
    <w:rsid w:val="2A607F20"/>
    <w:rsid w:val="2A625F76"/>
    <w:rsid w:val="2ACD7D99"/>
    <w:rsid w:val="2ADF60B4"/>
    <w:rsid w:val="2B1B562F"/>
    <w:rsid w:val="2B915762"/>
    <w:rsid w:val="2BB2024C"/>
    <w:rsid w:val="2D597F8F"/>
    <w:rsid w:val="2F1020E0"/>
    <w:rsid w:val="306A15C8"/>
    <w:rsid w:val="306B429C"/>
    <w:rsid w:val="30744096"/>
    <w:rsid w:val="3201045D"/>
    <w:rsid w:val="321005AF"/>
    <w:rsid w:val="32235A33"/>
    <w:rsid w:val="32534937"/>
    <w:rsid w:val="33627F5C"/>
    <w:rsid w:val="365C1648"/>
    <w:rsid w:val="36FB1EA4"/>
    <w:rsid w:val="37A24153"/>
    <w:rsid w:val="383B1045"/>
    <w:rsid w:val="389F1FDE"/>
    <w:rsid w:val="38DC4B25"/>
    <w:rsid w:val="38EA2CDB"/>
    <w:rsid w:val="3A03625A"/>
    <w:rsid w:val="3A9C6634"/>
    <w:rsid w:val="3C3B065F"/>
    <w:rsid w:val="3D170955"/>
    <w:rsid w:val="3DD76D3D"/>
    <w:rsid w:val="3E1C7855"/>
    <w:rsid w:val="3E533AC1"/>
    <w:rsid w:val="3EAF3CA0"/>
    <w:rsid w:val="40D2124E"/>
    <w:rsid w:val="40F3251B"/>
    <w:rsid w:val="416D0E0C"/>
    <w:rsid w:val="41916174"/>
    <w:rsid w:val="43A952F8"/>
    <w:rsid w:val="45FF4844"/>
    <w:rsid w:val="467E5C73"/>
    <w:rsid w:val="476C3789"/>
    <w:rsid w:val="47C55BFB"/>
    <w:rsid w:val="487E61C0"/>
    <w:rsid w:val="48D257AC"/>
    <w:rsid w:val="49643176"/>
    <w:rsid w:val="4A5B1C9D"/>
    <w:rsid w:val="4A9060D9"/>
    <w:rsid w:val="4B294DDA"/>
    <w:rsid w:val="4B400582"/>
    <w:rsid w:val="4B48496D"/>
    <w:rsid w:val="4B893687"/>
    <w:rsid w:val="4CB05F1D"/>
    <w:rsid w:val="4CBA73D1"/>
    <w:rsid w:val="4D1B7791"/>
    <w:rsid w:val="4DEC4CAE"/>
    <w:rsid w:val="4DEE1848"/>
    <w:rsid w:val="4E620B25"/>
    <w:rsid w:val="4E8E38F6"/>
    <w:rsid w:val="4ED0198D"/>
    <w:rsid w:val="4F9E391B"/>
    <w:rsid w:val="4F9E4696"/>
    <w:rsid w:val="500C7CAC"/>
    <w:rsid w:val="502E192A"/>
    <w:rsid w:val="5171202B"/>
    <w:rsid w:val="51880396"/>
    <w:rsid w:val="5250452A"/>
    <w:rsid w:val="52601758"/>
    <w:rsid w:val="5276045B"/>
    <w:rsid w:val="528901FC"/>
    <w:rsid w:val="5379762F"/>
    <w:rsid w:val="53966D96"/>
    <w:rsid w:val="554C7CB2"/>
    <w:rsid w:val="59F450A6"/>
    <w:rsid w:val="59F74AB0"/>
    <w:rsid w:val="5ADC5520"/>
    <w:rsid w:val="5AFC3A2E"/>
    <w:rsid w:val="5B9E7CC0"/>
    <w:rsid w:val="5C6848EC"/>
    <w:rsid w:val="5CEF232B"/>
    <w:rsid w:val="5E531391"/>
    <w:rsid w:val="5E7B5DC1"/>
    <w:rsid w:val="5EC86C1E"/>
    <w:rsid w:val="5F2C64CE"/>
    <w:rsid w:val="5F306609"/>
    <w:rsid w:val="5FE83631"/>
    <w:rsid w:val="601125AA"/>
    <w:rsid w:val="605978A7"/>
    <w:rsid w:val="61AA5883"/>
    <w:rsid w:val="62AA6030"/>
    <w:rsid w:val="62EA33EE"/>
    <w:rsid w:val="643F0864"/>
    <w:rsid w:val="64F83704"/>
    <w:rsid w:val="655360D3"/>
    <w:rsid w:val="6638582B"/>
    <w:rsid w:val="685C024C"/>
    <w:rsid w:val="68693658"/>
    <w:rsid w:val="687930D2"/>
    <w:rsid w:val="689E5655"/>
    <w:rsid w:val="691F6DFF"/>
    <w:rsid w:val="69CA1DC3"/>
    <w:rsid w:val="6D2463F9"/>
    <w:rsid w:val="6E90322C"/>
    <w:rsid w:val="6EAF27FF"/>
    <w:rsid w:val="6F6A57DA"/>
    <w:rsid w:val="6F783607"/>
    <w:rsid w:val="70A94E62"/>
    <w:rsid w:val="73DD7DF4"/>
    <w:rsid w:val="74037E8B"/>
    <w:rsid w:val="746F7452"/>
    <w:rsid w:val="75D85A64"/>
    <w:rsid w:val="7683530E"/>
    <w:rsid w:val="76AA03AB"/>
    <w:rsid w:val="778E52DF"/>
    <w:rsid w:val="77B95F79"/>
    <w:rsid w:val="78037C7F"/>
    <w:rsid w:val="79B44103"/>
    <w:rsid w:val="7BA2380E"/>
    <w:rsid w:val="7BB42002"/>
    <w:rsid w:val="7D337394"/>
    <w:rsid w:val="7D5A3B35"/>
    <w:rsid w:val="7D812F9A"/>
    <w:rsid w:val="7E35312F"/>
    <w:rsid w:val="7F5B0B7E"/>
    <w:rsid w:val="7FA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534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5F253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5F2534"/>
    <w:pPr>
      <w:jc w:val="left"/>
    </w:pPr>
  </w:style>
  <w:style w:type="paragraph" w:styleId="a4">
    <w:name w:val="Date"/>
    <w:basedOn w:val="a"/>
    <w:next w:val="a"/>
    <w:link w:val="Char0"/>
    <w:qFormat/>
    <w:rsid w:val="005F2534"/>
    <w:pPr>
      <w:ind w:leftChars="2500" w:left="100"/>
    </w:pPr>
  </w:style>
  <w:style w:type="paragraph" w:styleId="a5">
    <w:name w:val="Balloon Text"/>
    <w:basedOn w:val="a"/>
    <w:link w:val="Char1"/>
    <w:qFormat/>
    <w:rsid w:val="005F2534"/>
    <w:rPr>
      <w:sz w:val="18"/>
      <w:szCs w:val="18"/>
    </w:rPr>
  </w:style>
  <w:style w:type="paragraph" w:styleId="a6">
    <w:name w:val="footer"/>
    <w:basedOn w:val="a"/>
    <w:qFormat/>
    <w:rsid w:val="005F2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5F2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2"/>
    <w:qFormat/>
    <w:rsid w:val="005F2534"/>
    <w:rPr>
      <w:b/>
      <w:bCs/>
    </w:rPr>
  </w:style>
  <w:style w:type="character" w:styleId="a9">
    <w:name w:val="Hyperlink"/>
    <w:qFormat/>
    <w:rsid w:val="005F2534"/>
    <w:rPr>
      <w:color w:val="0000FF"/>
      <w:u w:val="single"/>
    </w:rPr>
  </w:style>
  <w:style w:type="character" w:styleId="aa">
    <w:name w:val="annotation reference"/>
    <w:basedOn w:val="a0"/>
    <w:qFormat/>
    <w:rsid w:val="005F2534"/>
    <w:rPr>
      <w:sz w:val="21"/>
      <w:szCs w:val="21"/>
    </w:rPr>
  </w:style>
  <w:style w:type="character" w:customStyle="1" w:styleId="Char0">
    <w:name w:val="日期 Char"/>
    <w:link w:val="a4"/>
    <w:qFormat/>
    <w:rsid w:val="005F2534"/>
    <w:rPr>
      <w:kern w:val="2"/>
      <w:sz w:val="21"/>
    </w:rPr>
  </w:style>
  <w:style w:type="character" w:customStyle="1" w:styleId="2Char">
    <w:name w:val="标题 2 Char"/>
    <w:link w:val="2"/>
    <w:qFormat/>
    <w:rsid w:val="005F2534"/>
    <w:rPr>
      <w:rFonts w:ascii="Arial" w:eastAsia="黑体" w:hAnsi="Arial"/>
      <w:b/>
      <w:kern w:val="2"/>
      <w:sz w:val="32"/>
    </w:rPr>
  </w:style>
  <w:style w:type="character" w:customStyle="1" w:styleId="Char1">
    <w:name w:val="批注框文本 Char"/>
    <w:link w:val="a5"/>
    <w:qFormat/>
    <w:rsid w:val="005F2534"/>
    <w:rPr>
      <w:kern w:val="2"/>
      <w:sz w:val="18"/>
      <w:szCs w:val="18"/>
    </w:rPr>
  </w:style>
  <w:style w:type="paragraph" w:customStyle="1" w:styleId="Default">
    <w:name w:val="Default"/>
    <w:qFormat/>
    <w:rsid w:val="005F253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rsid w:val="005F2534"/>
    <w:pPr>
      <w:widowControl/>
    </w:pPr>
    <w:rPr>
      <w:kern w:val="0"/>
    </w:rPr>
  </w:style>
  <w:style w:type="character" w:customStyle="1" w:styleId="ab">
    <w:name w:val="未处理的提及"/>
    <w:uiPriority w:val="99"/>
    <w:semiHidden/>
    <w:unhideWhenUsed/>
    <w:qFormat/>
    <w:rsid w:val="005F2534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sid w:val="005F2534"/>
    <w:rPr>
      <w:kern w:val="2"/>
      <w:sz w:val="21"/>
    </w:rPr>
  </w:style>
  <w:style w:type="character" w:customStyle="1" w:styleId="Char">
    <w:name w:val="批注文字 Char"/>
    <w:basedOn w:val="a0"/>
    <w:link w:val="a3"/>
    <w:qFormat/>
    <w:rsid w:val="005F2534"/>
    <w:rPr>
      <w:kern w:val="2"/>
      <w:sz w:val="21"/>
    </w:rPr>
  </w:style>
  <w:style w:type="character" w:customStyle="1" w:styleId="Char2">
    <w:name w:val="批注主题 Char"/>
    <w:basedOn w:val="Char"/>
    <w:link w:val="a8"/>
    <w:qFormat/>
    <w:rsid w:val="005F2534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1501</Characters>
  <Application>Microsoft Office Word</Application>
  <DocSecurity>4</DocSecurity>
  <Lines>12</Lines>
  <Paragraphs>3</Paragraphs>
  <ScaleCrop>false</ScaleCrop>
  <Company>YHFund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2015-02-09T07:02:00Z</cp:lastPrinted>
  <dcterms:created xsi:type="dcterms:W3CDTF">2026-01-22T16:02:00Z</dcterms:created>
  <dcterms:modified xsi:type="dcterms:W3CDTF">2026-01-22T16:02:00Z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3A8573393CE948F89352F385F2471850</vt:lpwstr>
  </property>
</Properties>
</file>