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E4" w:rsidRDefault="002C3B33" w:rsidP="002C3B33">
      <w:pPr>
        <w:pStyle w:val="a3"/>
        <w:spacing w:before="172" w:line="219" w:lineRule="auto"/>
        <w:ind w:left="252"/>
        <w:jc w:val="center"/>
        <w:outlineLvl w:val="0"/>
        <w:rPr>
          <w:sz w:val="30"/>
          <w:szCs w:val="30"/>
          <w:lang w:eastAsia="zh-CN"/>
        </w:rPr>
      </w:pPr>
      <w:r>
        <w:rPr>
          <w:b/>
          <w:bCs/>
          <w:color w:val="2B2B2B"/>
          <w:spacing w:val="-3"/>
          <w:sz w:val="30"/>
          <w:szCs w:val="30"/>
          <w:lang w:eastAsia="zh-CN"/>
        </w:rPr>
        <w:t>西部利得基金管理有限公司关于旗下部分深交所</w:t>
      </w:r>
      <w:r>
        <w:rPr>
          <w:color w:val="2B2B2B"/>
          <w:spacing w:val="-56"/>
          <w:sz w:val="30"/>
          <w:szCs w:val="30"/>
          <w:lang w:eastAsia="zh-CN"/>
        </w:rPr>
        <w:t xml:space="preserve"> </w:t>
      </w:r>
      <w:r>
        <w:rPr>
          <w:rFonts w:ascii="Times New Roman" w:eastAsia="Times New Roman" w:hAnsi="Times New Roman" w:cs="Times New Roman"/>
          <w:b/>
          <w:bCs/>
          <w:color w:val="2B2B2B"/>
          <w:spacing w:val="-3"/>
          <w:sz w:val="30"/>
          <w:szCs w:val="30"/>
          <w:lang w:eastAsia="zh-CN"/>
        </w:rPr>
        <w:t xml:space="preserve">ETF </w:t>
      </w:r>
      <w:r>
        <w:rPr>
          <w:b/>
          <w:bCs/>
          <w:color w:val="2B2B2B"/>
          <w:spacing w:val="-3"/>
          <w:sz w:val="30"/>
          <w:szCs w:val="30"/>
          <w:lang w:eastAsia="zh-CN"/>
        </w:rPr>
        <w:t>变更场内简称</w:t>
      </w:r>
      <w:r>
        <w:rPr>
          <w:b/>
          <w:bCs/>
          <w:color w:val="2B2B2B"/>
          <w:spacing w:val="-15"/>
          <w:sz w:val="30"/>
          <w:szCs w:val="30"/>
          <w:lang w:eastAsia="zh-CN"/>
        </w:rPr>
        <w:t>的公告</w:t>
      </w:r>
    </w:p>
    <w:p w:rsidR="00AE2BE4" w:rsidRDefault="00AE2BE4">
      <w:pPr>
        <w:spacing w:line="270" w:lineRule="auto"/>
        <w:rPr>
          <w:lang w:eastAsia="zh-CN"/>
        </w:rPr>
      </w:pPr>
    </w:p>
    <w:p w:rsidR="00AE2BE4" w:rsidRDefault="00AE2BE4">
      <w:pPr>
        <w:spacing w:line="271" w:lineRule="auto"/>
        <w:rPr>
          <w:lang w:eastAsia="zh-CN"/>
        </w:rPr>
      </w:pPr>
    </w:p>
    <w:p w:rsidR="00AE2BE4" w:rsidRDefault="00D54E7A">
      <w:pPr>
        <w:pStyle w:val="a3"/>
        <w:spacing w:before="65" w:line="415" w:lineRule="auto"/>
        <w:ind w:left="228" w:right="219" w:firstLine="419"/>
        <w:jc w:val="both"/>
        <w:rPr>
          <w:lang w:eastAsia="zh-CN"/>
        </w:rPr>
      </w:pPr>
      <w:r>
        <w:rPr>
          <w:color w:val="2B2B2B"/>
          <w:spacing w:val="6"/>
          <w:lang w:eastAsia="zh-CN"/>
        </w:rPr>
        <w:t>经向深圳证券交易所申请，</w:t>
      </w:r>
      <w:r w:rsidR="002C3B33">
        <w:rPr>
          <w:color w:val="2B2B2B"/>
          <w:spacing w:val="6"/>
          <w:lang w:eastAsia="zh-CN"/>
        </w:rPr>
        <w:t>西部利得</w:t>
      </w:r>
      <w:r>
        <w:rPr>
          <w:color w:val="2B2B2B"/>
          <w:spacing w:val="6"/>
          <w:lang w:eastAsia="zh-CN"/>
        </w:rPr>
        <w:t>基金管理有限公司（以下简称</w:t>
      </w:r>
      <w:r>
        <w:rPr>
          <w:color w:val="2B2B2B"/>
          <w:spacing w:val="6"/>
          <w:lang w:eastAsia="zh-CN"/>
        </w:rPr>
        <w:t>“</w:t>
      </w:r>
      <w:r>
        <w:rPr>
          <w:color w:val="2B2B2B"/>
          <w:spacing w:val="6"/>
          <w:lang w:eastAsia="zh-CN"/>
        </w:rPr>
        <w:t>本公司</w:t>
      </w:r>
      <w:r>
        <w:rPr>
          <w:color w:val="2B2B2B"/>
          <w:spacing w:val="-55"/>
          <w:lang w:eastAsia="zh-CN"/>
        </w:rPr>
        <w:t xml:space="preserve"> </w:t>
      </w:r>
      <w:r>
        <w:rPr>
          <w:color w:val="2B2B2B"/>
          <w:spacing w:val="6"/>
          <w:lang w:eastAsia="zh-CN"/>
        </w:rPr>
        <w:t>”</w:t>
      </w:r>
      <w:r>
        <w:rPr>
          <w:color w:val="2B2B2B"/>
          <w:spacing w:val="6"/>
          <w:lang w:eastAsia="zh-CN"/>
        </w:rPr>
        <w:t>或</w:t>
      </w:r>
      <w:r>
        <w:rPr>
          <w:color w:val="2B2B2B"/>
          <w:spacing w:val="6"/>
          <w:lang w:eastAsia="zh-CN"/>
        </w:rPr>
        <w:t>“</w:t>
      </w:r>
      <w:r>
        <w:rPr>
          <w:color w:val="2B2B2B"/>
          <w:spacing w:val="6"/>
          <w:lang w:eastAsia="zh-CN"/>
        </w:rPr>
        <w:t>本基金管理人</w:t>
      </w:r>
      <w:r>
        <w:rPr>
          <w:color w:val="2B2B2B"/>
          <w:spacing w:val="-70"/>
          <w:lang w:eastAsia="zh-CN"/>
        </w:rPr>
        <w:t xml:space="preserve"> </w:t>
      </w:r>
      <w:r>
        <w:rPr>
          <w:color w:val="2B2B2B"/>
          <w:spacing w:val="6"/>
          <w:lang w:eastAsia="zh-CN"/>
        </w:rPr>
        <w:t>”</w:t>
      </w:r>
      <w:r>
        <w:rPr>
          <w:color w:val="2B2B2B"/>
          <w:spacing w:val="6"/>
          <w:lang w:eastAsia="zh-CN"/>
        </w:rPr>
        <w:t>）</w:t>
      </w:r>
      <w:r>
        <w:rPr>
          <w:spacing w:val="6"/>
          <w:lang w:eastAsia="zh-CN"/>
        </w:rPr>
        <w:t>决定自</w:t>
      </w:r>
      <w:r>
        <w:rPr>
          <w:rFonts w:ascii="Times New Roman" w:eastAsia="Times New Roman" w:hAnsi="Times New Roman" w:cs="Times New Roman"/>
          <w:color w:val="2B2B2B"/>
          <w:spacing w:val="6"/>
          <w:lang w:eastAsia="zh-CN"/>
        </w:rPr>
        <w:t xml:space="preserve">2026 </w:t>
      </w:r>
      <w:r>
        <w:rPr>
          <w:color w:val="2B2B2B"/>
          <w:spacing w:val="6"/>
          <w:lang w:eastAsia="zh-CN"/>
        </w:rPr>
        <w:t>年</w:t>
      </w:r>
      <w:r>
        <w:rPr>
          <w:color w:val="2B2B2B"/>
          <w:spacing w:val="-23"/>
          <w:lang w:eastAsia="zh-CN"/>
        </w:rPr>
        <w:t xml:space="preserve"> </w:t>
      </w:r>
      <w:r>
        <w:rPr>
          <w:rFonts w:ascii="Times New Roman" w:eastAsia="Times New Roman" w:hAnsi="Times New Roman" w:cs="Times New Roman"/>
          <w:color w:val="2B2B2B"/>
          <w:spacing w:val="6"/>
          <w:lang w:eastAsia="zh-CN"/>
        </w:rPr>
        <w:t>1</w:t>
      </w:r>
      <w:r>
        <w:rPr>
          <w:rFonts w:ascii="Times New Roman" w:eastAsia="Times New Roman" w:hAnsi="Times New Roman" w:cs="Times New Roman"/>
          <w:color w:val="2B2B2B"/>
          <w:spacing w:val="17"/>
          <w:lang w:eastAsia="zh-CN"/>
        </w:rPr>
        <w:t xml:space="preserve"> </w:t>
      </w:r>
      <w:r>
        <w:rPr>
          <w:color w:val="2B2B2B"/>
          <w:spacing w:val="6"/>
          <w:lang w:eastAsia="zh-CN"/>
        </w:rPr>
        <w:t>月</w:t>
      </w:r>
      <w:r w:rsidR="002C3B33">
        <w:rPr>
          <w:rFonts w:ascii="Times New Roman" w:eastAsiaTheme="minorEastAsia" w:hAnsi="Times New Roman" w:cs="Times New Roman" w:hint="eastAsia"/>
          <w:color w:val="2B2B2B"/>
          <w:spacing w:val="6"/>
          <w:lang w:eastAsia="zh-CN"/>
        </w:rPr>
        <w:t>26</w:t>
      </w:r>
      <w:r>
        <w:rPr>
          <w:rFonts w:ascii="Times New Roman" w:eastAsia="Times New Roman" w:hAnsi="Times New Roman" w:cs="Times New Roman"/>
          <w:color w:val="2B2B2B"/>
          <w:spacing w:val="6"/>
          <w:lang w:eastAsia="zh-CN"/>
        </w:rPr>
        <w:t xml:space="preserve"> </w:t>
      </w:r>
      <w:r>
        <w:rPr>
          <w:color w:val="2B2B2B"/>
          <w:spacing w:val="6"/>
          <w:lang w:eastAsia="zh-CN"/>
        </w:rPr>
        <w:t>日</w:t>
      </w:r>
      <w:r>
        <w:rPr>
          <w:spacing w:val="6"/>
          <w:lang w:eastAsia="zh-CN"/>
        </w:rPr>
        <w:t>起变更旗下</w:t>
      </w:r>
      <w:r>
        <w:rPr>
          <w:color w:val="2B2B2B"/>
          <w:spacing w:val="6"/>
          <w:lang w:eastAsia="zh-CN"/>
        </w:rPr>
        <w:t>部分深交</w:t>
      </w:r>
      <w:r>
        <w:rPr>
          <w:color w:val="2B2B2B"/>
          <w:spacing w:val="5"/>
          <w:lang w:eastAsia="zh-CN"/>
        </w:rPr>
        <w:t>所</w:t>
      </w:r>
      <w:r>
        <w:rPr>
          <w:color w:val="2B2B2B"/>
          <w:spacing w:val="-43"/>
          <w:lang w:eastAsia="zh-CN"/>
        </w:rPr>
        <w:t xml:space="preserve"> </w:t>
      </w:r>
      <w:r>
        <w:rPr>
          <w:rFonts w:ascii="Times New Roman" w:eastAsia="Times New Roman" w:hAnsi="Times New Roman" w:cs="Times New Roman"/>
          <w:color w:val="2B2B2B"/>
          <w:lang w:eastAsia="zh-CN"/>
        </w:rPr>
        <w:t>ETF</w:t>
      </w:r>
      <w:r>
        <w:rPr>
          <w:rFonts w:ascii="Times New Roman" w:eastAsia="Times New Roman" w:hAnsi="Times New Roman" w:cs="Times New Roman"/>
          <w:color w:val="2B2B2B"/>
          <w:spacing w:val="32"/>
          <w:lang w:eastAsia="zh-CN"/>
        </w:rPr>
        <w:t xml:space="preserve"> </w:t>
      </w:r>
      <w:r>
        <w:rPr>
          <w:color w:val="2B2B2B"/>
          <w:spacing w:val="5"/>
          <w:lang w:eastAsia="zh-CN"/>
        </w:rPr>
        <w:t>的</w:t>
      </w:r>
      <w:r>
        <w:rPr>
          <w:spacing w:val="5"/>
          <w:lang w:eastAsia="zh-CN"/>
        </w:rPr>
        <w:t>场内简称，</w:t>
      </w:r>
      <w:r>
        <w:rPr>
          <w:color w:val="2B2B2B"/>
          <w:spacing w:val="5"/>
          <w:lang w:eastAsia="zh-CN"/>
        </w:rPr>
        <w:t>涉及基金及变</w:t>
      </w:r>
      <w:r>
        <w:rPr>
          <w:color w:val="2B2B2B"/>
          <w:spacing w:val="6"/>
          <w:lang w:eastAsia="zh-CN"/>
        </w:rPr>
        <w:t>更情况如下：</w:t>
      </w:r>
    </w:p>
    <w:p w:rsidR="00AE2BE4" w:rsidRDefault="00AE2BE4">
      <w:pPr>
        <w:spacing w:line="165" w:lineRule="exact"/>
        <w:rPr>
          <w:lang w:eastAsia="zh-CN"/>
        </w:rPr>
      </w:pPr>
    </w:p>
    <w:tbl>
      <w:tblPr>
        <w:tblStyle w:val="TableNormal"/>
        <w:tblW w:w="87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61"/>
        <w:gridCol w:w="3418"/>
        <w:gridCol w:w="2086"/>
        <w:gridCol w:w="2171"/>
      </w:tblGrid>
      <w:tr w:rsidR="00AE2BE4">
        <w:trPr>
          <w:trHeight w:val="322"/>
        </w:trPr>
        <w:tc>
          <w:tcPr>
            <w:tcW w:w="1061" w:type="dxa"/>
          </w:tcPr>
          <w:p w:rsidR="00AE2BE4" w:rsidRDefault="00D54E7A">
            <w:pPr>
              <w:pStyle w:val="TableText"/>
              <w:spacing w:before="56" w:line="228" w:lineRule="auto"/>
              <w:ind w:left="115"/>
            </w:pPr>
            <w:r>
              <w:rPr>
                <w:spacing w:val="7"/>
              </w:rPr>
              <w:t>基金代码</w:t>
            </w:r>
          </w:p>
        </w:tc>
        <w:tc>
          <w:tcPr>
            <w:tcW w:w="3418" w:type="dxa"/>
          </w:tcPr>
          <w:p w:rsidR="00AE2BE4" w:rsidRDefault="00D54E7A">
            <w:pPr>
              <w:pStyle w:val="TableText"/>
              <w:spacing w:before="55" w:line="231" w:lineRule="auto"/>
              <w:ind w:left="1293"/>
            </w:pPr>
            <w:r>
              <w:rPr>
                <w:spacing w:val="7"/>
              </w:rPr>
              <w:t>基金名称</w:t>
            </w:r>
          </w:p>
        </w:tc>
        <w:tc>
          <w:tcPr>
            <w:tcW w:w="2086" w:type="dxa"/>
          </w:tcPr>
          <w:p w:rsidR="00AE2BE4" w:rsidRDefault="00D54E7A">
            <w:pPr>
              <w:pStyle w:val="TableText"/>
              <w:spacing w:before="55" w:line="228" w:lineRule="auto"/>
              <w:ind w:left="527"/>
            </w:pPr>
            <w:r>
              <w:rPr>
                <w:spacing w:val="7"/>
              </w:rPr>
              <w:t>原场内简称</w:t>
            </w:r>
          </w:p>
        </w:tc>
        <w:tc>
          <w:tcPr>
            <w:tcW w:w="2171" w:type="dxa"/>
          </w:tcPr>
          <w:p w:rsidR="00AE2BE4" w:rsidRDefault="00D54E7A">
            <w:pPr>
              <w:pStyle w:val="TableText"/>
              <w:spacing w:before="55" w:line="228" w:lineRule="auto"/>
              <w:ind w:left="356"/>
            </w:pPr>
            <w:r>
              <w:rPr>
                <w:spacing w:val="8"/>
              </w:rPr>
              <w:t>变更后场内简称</w:t>
            </w:r>
          </w:p>
        </w:tc>
      </w:tr>
      <w:tr w:rsidR="00AE2BE4" w:rsidTr="002C3B33">
        <w:trPr>
          <w:trHeight w:val="628"/>
        </w:trPr>
        <w:tc>
          <w:tcPr>
            <w:tcW w:w="1061" w:type="dxa"/>
            <w:vAlign w:val="center"/>
          </w:tcPr>
          <w:p w:rsidR="00AE2BE4" w:rsidRDefault="00D54E7A" w:rsidP="002C3B33">
            <w:pPr>
              <w:pStyle w:val="TableText"/>
              <w:spacing w:before="206" w:line="269" w:lineRule="exact"/>
              <w:ind w:left="236"/>
              <w:jc w:val="center"/>
              <w:rPr>
                <w:lang w:eastAsia="zh-CN"/>
              </w:rPr>
            </w:pPr>
            <w:r>
              <w:rPr>
                <w:position w:val="1"/>
              </w:rPr>
              <w:t>159</w:t>
            </w:r>
            <w:r w:rsidR="002C3B33">
              <w:rPr>
                <w:rFonts w:hint="eastAsia"/>
                <w:position w:val="1"/>
                <w:lang w:eastAsia="zh-CN"/>
              </w:rPr>
              <w:t>814</w:t>
            </w:r>
          </w:p>
        </w:tc>
        <w:tc>
          <w:tcPr>
            <w:tcW w:w="3418" w:type="dxa"/>
            <w:vAlign w:val="center"/>
          </w:tcPr>
          <w:p w:rsidR="00AE2BE4" w:rsidRDefault="002C3B33" w:rsidP="002C3B33">
            <w:pPr>
              <w:pStyle w:val="TableText"/>
              <w:spacing w:before="64" w:line="235" w:lineRule="auto"/>
              <w:jc w:val="center"/>
            </w:pPr>
            <w:r>
              <w:rPr>
                <w:rFonts w:hint="eastAsia"/>
                <w:spacing w:val="9"/>
                <w:lang w:eastAsia="zh-CN"/>
              </w:rPr>
              <w:t>西部利得创业板大盘交易型开放式指数证券投资基金</w:t>
            </w:r>
          </w:p>
        </w:tc>
        <w:tc>
          <w:tcPr>
            <w:tcW w:w="2086" w:type="dxa"/>
            <w:vAlign w:val="center"/>
          </w:tcPr>
          <w:p w:rsidR="00AE2BE4" w:rsidRDefault="002C3B33" w:rsidP="002C3B33">
            <w:pPr>
              <w:pStyle w:val="TableText"/>
              <w:spacing w:before="206" w:line="228" w:lineRule="auto"/>
              <w:ind w:left="418"/>
              <w:jc w:val="center"/>
              <w:rPr>
                <w:lang w:eastAsia="zh-CN"/>
              </w:rPr>
            </w:pPr>
            <w:r>
              <w:rPr>
                <w:rFonts w:hint="eastAsia"/>
                <w:spacing w:val="6"/>
                <w:lang w:eastAsia="zh-CN"/>
              </w:rPr>
              <w:t>创业大盘ETF</w:t>
            </w:r>
          </w:p>
        </w:tc>
        <w:tc>
          <w:tcPr>
            <w:tcW w:w="2171" w:type="dxa"/>
            <w:vAlign w:val="center"/>
          </w:tcPr>
          <w:p w:rsidR="00AE2BE4" w:rsidRDefault="002C3B33" w:rsidP="002C3B33">
            <w:pPr>
              <w:pStyle w:val="TableText"/>
              <w:spacing w:before="206" w:line="228" w:lineRule="auto"/>
              <w:jc w:val="center"/>
              <w:rPr>
                <w:lang w:eastAsia="zh-CN"/>
              </w:rPr>
            </w:pPr>
            <w:r>
              <w:rPr>
                <w:rFonts w:hint="eastAsia"/>
                <w:spacing w:val="6"/>
                <w:lang w:eastAsia="zh-CN"/>
              </w:rPr>
              <w:t>创业大盘ETF西部利得</w:t>
            </w:r>
          </w:p>
        </w:tc>
      </w:tr>
      <w:tr w:rsidR="00AE2BE4" w:rsidTr="002C3B33">
        <w:trPr>
          <w:trHeight w:val="628"/>
        </w:trPr>
        <w:tc>
          <w:tcPr>
            <w:tcW w:w="1061" w:type="dxa"/>
            <w:vAlign w:val="center"/>
          </w:tcPr>
          <w:p w:rsidR="00AE2BE4" w:rsidRDefault="00D54E7A" w:rsidP="002C3B33">
            <w:pPr>
              <w:pStyle w:val="TableText"/>
              <w:spacing w:before="209" w:line="269" w:lineRule="exact"/>
              <w:ind w:left="236"/>
              <w:jc w:val="center"/>
              <w:rPr>
                <w:lang w:eastAsia="zh-CN"/>
              </w:rPr>
            </w:pPr>
            <w:r>
              <w:rPr>
                <w:position w:val="1"/>
              </w:rPr>
              <w:t>1597</w:t>
            </w:r>
            <w:r w:rsidR="002C3B33">
              <w:rPr>
                <w:rFonts w:hint="eastAsia"/>
                <w:position w:val="1"/>
                <w:lang w:eastAsia="zh-CN"/>
              </w:rPr>
              <w:t>08</w:t>
            </w:r>
          </w:p>
        </w:tc>
        <w:tc>
          <w:tcPr>
            <w:tcW w:w="3418" w:type="dxa"/>
            <w:vAlign w:val="center"/>
          </w:tcPr>
          <w:p w:rsidR="00AE2BE4" w:rsidRDefault="002C3B33" w:rsidP="002C3B33">
            <w:pPr>
              <w:pStyle w:val="TableText"/>
              <w:spacing w:before="65" w:line="229" w:lineRule="auto"/>
              <w:jc w:val="center"/>
            </w:pPr>
            <w:r>
              <w:rPr>
                <w:rFonts w:hint="eastAsia"/>
                <w:spacing w:val="9"/>
                <w:lang w:eastAsia="zh-CN"/>
              </w:rPr>
              <w:t>西部利得深证红利交易型开放式指数证券投资基金</w:t>
            </w:r>
          </w:p>
        </w:tc>
        <w:tc>
          <w:tcPr>
            <w:tcW w:w="2086" w:type="dxa"/>
            <w:vAlign w:val="center"/>
          </w:tcPr>
          <w:p w:rsidR="00AE2BE4" w:rsidRDefault="002C3B33" w:rsidP="002C3B33">
            <w:pPr>
              <w:pStyle w:val="TableText"/>
              <w:spacing w:before="209" w:line="228" w:lineRule="auto"/>
              <w:ind w:left="232"/>
              <w:jc w:val="center"/>
              <w:rPr>
                <w:lang w:eastAsia="zh-CN"/>
              </w:rPr>
            </w:pPr>
            <w:r>
              <w:rPr>
                <w:rFonts w:hint="eastAsia"/>
                <w:spacing w:val="9"/>
                <w:lang w:eastAsia="zh-CN"/>
              </w:rPr>
              <w:t>红利ETF</w:t>
            </w:r>
          </w:p>
        </w:tc>
        <w:tc>
          <w:tcPr>
            <w:tcW w:w="2171" w:type="dxa"/>
            <w:vAlign w:val="center"/>
          </w:tcPr>
          <w:p w:rsidR="00AE2BE4" w:rsidRDefault="002C3B33" w:rsidP="002C3B33">
            <w:pPr>
              <w:pStyle w:val="TableText"/>
              <w:spacing w:before="209" w:line="228" w:lineRule="auto"/>
              <w:ind w:left="248"/>
              <w:jc w:val="center"/>
              <w:rPr>
                <w:lang w:eastAsia="zh-CN"/>
              </w:rPr>
            </w:pPr>
            <w:r>
              <w:rPr>
                <w:rFonts w:hint="eastAsia"/>
                <w:spacing w:val="8"/>
                <w:lang w:eastAsia="zh-CN"/>
              </w:rPr>
              <w:t>红利ETF西部利得</w:t>
            </w:r>
          </w:p>
        </w:tc>
      </w:tr>
    </w:tbl>
    <w:p w:rsidR="00AE2BE4" w:rsidRDefault="00AE2BE4">
      <w:pPr>
        <w:spacing w:line="302" w:lineRule="auto"/>
      </w:pPr>
    </w:p>
    <w:p w:rsidR="00AE2BE4" w:rsidRDefault="00D54E7A">
      <w:pPr>
        <w:pStyle w:val="a3"/>
        <w:spacing w:before="66" w:line="228" w:lineRule="auto"/>
        <w:ind w:left="645"/>
        <w:rPr>
          <w:lang w:eastAsia="zh-CN"/>
        </w:rPr>
      </w:pPr>
      <w:r>
        <w:rPr>
          <w:spacing w:val="8"/>
          <w:lang w:eastAsia="zh-CN"/>
        </w:rPr>
        <w:t>基金代码、基金名称等其他事项保持不变。</w:t>
      </w:r>
    </w:p>
    <w:p w:rsidR="00AE2BE4" w:rsidRDefault="00D54E7A">
      <w:pPr>
        <w:pStyle w:val="a3"/>
        <w:spacing w:before="270" w:line="388" w:lineRule="auto"/>
        <w:ind w:left="226" w:right="219" w:firstLine="420"/>
        <w:rPr>
          <w:lang w:eastAsia="zh-CN"/>
        </w:rPr>
      </w:pPr>
      <w:r>
        <w:rPr>
          <w:spacing w:val="7"/>
          <w:lang w:eastAsia="zh-CN"/>
        </w:rPr>
        <w:t>本次变更上述基金的场内简称对基金份额持有人利益无实质性不利影响，且不涉及基金</w:t>
      </w:r>
      <w:r>
        <w:rPr>
          <w:spacing w:val="9"/>
          <w:lang w:eastAsia="zh-CN"/>
        </w:rPr>
        <w:t>合同当事人权利义务关系发生变化，无需召开基金份额持有人大会。</w:t>
      </w:r>
    </w:p>
    <w:p w:rsidR="00AE2BE4" w:rsidRDefault="002C3B33">
      <w:pPr>
        <w:pStyle w:val="a3"/>
        <w:spacing w:before="2" w:line="387" w:lineRule="auto"/>
        <w:ind w:left="230" w:right="230" w:firstLine="418"/>
        <w:rPr>
          <w:lang w:eastAsia="zh-CN"/>
        </w:rPr>
      </w:pPr>
      <w:r w:rsidRPr="002C3B33">
        <w:rPr>
          <w:spacing w:val="9"/>
          <w:lang w:eastAsia="zh-CN"/>
        </w:rPr>
        <w:t>投资者可以登陆西部利得基金管理有限公司网站 www.westleadfund.com 或拨打西部利得基金管理有限公司客户服务热线 400-700-7818 进行相关咨询</w:t>
      </w:r>
      <w:r>
        <w:rPr>
          <w:spacing w:val="10"/>
          <w:lang w:eastAsia="zh-CN"/>
        </w:rPr>
        <w:t>。</w:t>
      </w:r>
    </w:p>
    <w:p w:rsidR="00AE2BE4" w:rsidRDefault="00D54E7A" w:rsidP="002C3B33">
      <w:pPr>
        <w:pStyle w:val="a3"/>
        <w:spacing w:before="3" w:after="0" w:line="387" w:lineRule="auto"/>
        <w:ind w:left="225" w:right="163" w:firstLine="480"/>
        <w:jc w:val="both"/>
        <w:rPr>
          <w:lang w:eastAsia="zh-CN"/>
        </w:rPr>
      </w:pPr>
      <w:r>
        <w:rPr>
          <w:spacing w:val="10"/>
          <w:lang w:eastAsia="zh-CN"/>
        </w:rPr>
        <w:t>风险提示：基金管理人承诺以诚实信用、勤勉尽责的原则</w:t>
      </w:r>
      <w:r>
        <w:rPr>
          <w:spacing w:val="9"/>
          <w:lang w:eastAsia="zh-CN"/>
        </w:rPr>
        <w:t>管理和运用基金资产，但不</w:t>
      </w:r>
      <w:r>
        <w:rPr>
          <w:spacing w:val="4"/>
          <w:lang w:eastAsia="zh-CN"/>
        </w:rPr>
        <w:t>保证基金一定盈利，也不保证最低收益。基金的过往业绩并不代</w:t>
      </w:r>
      <w:r>
        <w:rPr>
          <w:spacing w:val="3"/>
          <w:lang w:eastAsia="zh-CN"/>
        </w:rPr>
        <w:t>表其将来表现。投资有风险，</w:t>
      </w:r>
      <w:r>
        <w:rPr>
          <w:spacing w:val="7"/>
          <w:lang w:eastAsia="zh-CN"/>
        </w:rPr>
        <w:t>投资者投资于本公司旗下基金前应认真阅读各基金的基金合同、招募说明书和基金产品资料</w:t>
      </w:r>
      <w:r>
        <w:rPr>
          <w:spacing w:val="9"/>
          <w:lang w:eastAsia="zh-CN"/>
        </w:rPr>
        <w:t>概要等文件，并选择适合自身风险承受能力的投资品种进行投资。</w:t>
      </w:r>
    </w:p>
    <w:p w:rsidR="00AE2BE4" w:rsidRDefault="00D54E7A" w:rsidP="002C3B33">
      <w:pPr>
        <w:pStyle w:val="a3"/>
        <w:spacing w:before="1" w:after="0" w:line="226" w:lineRule="auto"/>
        <w:ind w:left="705"/>
        <w:rPr>
          <w:spacing w:val="5"/>
          <w:lang w:eastAsia="zh-CN"/>
        </w:rPr>
      </w:pPr>
      <w:r>
        <w:rPr>
          <w:spacing w:val="5"/>
          <w:lang w:eastAsia="zh-CN"/>
        </w:rPr>
        <w:t>特此公告。</w:t>
      </w:r>
    </w:p>
    <w:p w:rsidR="002C3B33" w:rsidRDefault="002C3B33" w:rsidP="002C3B33">
      <w:pPr>
        <w:pStyle w:val="a3"/>
        <w:spacing w:before="1" w:after="0" w:line="226" w:lineRule="auto"/>
        <w:ind w:left="705"/>
        <w:rPr>
          <w:spacing w:val="5"/>
          <w:lang w:eastAsia="zh-CN"/>
        </w:rPr>
      </w:pPr>
    </w:p>
    <w:p w:rsidR="002C3B33" w:rsidRDefault="002C3B33" w:rsidP="002C3B33">
      <w:pPr>
        <w:pStyle w:val="a3"/>
        <w:spacing w:before="1" w:after="0" w:line="226" w:lineRule="auto"/>
        <w:ind w:left="705"/>
        <w:rPr>
          <w:spacing w:val="5"/>
          <w:lang w:eastAsia="zh-CN"/>
        </w:rPr>
      </w:pPr>
    </w:p>
    <w:p w:rsidR="002C3B33" w:rsidRDefault="002C3B33" w:rsidP="002C3B33">
      <w:pPr>
        <w:pStyle w:val="a3"/>
        <w:spacing w:before="1" w:after="0" w:line="226" w:lineRule="auto"/>
        <w:ind w:left="705"/>
        <w:rPr>
          <w:spacing w:val="5"/>
          <w:lang w:eastAsia="zh-CN"/>
        </w:rPr>
      </w:pPr>
    </w:p>
    <w:p w:rsidR="002C3B33" w:rsidRDefault="002C3B33" w:rsidP="002C3B33">
      <w:pPr>
        <w:pStyle w:val="a3"/>
        <w:spacing w:before="1" w:after="0" w:line="226" w:lineRule="auto"/>
        <w:ind w:left="705"/>
        <w:rPr>
          <w:spacing w:val="5"/>
          <w:lang w:eastAsia="zh-CN"/>
        </w:rPr>
      </w:pPr>
    </w:p>
    <w:p w:rsidR="002C3B33" w:rsidRDefault="002C3B33" w:rsidP="002C3B33">
      <w:pPr>
        <w:pStyle w:val="a3"/>
        <w:spacing w:before="65" w:after="0" w:line="228" w:lineRule="auto"/>
        <w:ind w:right="15"/>
        <w:jc w:val="right"/>
        <w:rPr>
          <w:lang w:eastAsia="zh-CN"/>
        </w:rPr>
      </w:pPr>
      <w:r>
        <w:rPr>
          <w:color w:val="2B2B2B"/>
          <w:spacing w:val="8"/>
          <w:lang w:eastAsia="zh-CN"/>
        </w:rPr>
        <w:t>西部利得基金管理有限公司</w:t>
      </w:r>
    </w:p>
    <w:p w:rsidR="002C3B33" w:rsidRDefault="002C3B33" w:rsidP="002C3B33">
      <w:pPr>
        <w:pStyle w:val="a3"/>
        <w:spacing w:before="189" w:after="0" w:line="275" w:lineRule="exact"/>
        <w:jc w:val="right"/>
        <w:rPr>
          <w:lang w:eastAsia="zh-CN"/>
        </w:rPr>
        <w:sectPr w:rsidR="002C3B33">
          <w:pgSz w:w="11906" w:h="16839"/>
          <w:pgMar w:top="1431" w:right="1582" w:bottom="0" w:left="1582" w:header="0" w:footer="0" w:gutter="0"/>
          <w:cols w:space="720"/>
        </w:sectPr>
      </w:pPr>
      <w:r>
        <w:rPr>
          <w:rFonts w:ascii="Times New Roman" w:eastAsia="Times New Roman" w:hAnsi="Times New Roman" w:cs="Times New Roman"/>
          <w:color w:val="2B2B2B"/>
          <w:spacing w:val="-6"/>
          <w:position w:val="1"/>
        </w:rPr>
        <w:t>2026</w:t>
      </w:r>
      <w:r>
        <w:rPr>
          <w:rFonts w:ascii="Times New Roman" w:eastAsia="Times New Roman" w:hAnsi="Times New Roman" w:cs="Times New Roman"/>
          <w:color w:val="2B2B2B"/>
          <w:spacing w:val="20"/>
          <w:position w:val="1"/>
        </w:rPr>
        <w:t xml:space="preserve"> </w:t>
      </w:r>
      <w:r>
        <w:rPr>
          <w:color w:val="2B2B2B"/>
          <w:spacing w:val="-6"/>
          <w:position w:val="1"/>
        </w:rPr>
        <w:t>年</w:t>
      </w:r>
      <w:r>
        <w:rPr>
          <w:color w:val="2B2B2B"/>
          <w:spacing w:val="-21"/>
          <w:position w:val="1"/>
        </w:rPr>
        <w:t xml:space="preserve"> </w:t>
      </w:r>
      <w:r>
        <w:rPr>
          <w:rFonts w:ascii="Times New Roman" w:eastAsia="Times New Roman" w:hAnsi="Times New Roman" w:cs="Times New Roman"/>
          <w:color w:val="2B2B2B"/>
          <w:spacing w:val="-6"/>
          <w:position w:val="1"/>
        </w:rPr>
        <w:t>1</w:t>
      </w:r>
      <w:r>
        <w:rPr>
          <w:rFonts w:ascii="Times New Roman" w:eastAsia="Times New Roman" w:hAnsi="Times New Roman" w:cs="Times New Roman"/>
          <w:color w:val="2B2B2B"/>
          <w:spacing w:val="15"/>
          <w:w w:val="101"/>
          <w:position w:val="1"/>
        </w:rPr>
        <w:t xml:space="preserve"> </w:t>
      </w:r>
      <w:r>
        <w:rPr>
          <w:color w:val="2B2B2B"/>
          <w:spacing w:val="-6"/>
          <w:position w:val="1"/>
        </w:rPr>
        <w:t>月</w:t>
      </w:r>
      <w:r>
        <w:rPr>
          <w:rFonts w:ascii="Times New Roman" w:eastAsiaTheme="minorEastAsia" w:hAnsi="Times New Roman" w:cs="Times New Roman" w:hint="eastAsia"/>
          <w:color w:val="2B2B2B"/>
          <w:spacing w:val="-6"/>
          <w:position w:val="1"/>
          <w:lang w:eastAsia="zh-CN"/>
        </w:rPr>
        <w:t>23</w:t>
      </w:r>
      <w:r>
        <w:rPr>
          <w:rFonts w:ascii="Times New Roman" w:eastAsia="Times New Roman" w:hAnsi="Times New Roman" w:cs="Times New Roman"/>
          <w:color w:val="2B2B2B"/>
          <w:spacing w:val="-6"/>
          <w:position w:val="1"/>
        </w:rPr>
        <w:t xml:space="preserve"> </w:t>
      </w:r>
      <w:r>
        <w:rPr>
          <w:color w:val="2B2B2B"/>
          <w:spacing w:val="-6"/>
          <w:position w:val="1"/>
        </w:rPr>
        <w:t>日</w:t>
      </w:r>
    </w:p>
    <w:p w:rsidR="00AE2BE4" w:rsidRDefault="00AE2BE4" w:rsidP="002C3B33">
      <w:pPr>
        <w:spacing w:after="0" w:line="245" w:lineRule="auto"/>
        <w:rPr>
          <w:lang w:eastAsia="zh-CN"/>
        </w:rPr>
      </w:pPr>
    </w:p>
    <w:sectPr w:rsidR="00AE2BE4" w:rsidSect="00E60114">
      <w:pgSz w:w="11906" w:h="16839"/>
      <w:pgMar w:top="1431" w:right="1785" w:bottom="0" w:left="1785" w:header="0" w:footer="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characterSpacingControl w:val="doNotCompress"/>
  <w:compat>
    <w:spaceForUL/>
    <w:ulTrailSpace/>
    <w:useFELayout/>
  </w:compat>
  <w:rsids>
    <w:rsidRoot w:val="00AE2BE4"/>
    <w:rsid w:val="002C3B33"/>
    <w:rsid w:val="00365F7F"/>
    <w:rsid w:val="00AE2BE4"/>
    <w:rsid w:val="00D54E7A"/>
    <w:rsid w:val="00E60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14"/>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E60114"/>
    <w:tblPr>
      <w:tblCellMar>
        <w:top w:w="0" w:type="dxa"/>
        <w:left w:w="0" w:type="dxa"/>
        <w:bottom w:w="0" w:type="dxa"/>
        <w:right w:w="0" w:type="dxa"/>
      </w:tblCellMar>
    </w:tblPr>
  </w:style>
  <w:style w:type="paragraph" w:styleId="a3">
    <w:name w:val="Body Text"/>
    <w:basedOn w:val="a"/>
    <w:semiHidden/>
    <w:qFormat/>
    <w:rsid w:val="00E60114"/>
    <w:rPr>
      <w:rFonts w:ascii="宋体" w:eastAsia="宋体" w:hAnsi="宋体" w:cs="宋体"/>
      <w:sz w:val="20"/>
      <w:szCs w:val="20"/>
    </w:rPr>
  </w:style>
  <w:style w:type="paragraph" w:customStyle="1" w:styleId="TableText">
    <w:name w:val="Table Text"/>
    <w:basedOn w:val="a"/>
    <w:semiHidden/>
    <w:qFormat/>
    <w:rsid w:val="00E60114"/>
    <w:rPr>
      <w:rFonts w:ascii="宋体" w:eastAsia="宋体" w:hAnsi="宋体" w:cs="宋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531</Characters>
  <Application>Microsoft Office Word</Application>
  <DocSecurity>4</DocSecurity>
  <Lines>4</Lines>
  <Paragraphs>1</Paragraphs>
  <ScaleCrop>false</ScaleCrop>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西部利得基金管理有限公司关于旗下部分深交所ETF变更场内简称的公告-20260123</dc:title>
  <dc:creator>宁成龙</dc:creator>
  <cp:lastModifiedBy>ZHONGM</cp:lastModifiedBy>
  <cp:revision>2</cp:revision>
  <dcterms:created xsi:type="dcterms:W3CDTF">2026-01-22T16:01:00Z</dcterms:created>
  <dcterms:modified xsi:type="dcterms:W3CDTF">2026-01-22T16:01:00Z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2026-01-19T10:04:45Z</vt:filetime>
  </property>
</Properties>
</file>