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60" w:rsidRDefault="00E03419" w:rsidP="00F14188">
      <w:pPr>
        <w:spacing w:line="360" w:lineRule="auto"/>
        <w:jc w:val="center"/>
        <w:rPr>
          <w:rFonts w:hAnsi="宋体"/>
          <w:b/>
          <w:bCs/>
          <w:color w:val="000000"/>
          <w:sz w:val="24"/>
        </w:rPr>
      </w:pPr>
      <w:bookmarkStart w:id="0" w:name="_GoBack"/>
      <w:bookmarkEnd w:id="0"/>
      <w:r>
        <w:rPr>
          <w:rFonts w:hAnsi="宋体" w:hint="eastAsia"/>
          <w:b/>
          <w:bCs/>
          <w:color w:val="000000"/>
          <w:sz w:val="24"/>
        </w:rPr>
        <w:t>华夏基金管理有限公司关于旗下部分开放式基金</w:t>
      </w:r>
    </w:p>
    <w:p w:rsidR="00E03419" w:rsidRDefault="00E03419" w:rsidP="00F14188">
      <w:pPr>
        <w:spacing w:line="360" w:lineRule="auto"/>
        <w:jc w:val="center"/>
        <w:rPr>
          <w:rFonts w:hAnsi="宋体"/>
          <w:b/>
          <w:bCs/>
          <w:color w:val="000000"/>
          <w:sz w:val="24"/>
        </w:rPr>
      </w:pPr>
      <w:r>
        <w:rPr>
          <w:rFonts w:hAnsi="宋体" w:hint="eastAsia"/>
          <w:b/>
          <w:bCs/>
          <w:color w:val="000000"/>
          <w:sz w:val="24"/>
        </w:rPr>
        <w:t>新增</w:t>
      </w:r>
      <w:r w:rsidR="009B4569">
        <w:rPr>
          <w:rFonts w:hAnsi="宋体" w:hint="eastAsia"/>
          <w:b/>
          <w:bCs/>
          <w:color w:val="000000"/>
          <w:sz w:val="24"/>
        </w:rPr>
        <w:t>国贸期货</w:t>
      </w:r>
      <w:r>
        <w:rPr>
          <w:rFonts w:hAnsi="宋体" w:hint="eastAsia"/>
          <w:b/>
          <w:bCs/>
          <w:color w:val="000000"/>
          <w:sz w:val="24"/>
        </w:rPr>
        <w:t>为代销机构的公告</w:t>
      </w:r>
    </w:p>
    <w:p w:rsidR="00E03419" w:rsidRDefault="00E03419" w:rsidP="00F14188">
      <w:pPr>
        <w:spacing w:line="360" w:lineRule="auto"/>
        <w:jc w:val="center"/>
        <w:rPr>
          <w:b/>
          <w:bCs/>
          <w:color w:val="000000"/>
          <w:sz w:val="24"/>
        </w:rPr>
      </w:pP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根据华夏基金管理有限公司（以下简称“本公司”）与</w:t>
      </w:r>
      <w:r w:rsidR="009B4569" w:rsidRPr="009B4569">
        <w:rPr>
          <w:rFonts w:hAnsi="宋体" w:hint="eastAsia"/>
          <w:color w:val="000000"/>
          <w:sz w:val="24"/>
        </w:rPr>
        <w:t>国贸期货有限公司</w:t>
      </w:r>
      <w:r>
        <w:rPr>
          <w:rFonts w:hAnsi="宋体" w:hint="eastAsia"/>
          <w:color w:val="000000"/>
          <w:sz w:val="24"/>
        </w:rPr>
        <w:t>（以下简称“</w:t>
      </w:r>
      <w:r w:rsidR="009B4569">
        <w:rPr>
          <w:rFonts w:hAnsi="宋体" w:hint="eastAsia"/>
          <w:color w:val="000000"/>
          <w:sz w:val="24"/>
        </w:rPr>
        <w:t>国贸期货</w:t>
      </w:r>
      <w:r>
        <w:rPr>
          <w:rFonts w:hAnsi="宋体" w:hint="eastAsia"/>
          <w:color w:val="000000"/>
          <w:sz w:val="24"/>
        </w:rPr>
        <w:t>”）签署的代销协议，</w:t>
      </w:r>
      <w:r w:rsidRPr="00901716">
        <w:rPr>
          <w:rFonts w:hAnsi="宋体" w:hint="eastAsia"/>
          <w:color w:val="000000"/>
          <w:sz w:val="24"/>
        </w:rPr>
        <w:t>投资</w:t>
      </w:r>
      <w:r w:rsidRPr="0080669B">
        <w:rPr>
          <w:rFonts w:hAnsi="宋体" w:hint="eastAsia"/>
          <w:color w:val="000000"/>
          <w:sz w:val="24"/>
        </w:rPr>
        <w:t>者可自</w:t>
      </w:r>
      <w:r w:rsidR="00276832">
        <w:rPr>
          <w:rFonts w:hAnsi="宋体"/>
          <w:color w:val="000000"/>
          <w:sz w:val="24"/>
        </w:rPr>
        <w:t>202</w:t>
      </w:r>
      <w:r w:rsidR="004500F2">
        <w:rPr>
          <w:rFonts w:hAnsi="宋体" w:hint="eastAsia"/>
          <w:color w:val="000000"/>
          <w:sz w:val="24"/>
        </w:rPr>
        <w:t>6</w:t>
      </w:r>
      <w:r w:rsidR="00276832">
        <w:rPr>
          <w:rFonts w:hAnsi="宋体"/>
          <w:color w:val="000000"/>
          <w:sz w:val="24"/>
        </w:rPr>
        <w:t>年</w:t>
      </w:r>
      <w:r w:rsidR="009B4569">
        <w:rPr>
          <w:rFonts w:hAnsi="宋体" w:hint="eastAsia"/>
          <w:color w:val="000000"/>
          <w:sz w:val="24"/>
        </w:rPr>
        <w:t>1</w:t>
      </w:r>
      <w:r w:rsidR="009B4569">
        <w:rPr>
          <w:rFonts w:hAnsi="宋体" w:hint="eastAsia"/>
          <w:color w:val="000000"/>
          <w:sz w:val="24"/>
        </w:rPr>
        <w:t>月</w:t>
      </w:r>
      <w:r w:rsidR="009B4569">
        <w:rPr>
          <w:rFonts w:hAnsi="宋体" w:hint="eastAsia"/>
          <w:color w:val="000000"/>
          <w:sz w:val="24"/>
        </w:rPr>
        <w:t>23</w:t>
      </w:r>
      <w:r w:rsidR="009B4569">
        <w:rPr>
          <w:rFonts w:hAnsi="宋体" w:hint="eastAsia"/>
          <w:color w:val="000000"/>
          <w:sz w:val="24"/>
        </w:rPr>
        <w:t>日</w:t>
      </w:r>
      <w:r w:rsidRPr="0080669B">
        <w:rPr>
          <w:rFonts w:hAnsi="宋体" w:hint="eastAsia"/>
          <w:color w:val="000000"/>
          <w:sz w:val="24"/>
        </w:rPr>
        <w:t>起在</w:t>
      </w:r>
      <w:r w:rsidR="009B4569">
        <w:rPr>
          <w:rFonts w:hAnsi="宋体" w:hint="eastAsia"/>
          <w:color w:val="000000"/>
          <w:sz w:val="24"/>
        </w:rPr>
        <w:t>国贸期货</w:t>
      </w:r>
      <w:r w:rsidRPr="0080669B">
        <w:rPr>
          <w:rFonts w:hAnsi="宋体" w:hint="eastAsia"/>
          <w:color w:val="000000"/>
          <w:sz w:val="24"/>
        </w:rPr>
        <w:t>办理</w:t>
      </w:r>
      <w:r>
        <w:rPr>
          <w:rFonts w:hAnsi="宋体" w:hint="eastAsia"/>
          <w:color w:val="000000"/>
          <w:sz w:val="24"/>
        </w:rPr>
        <w:t>本公司旗下</w:t>
      </w:r>
      <w:r w:rsidRPr="0080669B">
        <w:rPr>
          <w:rFonts w:hAnsi="宋体" w:hint="eastAsia"/>
          <w:color w:val="000000"/>
          <w:sz w:val="24"/>
        </w:rPr>
        <w:t>部分开放式基金的</w:t>
      </w:r>
      <w:r>
        <w:rPr>
          <w:rFonts w:hAnsi="宋体" w:hint="eastAsia"/>
          <w:color w:val="000000"/>
          <w:sz w:val="24"/>
        </w:rPr>
        <w:t>申购、赎回、转换、定期定额申购业务。</w:t>
      </w:r>
      <w:r w:rsidR="00527860">
        <w:rPr>
          <w:rFonts w:hAnsi="宋体" w:hint="eastAsia"/>
          <w:color w:val="000000"/>
          <w:sz w:val="24"/>
        </w:rPr>
        <w:t>具体情况如下：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一、基金</w:t>
      </w:r>
      <w:r w:rsidR="00527860">
        <w:rPr>
          <w:rFonts w:hAnsi="宋体" w:hint="eastAsia"/>
          <w:color w:val="000000"/>
          <w:sz w:val="24"/>
        </w:rPr>
        <w:t>明细</w:t>
      </w:r>
    </w:p>
    <w:tbl>
      <w:tblPr>
        <w:tblStyle w:val="aa"/>
        <w:tblW w:w="5000" w:type="pct"/>
        <w:tblLook w:val="04A0"/>
      </w:tblPr>
      <w:tblGrid>
        <w:gridCol w:w="1808"/>
        <w:gridCol w:w="2451"/>
        <w:gridCol w:w="1519"/>
        <w:gridCol w:w="2744"/>
      </w:tblGrid>
      <w:tr w:rsidR="00127342" w:rsidTr="004500F2">
        <w:tc>
          <w:tcPr>
            <w:tcW w:w="1061" w:type="pct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基金份额代码</w:t>
            </w:r>
          </w:p>
        </w:tc>
        <w:tc>
          <w:tcPr>
            <w:tcW w:w="1438" w:type="pct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</w:t>
            </w:r>
            <w:r w:rsidRPr="00997CE9">
              <w:rPr>
                <w:kern w:val="0"/>
                <w:szCs w:val="21"/>
              </w:rPr>
              <w:t>份额简称</w:t>
            </w:r>
          </w:p>
        </w:tc>
        <w:tc>
          <w:tcPr>
            <w:tcW w:w="891" w:type="pct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基金份额代码</w:t>
            </w:r>
          </w:p>
        </w:tc>
        <w:tc>
          <w:tcPr>
            <w:tcW w:w="1610" w:type="pct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</w:t>
            </w:r>
            <w:r w:rsidRPr="00997CE9">
              <w:rPr>
                <w:kern w:val="0"/>
                <w:szCs w:val="21"/>
              </w:rPr>
              <w:t>份额简称</w:t>
            </w:r>
          </w:p>
        </w:tc>
      </w:tr>
      <w:tr w:rsidR="009B4569" w:rsidTr="00AA70F9">
        <w:tc>
          <w:tcPr>
            <w:tcW w:w="106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004251</w:t>
            </w:r>
          </w:p>
        </w:tc>
        <w:tc>
          <w:tcPr>
            <w:tcW w:w="1438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华夏惠利货币</w:t>
            </w:r>
            <w:r w:rsidRPr="009B4569">
              <w:t>B</w:t>
            </w:r>
          </w:p>
        </w:tc>
        <w:tc>
          <w:tcPr>
            <w:tcW w:w="89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011612</w:t>
            </w:r>
          </w:p>
        </w:tc>
        <w:tc>
          <w:tcPr>
            <w:tcW w:w="1610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华夏科创</w:t>
            </w:r>
            <w:r w:rsidRPr="009B4569">
              <w:t>50ETF</w:t>
            </w:r>
            <w:r w:rsidRPr="009B4569">
              <w:t>联接</w:t>
            </w:r>
            <w:r w:rsidRPr="009B4569">
              <w:t>A</w:t>
            </w:r>
          </w:p>
        </w:tc>
      </w:tr>
      <w:tr w:rsidR="009B4569" w:rsidTr="00AA70F9">
        <w:tc>
          <w:tcPr>
            <w:tcW w:w="106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288201</w:t>
            </w:r>
          </w:p>
        </w:tc>
        <w:tc>
          <w:tcPr>
            <w:tcW w:w="1438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华夏货币</w:t>
            </w:r>
            <w:r w:rsidRPr="009B4569">
              <w:t>B</w:t>
            </w:r>
          </w:p>
        </w:tc>
        <w:tc>
          <w:tcPr>
            <w:tcW w:w="89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011613</w:t>
            </w:r>
          </w:p>
        </w:tc>
        <w:tc>
          <w:tcPr>
            <w:tcW w:w="1610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华夏科创</w:t>
            </w:r>
            <w:r w:rsidRPr="009B4569">
              <w:t>50ETF</w:t>
            </w:r>
            <w:r w:rsidRPr="009B4569">
              <w:t>联接</w:t>
            </w:r>
            <w:r w:rsidRPr="009B4569">
              <w:t>C</w:t>
            </w:r>
          </w:p>
        </w:tc>
      </w:tr>
      <w:tr w:rsidR="009B4569" w:rsidTr="00AA70F9">
        <w:tc>
          <w:tcPr>
            <w:tcW w:w="106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000051</w:t>
            </w:r>
          </w:p>
        </w:tc>
        <w:tc>
          <w:tcPr>
            <w:tcW w:w="1438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华夏沪深</w:t>
            </w:r>
            <w:r w:rsidRPr="009B4569">
              <w:t>300ETF</w:t>
            </w:r>
            <w:r w:rsidRPr="009B4569">
              <w:t>联接</w:t>
            </w:r>
            <w:r w:rsidRPr="009B4569">
              <w:t>A</w:t>
            </w:r>
          </w:p>
        </w:tc>
        <w:tc>
          <w:tcPr>
            <w:tcW w:w="89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000041</w:t>
            </w:r>
          </w:p>
        </w:tc>
        <w:tc>
          <w:tcPr>
            <w:tcW w:w="1610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华夏全球股票（</w:t>
            </w:r>
            <w:r w:rsidRPr="009B4569">
              <w:t>QDII</w:t>
            </w:r>
            <w:r w:rsidRPr="009B4569">
              <w:t>）（人民币）</w:t>
            </w:r>
          </w:p>
        </w:tc>
      </w:tr>
      <w:tr w:rsidR="009B4569" w:rsidTr="00AA70F9">
        <w:tc>
          <w:tcPr>
            <w:tcW w:w="106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005658</w:t>
            </w:r>
          </w:p>
        </w:tc>
        <w:tc>
          <w:tcPr>
            <w:tcW w:w="1438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华夏沪深</w:t>
            </w:r>
            <w:r w:rsidRPr="009B4569">
              <w:t>300ETF</w:t>
            </w:r>
            <w:r w:rsidRPr="009B4569">
              <w:t>联接</w:t>
            </w:r>
            <w:r w:rsidRPr="009B4569">
              <w:t>C</w:t>
            </w:r>
          </w:p>
        </w:tc>
        <w:tc>
          <w:tcPr>
            <w:tcW w:w="89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007994</w:t>
            </w:r>
          </w:p>
        </w:tc>
        <w:tc>
          <w:tcPr>
            <w:tcW w:w="1610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华夏中证</w:t>
            </w:r>
            <w:r w:rsidRPr="009B4569">
              <w:t>500</w:t>
            </w:r>
            <w:r w:rsidRPr="009B4569">
              <w:t>指数增强</w:t>
            </w:r>
            <w:r w:rsidRPr="009B4569">
              <w:t>A</w:t>
            </w:r>
          </w:p>
        </w:tc>
      </w:tr>
      <w:tr w:rsidR="009B4569" w:rsidTr="00AA70F9">
        <w:tc>
          <w:tcPr>
            <w:tcW w:w="106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001051</w:t>
            </w:r>
          </w:p>
        </w:tc>
        <w:tc>
          <w:tcPr>
            <w:tcW w:w="1438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华夏上证</w:t>
            </w:r>
            <w:r w:rsidRPr="009B4569">
              <w:t>50ETF</w:t>
            </w:r>
            <w:r w:rsidRPr="009B4569">
              <w:t>联接</w:t>
            </w:r>
            <w:r w:rsidRPr="009B4569">
              <w:t>A</w:t>
            </w:r>
          </w:p>
        </w:tc>
        <w:tc>
          <w:tcPr>
            <w:tcW w:w="89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007995</w:t>
            </w:r>
          </w:p>
        </w:tc>
        <w:tc>
          <w:tcPr>
            <w:tcW w:w="1610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华夏中证</w:t>
            </w:r>
            <w:r w:rsidRPr="009B4569">
              <w:t>500</w:t>
            </w:r>
            <w:r w:rsidRPr="009B4569">
              <w:t>指数增强</w:t>
            </w:r>
            <w:r w:rsidRPr="009B4569">
              <w:t>C</w:t>
            </w:r>
          </w:p>
        </w:tc>
      </w:tr>
      <w:tr w:rsidR="009B4569" w:rsidTr="00AA70F9">
        <w:tc>
          <w:tcPr>
            <w:tcW w:w="106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005733</w:t>
            </w:r>
          </w:p>
        </w:tc>
        <w:tc>
          <w:tcPr>
            <w:tcW w:w="1438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华夏上证</w:t>
            </w:r>
            <w:r w:rsidRPr="009B4569">
              <w:t>50ETF</w:t>
            </w:r>
            <w:r w:rsidRPr="009B4569">
              <w:t>联接</w:t>
            </w:r>
            <w:r w:rsidRPr="009B4569">
              <w:t>C</w:t>
            </w:r>
          </w:p>
        </w:tc>
        <w:tc>
          <w:tcPr>
            <w:tcW w:w="89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002871</w:t>
            </w:r>
          </w:p>
        </w:tc>
        <w:tc>
          <w:tcPr>
            <w:tcW w:w="1610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华夏智胜价值成长股票</w:t>
            </w:r>
            <w:r w:rsidRPr="009B4569">
              <w:t>A</w:t>
            </w:r>
          </w:p>
        </w:tc>
      </w:tr>
      <w:tr w:rsidR="009B4569" w:rsidTr="00AA70F9">
        <w:tc>
          <w:tcPr>
            <w:tcW w:w="106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000948</w:t>
            </w:r>
          </w:p>
        </w:tc>
        <w:tc>
          <w:tcPr>
            <w:tcW w:w="1438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华夏沪港通恒生</w:t>
            </w:r>
            <w:r w:rsidRPr="009B4569">
              <w:t>ETF</w:t>
            </w:r>
            <w:r w:rsidRPr="009B4569">
              <w:t>联接</w:t>
            </w:r>
            <w:r w:rsidRPr="009B4569">
              <w:t>A</w:t>
            </w:r>
          </w:p>
        </w:tc>
        <w:tc>
          <w:tcPr>
            <w:tcW w:w="89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002872</w:t>
            </w:r>
          </w:p>
        </w:tc>
        <w:tc>
          <w:tcPr>
            <w:tcW w:w="1610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华夏智胜价值成长股票</w:t>
            </w:r>
            <w:r w:rsidRPr="009B4569">
              <w:t>C</w:t>
            </w:r>
          </w:p>
        </w:tc>
      </w:tr>
      <w:tr w:rsidR="009B4569" w:rsidTr="00816D78">
        <w:tc>
          <w:tcPr>
            <w:tcW w:w="1061" w:type="pct"/>
            <w:vAlign w:val="bottom"/>
          </w:tcPr>
          <w:p w:rsidR="009B4569" w:rsidRPr="009B4569" w:rsidRDefault="009B4569" w:rsidP="009B4569">
            <w:pPr>
              <w:widowControl/>
              <w:jc w:val="center"/>
            </w:pPr>
            <w:r w:rsidRPr="009B4569">
              <w:t>005734</w:t>
            </w:r>
          </w:p>
        </w:tc>
        <w:tc>
          <w:tcPr>
            <w:tcW w:w="1438" w:type="pct"/>
            <w:vAlign w:val="bottom"/>
          </w:tcPr>
          <w:p w:rsidR="009B4569" w:rsidRPr="009B4569" w:rsidRDefault="009B4569" w:rsidP="009B4569">
            <w:pPr>
              <w:widowControl/>
              <w:jc w:val="left"/>
            </w:pPr>
            <w:r w:rsidRPr="009B4569">
              <w:t>华夏沪港通恒生</w:t>
            </w:r>
            <w:r w:rsidRPr="009B4569">
              <w:t>ETF</w:t>
            </w:r>
            <w:r w:rsidRPr="009B4569">
              <w:t>联接</w:t>
            </w:r>
            <w:r w:rsidRPr="009B4569">
              <w:t>C</w:t>
            </w:r>
          </w:p>
        </w:tc>
        <w:tc>
          <w:tcPr>
            <w:tcW w:w="891" w:type="pct"/>
            <w:vAlign w:val="center"/>
          </w:tcPr>
          <w:p w:rsidR="009B4569" w:rsidRPr="009B4569" w:rsidRDefault="009B4569" w:rsidP="009B4569">
            <w:pPr>
              <w:widowControl/>
              <w:jc w:val="center"/>
            </w:pPr>
          </w:p>
        </w:tc>
        <w:tc>
          <w:tcPr>
            <w:tcW w:w="1610" w:type="pct"/>
            <w:vAlign w:val="center"/>
          </w:tcPr>
          <w:p w:rsidR="009B4569" w:rsidRPr="009B4569" w:rsidRDefault="009B4569" w:rsidP="009B4569">
            <w:pPr>
              <w:widowControl/>
              <w:jc w:val="left"/>
            </w:pPr>
          </w:p>
        </w:tc>
      </w:tr>
    </w:tbl>
    <w:p w:rsidR="00E03419" w:rsidRDefault="00E03419" w:rsidP="00F14188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color w:val="000000"/>
          <w:sz w:val="24"/>
        </w:rPr>
        <w:t>如上述基金</w:t>
      </w:r>
      <w:r w:rsidR="00763365">
        <w:rPr>
          <w:rFonts w:hAnsi="宋体" w:hint="eastAsia"/>
          <w:color w:val="000000"/>
          <w:sz w:val="24"/>
        </w:rPr>
        <w:t>尚未开放、</w:t>
      </w:r>
      <w:r>
        <w:rPr>
          <w:rFonts w:hAnsi="宋体" w:hint="eastAsia"/>
          <w:color w:val="000000"/>
          <w:sz w:val="24"/>
        </w:rPr>
        <w:t>暂停办理对应业务或对其进行限制的，请遵照相关公告执行</w:t>
      </w:r>
      <w:r w:rsidR="001E1116">
        <w:rPr>
          <w:rFonts w:hAnsi="宋体" w:hint="eastAsia"/>
          <w:color w:val="000000"/>
          <w:sz w:val="24"/>
        </w:rPr>
        <w:t>，各基金业务开</w:t>
      </w:r>
      <w:r w:rsidR="00E96887">
        <w:rPr>
          <w:rFonts w:hAnsi="宋体" w:hint="eastAsia"/>
          <w:color w:val="000000"/>
          <w:sz w:val="24"/>
        </w:rPr>
        <w:t>办</w:t>
      </w:r>
      <w:r w:rsidR="001E1116">
        <w:rPr>
          <w:rFonts w:hAnsi="宋体" w:hint="eastAsia"/>
          <w:color w:val="000000"/>
          <w:sz w:val="24"/>
        </w:rPr>
        <w:t>情况遵循其各自规定执行</w:t>
      </w:r>
      <w:r>
        <w:rPr>
          <w:rFonts w:hAnsi="宋体" w:hint="eastAsia"/>
          <w:color w:val="000000"/>
          <w:sz w:val="24"/>
        </w:rPr>
        <w:t>。投资者在</w:t>
      </w:r>
      <w:r w:rsidR="009B4569">
        <w:rPr>
          <w:rFonts w:hAnsi="宋体" w:hint="eastAsia"/>
          <w:color w:val="000000"/>
          <w:sz w:val="24"/>
        </w:rPr>
        <w:t>国贸期货</w:t>
      </w:r>
      <w:r>
        <w:rPr>
          <w:rFonts w:hAnsi="宋体" w:hint="eastAsia"/>
          <w:color w:val="000000"/>
          <w:sz w:val="24"/>
        </w:rPr>
        <w:t>办理对应基金相关业务的数额限制、规则、流程以及需要提交的文件等信息，请遵照上述基金招募说明书或其更新、本公司发布的相关公告及</w:t>
      </w:r>
      <w:r w:rsidR="009B4569">
        <w:rPr>
          <w:rFonts w:hAnsi="宋体" w:hint="eastAsia"/>
          <w:color w:val="000000"/>
          <w:sz w:val="24"/>
        </w:rPr>
        <w:t>国贸期货</w:t>
      </w:r>
      <w:r>
        <w:rPr>
          <w:rFonts w:hAnsi="宋体" w:hint="eastAsia"/>
          <w:color w:val="000000"/>
          <w:sz w:val="24"/>
        </w:rPr>
        <w:t>的有关规定。</w:t>
      </w:r>
      <w:r w:rsidR="009B4569">
        <w:rPr>
          <w:rFonts w:hAnsi="宋体" w:hint="eastAsia"/>
          <w:color w:val="000000"/>
          <w:sz w:val="24"/>
        </w:rPr>
        <w:t>国贸期货</w:t>
      </w:r>
      <w:r w:rsidR="00D76F26" w:rsidRPr="00B15C39">
        <w:rPr>
          <w:rFonts w:hAnsi="宋体" w:hint="eastAsia"/>
          <w:sz w:val="24"/>
        </w:rPr>
        <w:t>的业务办理状况亦请遵循其规定执行</w:t>
      </w:r>
      <w:r w:rsidR="00D76F26">
        <w:rPr>
          <w:rFonts w:hAnsi="宋体" w:hint="eastAsia"/>
          <w:sz w:val="24"/>
        </w:rPr>
        <w:t>。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二、咨询渠道</w:t>
      </w:r>
    </w:p>
    <w:p w:rsidR="00E03419" w:rsidRPr="00995DBE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（一）</w:t>
      </w:r>
      <w:r w:rsidR="009B4569">
        <w:rPr>
          <w:rFonts w:hAnsi="宋体" w:hint="eastAsia"/>
          <w:color w:val="000000"/>
          <w:sz w:val="24"/>
        </w:rPr>
        <w:t>国贸期货</w:t>
      </w:r>
      <w:r>
        <w:rPr>
          <w:rFonts w:hAnsi="宋体" w:hint="eastAsia"/>
          <w:color w:val="000000"/>
          <w:sz w:val="24"/>
        </w:rPr>
        <w:t>客户服务电话：</w:t>
      </w:r>
      <w:r w:rsidR="009B4569" w:rsidRPr="00763CF4">
        <w:rPr>
          <w:rFonts w:eastAsia="楷体_GB2312" w:hint="eastAsia"/>
          <w:sz w:val="24"/>
        </w:rPr>
        <w:t>400-8888-598</w:t>
      </w:r>
      <w:r w:rsidRPr="00995DBE">
        <w:rPr>
          <w:rFonts w:hAnsi="宋体"/>
          <w:color w:val="000000"/>
          <w:sz w:val="24"/>
        </w:rPr>
        <w:t>；</w:t>
      </w:r>
    </w:p>
    <w:p w:rsidR="00E03419" w:rsidRPr="00D76F26" w:rsidRDefault="009B456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国贸期货</w:t>
      </w:r>
      <w:r w:rsidR="00E03419">
        <w:rPr>
          <w:rFonts w:hAnsi="宋体" w:hint="eastAsia"/>
          <w:color w:val="000000"/>
          <w:sz w:val="24"/>
        </w:rPr>
        <w:t>网站：</w:t>
      </w:r>
      <w:r w:rsidRPr="00763CF4">
        <w:rPr>
          <w:rFonts w:eastAsia="楷体_GB2312" w:hint="eastAsia"/>
          <w:sz w:val="24"/>
        </w:rPr>
        <w:t>www.itf.com.cn</w:t>
      </w:r>
      <w:r w:rsidR="00D76F26">
        <w:rPr>
          <w:rFonts w:hAnsi="宋体" w:hint="eastAsia"/>
          <w:color w:val="000000"/>
          <w:sz w:val="24"/>
        </w:rPr>
        <w:t>；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（二）本公司客户服务电话：</w:t>
      </w:r>
      <w:r>
        <w:rPr>
          <w:rFonts w:hAnsi="宋体"/>
          <w:color w:val="000000"/>
          <w:sz w:val="24"/>
        </w:rPr>
        <w:t>400-818-6666</w:t>
      </w:r>
      <w:r>
        <w:rPr>
          <w:rFonts w:hAnsi="宋体" w:hint="eastAsia"/>
          <w:color w:val="000000"/>
          <w:sz w:val="24"/>
        </w:rPr>
        <w:t>；</w:t>
      </w: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本公司网站：</w:t>
      </w:r>
      <w:r>
        <w:rPr>
          <w:rFonts w:hAnsi="宋体"/>
          <w:color w:val="000000"/>
          <w:sz w:val="24"/>
        </w:rPr>
        <w:t>www.ChinaAMC.com</w:t>
      </w:r>
      <w:r>
        <w:rPr>
          <w:rFonts w:hAnsi="宋体" w:hint="eastAsia"/>
          <w:color w:val="000000"/>
          <w:sz w:val="24"/>
        </w:rPr>
        <w:t>。</w:t>
      </w: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本公司旗下开放式基金的代销机构已在本公司网站公示，投资者可登录查询。</w:t>
      </w:r>
    </w:p>
    <w:p w:rsidR="00E03419" w:rsidRPr="008C3BE8" w:rsidRDefault="00E03419" w:rsidP="00F14188">
      <w:pPr>
        <w:spacing w:line="360" w:lineRule="auto"/>
        <w:ind w:firstLineChars="200" w:firstLine="482"/>
        <w:rPr>
          <w:rFonts w:hAnsi="宋体"/>
          <w:b/>
          <w:color w:val="000000"/>
          <w:sz w:val="24"/>
        </w:rPr>
      </w:pPr>
      <w:r w:rsidRPr="008C3BE8">
        <w:rPr>
          <w:rFonts w:hAnsi="宋体" w:hint="eastAsia"/>
          <w:b/>
          <w:color w:val="000000"/>
          <w:sz w:val="24"/>
        </w:rPr>
        <w:t>风险提示：基金管理人承诺以诚实信用、勤勉尽责的原则管理和运用基金</w:t>
      </w:r>
      <w:r w:rsidRPr="008C3BE8">
        <w:rPr>
          <w:rFonts w:hAnsi="宋体" w:hint="eastAsia"/>
          <w:b/>
          <w:color w:val="000000"/>
          <w:sz w:val="24"/>
        </w:rPr>
        <w:lastRenderedPageBreak/>
        <w:t>资产，但不保证基金一定盈利，也不保证最低收益。基金的过往业绩及其净值高低并不预示其未来业绩表现。基金管理人提醒投资者基金投资的“买者自负”原则，在做出投资决策后，基金运营状况与基金净值变化引致的投资风险，由投资者自行负担。投资者在投资基金之前，</w:t>
      </w:r>
      <w:r w:rsidR="00380BA9" w:rsidRPr="008C3BE8">
        <w:rPr>
          <w:rFonts w:hAnsi="宋体" w:hint="eastAsia"/>
          <w:b/>
          <w:color w:val="000000"/>
          <w:sz w:val="24"/>
        </w:rPr>
        <w:t>请仔细阅读基金的</w:t>
      </w:r>
      <w:r w:rsidR="00380BA9" w:rsidRPr="008C3BE8">
        <w:rPr>
          <w:rFonts w:hAnsi="宋体" w:hint="eastAsia"/>
          <w:b/>
          <w:sz w:val="24"/>
        </w:rPr>
        <w:t>基金合同、招募说明书、基金产品资料概要等法律文件</w:t>
      </w:r>
      <w:r w:rsidRPr="008C3BE8">
        <w:rPr>
          <w:rFonts w:hAnsi="宋体" w:hint="eastAsia"/>
          <w:b/>
          <w:color w:val="000000"/>
          <w:sz w:val="24"/>
        </w:rPr>
        <w:t>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E03419" w:rsidRPr="00E51B43" w:rsidRDefault="00E03419" w:rsidP="00F14188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E51B43">
        <w:rPr>
          <w:rFonts w:hAnsi="宋体" w:hint="eastAsia"/>
          <w:color w:val="000000"/>
          <w:sz w:val="24"/>
        </w:rPr>
        <w:t>特此公告</w:t>
      </w:r>
    </w:p>
    <w:p w:rsidR="00E03419" w:rsidRDefault="00E03419" w:rsidP="00F14188">
      <w:pPr>
        <w:pStyle w:val="a3"/>
        <w:spacing w:before="0" w:beforeAutospacing="0" w:after="0" w:afterAutospacing="0" w:line="360" w:lineRule="auto"/>
        <w:ind w:firstLineChars="264" w:firstLine="634"/>
        <w:rPr>
          <w:rFonts w:ascii="Times New Roman" w:eastAsiaTheme="minorEastAsia" w:hAnsi="Times New Roman" w:cs="Times New Roman"/>
          <w:kern w:val="2"/>
        </w:rPr>
      </w:pPr>
    </w:p>
    <w:p w:rsidR="00E03419" w:rsidRDefault="00E03419" w:rsidP="00F14188">
      <w:pPr>
        <w:pStyle w:val="a3"/>
        <w:spacing w:before="0" w:beforeAutospacing="0" w:after="0" w:afterAutospacing="0" w:line="360" w:lineRule="auto"/>
        <w:ind w:firstLineChars="264" w:firstLine="634"/>
        <w:rPr>
          <w:rFonts w:ascii="Times New Roman" w:eastAsiaTheme="minorEastAsia" w:hAnsi="Times New Roman" w:cs="Times New Roman"/>
          <w:kern w:val="2"/>
        </w:rPr>
      </w:pPr>
    </w:p>
    <w:p w:rsidR="00E03419" w:rsidRPr="00E51B43" w:rsidRDefault="00E03419" w:rsidP="00F14188">
      <w:pPr>
        <w:spacing w:line="360" w:lineRule="auto"/>
        <w:jc w:val="right"/>
        <w:rPr>
          <w:rFonts w:hAnsi="宋体"/>
          <w:color w:val="000000"/>
          <w:sz w:val="24"/>
        </w:rPr>
      </w:pPr>
      <w:r w:rsidRPr="00E51B43">
        <w:rPr>
          <w:rFonts w:hAnsi="宋体" w:hint="eastAsia"/>
          <w:color w:val="000000"/>
          <w:sz w:val="24"/>
        </w:rPr>
        <w:t>华夏基金管理有限公司</w:t>
      </w:r>
    </w:p>
    <w:p w:rsidR="00E03419" w:rsidRPr="00E51B43" w:rsidRDefault="00D76F26" w:rsidP="00F14188">
      <w:pPr>
        <w:spacing w:line="360" w:lineRule="auto"/>
        <w:jc w:val="right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二〇二</w:t>
      </w:r>
      <w:r w:rsidR="00260E15">
        <w:rPr>
          <w:rFonts w:hAnsi="宋体" w:hint="eastAsia"/>
          <w:color w:val="000000"/>
          <w:sz w:val="24"/>
        </w:rPr>
        <w:t>六</w:t>
      </w:r>
      <w:r>
        <w:rPr>
          <w:rFonts w:hAnsi="宋体" w:hint="eastAsia"/>
          <w:color w:val="000000"/>
          <w:sz w:val="24"/>
        </w:rPr>
        <w:t>年</w:t>
      </w:r>
      <w:r w:rsidR="00260E15">
        <w:rPr>
          <w:rFonts w:hAnsi="宋体" w:hint="eastAsia"/>
          <w:color w:val="000000"/>
          <w:sz w:val="24"/>
        </w:rPr>
        <w:t>一</w:t>
      </w:r>
      <w:r>
        <w:rPr>
          <w:rFonts w:hAnsi="宋体" w:hint="eastAsia"/>
          <w:color w:val="000000"/>
          <w:sz w:val="24"/>
        </w:rPr>
        <w:t>月</w:t>
      </w:r>
      <w:r w:rsidR="00260E15">
        <w:rPr>
          <w:rFonts w:hAnsi="宋体" w:hint="eastAsia"/>
          <w:color w:val="000000"/>
          <w:sz w:val="24"/>
        </w:rPr>
        <w:t>二</w:t>
      </w:r>
      <w:r w:rsidR="00A84CB3">
        <w:rPr>
          <w:rFonts w:hAnsi="宋体" w:hint="eastAsia"/>
          <w:color w:val="000000"/>
          <w:sz w:val="24"/>
        </w:rPr>
        <w:t>十</w:t>
      </w:r>
      <w:r w:rsidR="009B4569">
        <w:rPr>
          <w:rFonts w:hAnsi="宋体" w:hint="eastAsia"/>
          <w:color w:val="000000"/>
          <w:sz w:val="24"/>
        </w:rPr>
        <w:t>三</w:t>
      </w:r>
      <w:r w:rsidR="00E03419" w:rsidRPr="00E51B43">
        <w:rPr>
          <w:rFonts w:hAnsi="宋体" w:hint="eastAsia"/>
          <w:color w:val="000000"/>
          <w:sz w:val="24"/>
        </w:rPr>
        <w:t>日</w:t>
      </w:r>
    </w:p>
    <w:p w:rsidR="000D71A1" w:rsidRDefault="000D71A1" w:rsidP="00F14188"/>
    <w:sectPr w:rsidR="000D71A1" w:rsidSect="00F14188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5C0" w:rsidRDefault="00EC35C0" w:rsidP="00A7547C">
      <w:r>
        <w:separator/>
      </w:r>
    </w:p>
  </w:endnote>
  <w:endnote w:type="continuationSeparator" w:id="0">
    <w:p w:rsidR="00EC35C0" w:rsidRDefault="00EC35C0" w:rsidP="00A75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244460"/>
      <w:docPartObj>
        <w:docPartGallery w:val="Page Numbers (Bottom of Page)"/>
        <w:docPartUnique/>
      </w:docPartObj>
    </w:sdtPr>
    <w:sdtContent>
      <w:p w:rsidR="00E473EC" w:rsidRDefault="004375E7">
        <w:pPr>
          <w:pStyle w:val="a7"/>
          <w:jc w:val="center"/>
        </w:pPr>
        <w:r>
          <w:fldChar w:fldCharType="begin"/>
        </w:r>
        <w:r w:rsidR="00E473EC">
          <w:instrText>PAGE   \* MERGEFORMAT</w:instrText>
        </w:r>
        <w:r>
          <w:fldChar w:fldCharType="separate"/>
        </w:r>
        <w:r w:rsidR="00023091" w:rsidRPr="00023091">
          <w:rPr>
            <w:noProof/>
            <w:lang w:val="zh-CN"/>
          </w:rPr>
          <w:t>1</w:t>
        </w:r>
        <w:r>
          <w:fldChar w:fldCharType="end"/>
        </w:r>
      </w:p>
    </w:sdtContent>
  </w:sdt>
  <w:p w:rsidR="00E473EC" w:rsidRDefault="00E473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5C0" w:rsidRDefault="00EC35C0" w:rsidP="00A7547C">
      <w:r>
        <w:separator/>
      </w:r>
    </w:p>
  </w:footnote>
  <w:footnote w:type="continuationSeparator" w:id="0">
    <w:p w:rsidR="00EC35C0" w:rsidRDefault="00EC35C0" w:rsidP="00A75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4F" w:rsidRDefault="00B57F4F" w:rsidP="00F14188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7C" w:rsidRDefault="00A7547C" w:rsidP="00F1418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3D7"/>
    <w:rsid w:val="000006D0"/>
    <w:rsid w:val="0001021F"/>
    <w:rsid w:val="00023091"/>
    <w:rsid w:val="000506FA"/>
    <w:rsid w:val="000D57C7"/>
    <w:rsid w:val="000D707A"/>
    <w:rsid w:val="000D71A1"/>
    <w:rsid w:val="00111B37"/>
    <w:rsid w:val="00127342"/>
    <w:rsid w:val="00142D23"/>
    <w:rsid w:val="00143CA5"/>
    <w:rsid w:val="001477C7"/>
    <w:rsid w:val="00153CB1"/>
    <w:rsid w:val="001756AF"/>
    <w:rsid w:val="00190C3E"/>
    <w:rsid w:val="0019543F"/>
    <w:rsid w:val="001B686D"/>
    <w:rsid w:val="001B7851"/>
    <w:rsid w:val="001B7FBA"/>
    <w:rsid w:val="001C2801"/>
    <w:rsid w:val="001C3428"/>
    <w:rsid w:val="001C5C5B"/>
    <w:rsid w:val="001E1116"/>
    <w:rsid w:val="00215BD2"/>
    <w:rsid w:val="00260E15"/>
    <w:rsid w:val="00262BF9"/>
    <w:rsid w:val="00275649"/>
    <w:rsid w:val="00276832"/>
    <w:rsid w:val="00284820"/>
    <w:rsid w:val="002946D8"/>
    <w:rsid w:val="002A03DC"/>
    <w:rsid w:val="002A7F3D"/>
    <w:rsid w:val="002E6695"/>
    <w:rsid w:val="002F41AA"/>
    <w:rsid w:val="002F7BAC"/>
    <w:rsid w:val="00305BC9"/>
    <w:rsid w:val="00317331"/>
    <w:rsid w:val="0034623D"/>
    <w:rsid w:val="00351704"/>
    <w:rsid w:val="00380BA9"/>
    <w:rsid w:val="00384F52"/>
    <w:rsid w:val="003D6F59"/>
    <w:rsid w:val="003E4AED"/>
    <w:rsid w:val="00416CCD"/>
    <w:rsid w:val="004211E4"/>
    <w:rsid w:val="004375E7"/>
    <w:rsid w:val="004500F2"/>
    <w:rsid w:val="0048415F"/>
    <w:rsid w:val="004975F9"/>
    <w:rsid w:val="004B56B6"/>
    <w:rsid w:val="004D4AB7"/>
    <w:rsid w:val="00523031"/>
    <w:rsid w:val="00527860"/>
    <w:rsid w:val="005330F6"/>
    <w:rsid w:val="005348D2"/>
    <w:rsid w:val="0058236C"/>
    <w:rsid w:val="00592365"/>
    <w:rsid w:val="005A0FCB"/>
    <w:rsid w:val="005B5A1F"/>
    <w:rsid w:val="005C5093"/>
    <w:rsid w:val="00604BD5"/>
    <w:rsid w:val="00621249"/>
    <w:rsid w:val="0062437F"/>
    <w:rsid w:val="00625DB2"/>
    <w:rsid w:val="0064680C"/>
    <w:rsid w:val="00664522"/>
    <w:rsid w:val="00671023"/>
    <w:rsid w:val="006942C3"/>
    <w:rsid w:val="006A5F72"/>
    <w:rsid w:val="006B45E7"/>
    <w:rsid w:val="006C2A47"/>
    <w:rsid w:val="006C5B1D"/>
    <w:rsid w:val="006D03D7"/>
    <w:rsid w:val="006E18D0"/>
    <w:rsid w:val="007225B3"/>
    <w:rsid w:val="00746559"/>
    <w:rsid w:val="00763365"/>
    <w:rsid w:val="0077669A"/>
    <w:rsid w:val="00776865"/>
    <w:rsid w:val="007932A6"/>
    <w:rsid w:val="00794E6A"/>
    <w:rsid w:val="007B37B4"/>
    <w:rsid w:val="007B46AB"/>
    <w:rsid w:val="007E0270"/>
    <w:rsid w:val="007E0811"/>
    <w:rsid w:val="007E0B16"/>
    <w:rsid w:val="007E5FB9"/>
    <w:rsid w:val="007E6123"/>
    <w:rsid w:val="007F1BD3"/>
    <w:rsid w:val="007F1CF5"/>
    <w:rsid w:val="0080028F"/>
    <w:rsid w:val="0080669B"/>
    <w:rsid w:val="00836A66"/>
    <w:rsid w:val="00844FAE"/>
    <w:rsid w:val="00873066"/>
    <w:rsid w:val="008762EE"/>
    <w:rsid w:val="008A560E"/>
    <w:rsid w:val="008C3BE8"/>
    <w:rsid w:val="008D504F"/>
    <w:rsid w:val="00901716"/>
    <w:rsid w:val="00916217"/>
    <w:rsid w:val="00916F8F"/>
    <w:rsid w:val="00936997"/>
    <w:rsid w:val="00995DBE"/>
    <w:rsid w:val="00997CE9"/>
    <w:rsid w:val="009B4569"/>
    <w:rsid w:val="009E706F"/>
    <w:rsid w:val="00A3187F"/>
    <w:rsid w:val="00A43F10"/>
    <w:rsid w:val="00A522DE"/>
    <w:rsid w:val="00A57BA8"/>
    <w:rsid w:val="00A63453"/>
    <w:rsid w:val="00A7547C"/>
    <w:rsid w:val="00A75FCB"/>
    <w:rsid w:val="00A84AF3"/>
    <w:rsid w:val="00A84CB3"/>
    <w:rsid w:val="00AB0EA9"/>
    <w:rsid w:val="00AB3690"/>
    <w:rsid w:val="00AC1297"/>
    <w:rsid w:val="00B00C26"/>
    <w:rsid w:val="00B13C7B"/>
    <w:rsid w:val="00B14438"/>
    <w:rsid w:val="00B30AE3"/>
    <w:rsid w:val="00B32DAB"/>
    <w:rsid w:val="00B36F62"/>
    <w:rsid w:val="00B57F4F"/>
    <w:rsid w:val="00B70963"/>
    <w:rsid w:val="00BA5ABF"/>
    <w:rsid w:val="00BC525B"/>
    <w:rsid w:val="00BE11C3"/>
    <w:rsid w:val="00C01E40"/>
    <w:rsid w:val="00C03A7C"/>
    <w:rsid w:val="00C23AD9"/>
    <w:rsid w:val="00C327BE"/>
    <w:rsid w:val="00C536ED"/>
    <w:rsid w:val="00C758D3"/>
    <w:rsid w:val="00CC3D37"/>
    <w:rsid w:val="00CC63D7"/>
    <w:rsid w:val="00CD652D"/>
    <w:rsid w:val="00CD7A3F"/>
    <w:rsid w:val="00CE3532"/>
    <w:rsid w:val="00D1663A"/>
    <w:rsid w:val="00D25E23"/>
    <w:rsid w:val="00D27117"/>
    <w:rsid w:val="00D76F26"/>
    <w:rsid w:val="00D866D1"/>
    <w:rsid w:val="00DF1097"/>
    <w:rsid w:val="00E03419"/>
    <w:rsid w:val="00E038FF"/>
    <w:rsid w:val="00E473EC"/>
    <w:rsid w:val="00E475DD"/>
    <w:rsid w:val="00E51B43"/>
    <w:rsid w:val="00E9471C"/>
    <w:rsid w:val="00E96887"/>
    <w:rsid w:val="00EC35C0"/>
    <w:rsid w:val="00EC7759"/>
    <w:rsid w:val="00ED0CBE"/>
    <w:rsid w:val="00EE11F7"/>
    <w:rsid w:val="00F14188"/>
    <w:rsid w:val="00F40FB6"/>
    <w:rsid w:val="00F62216"/>
    <w:rsid w:val="00FC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3419"/>
    <w:pPr>
      <w:widowControl/>
      <w:spacing w:before="100" w:beforeAutospacing="1" w:after="100" w:afterAutospacing="1"/>
      <w:jc w:val="left"/>
    </w:pPr>
    <w:rPr>
      <w:rFonts w:ascii="Arial Unicode MS" w:hAnsi="Arial Unicode MS" w:cs="宋体"/>
      <w:color w:val="000000"/>
      <w:kern w:val="0"/>
      <w:sz w:val="24"/>
    </w:rPr>
  </w:style>
  <w:style w:type="character" w:styleId="a4">
    <w:name w:val="Hyperlink"/>
    <w:basedOn w:val="a0"/>
    <w:uiPriority w:val="99"/>
    <w:unhideWhenUsed/>
    <w:rsid w:val="00305BC9"/>
    <w:rPr>
      <w:color w:val="0563C1" w:themeColor="hyperlink"/>
      <w:u w:val="single"/>
    </w:rPr>
  </w:style>
  <w:style w:type="paragraph" w:styleId="a5">
    <w:name w:val="Document Map"/>
    <w:basedOn w:val="a"/>
    <w:link w:val="Char"/>
    <w:uiPriority w:val="99"/>
    <w:semiHidden/>
    <w:unhideWhenUsed/>
    <w:rsid w:val="00A7547C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A7547C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75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547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5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547C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7547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7547C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317331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uiPriority w:val="39"/>
    <w:rsid w:val="00ED0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01716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1E1116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1E1116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1E1116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1E1116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1E1116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4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2024-01-18T07:40:00Z</cp:lastPrinted>
  <dcterms:created xsi:type="dcterms:W3CDTF">2026-01-22T16:03:00Z</dcterms:created>
  <dcterms:modified xsi:type="dcterms:W3CDTF">2026-01-22T16:03:00Z</dcterms:modified>
</cp:coreProperties>
</file>