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FE" w:rsidRPr="00F75AD4" w:rsidRDefault="00BC726C" w:rsidP="00F75AD4">
      <w:pPr>
        <w:snapToGrid w:val="0"/>
        <w:spacing w:line="360" w:lineRule="auto"/>
        <w:jc w:val="center"/>
        <w:rPr>
          <w:rFonts w:hAnsi="宋体"/>
          <w:b/>
          <w:bCs/>
          <w:kern w:val="0"/>
          <w:sz w:val="24"/>
        </w:rPr>
      </w:pPr>
      <w:bookmarkStart w:id="0" w:name="_GoBack"/>
      <w:bookmarkEnd w:id="0"/>
      <w:r w:rsidRPr="00F75AD4">
        <w:rPr>
          <w:rFonts w:hAnsi="宋体" w:hint="eastAsia"/>
          <w:b/>
          <w:bCs/>
          <w:kern w:val="0"/>
          <w:sz w:val="24"/>
        </w:rPr>
        <w:t>关于调整证券投资基金主流动性服务商的公告</w:t>
      </w:r>
    </w:p>
    <w:p w:rsidR="00350FFE" w:rsidRDefault="00350FFE">
      <w:pPr>
        <w:widowControl/>
        <w:snapToGrid w:val="0"/>
        <w:spacing w:line="440" w:lineRule="exact"/>
        <w:ind w:firstLine="600"/>
        <w:jc w:val="center"/>
        <w:rPr>
          <w:rFonts w:ascii="宋体" w:hAnsi="宋体"/>
          <w:kern w:val="0"/>
          <w:sz w:val="30"/>
          <w:szCs w:val="30"/>
        </w:rPr>
      </w:pPr>
    </w:p>
    <w:p w:rsidR="00350FFE" w:rsidRPr="00F75AD4" w:rsidRDefault="00BC726C" w:rsidP="00F75AD4">
      <w:pPr>
        <w:spacing w:line="360" w:lineRule="auto"/>
        <w:ind w:firstLine="420"/>
        <w:rPr>
          <w:rFonts w:hAnsi="宋体"/>
          <w:sz w:val="24"/>
        </w:rPr>
      </w:pPr>
      <w:r w:rsidRPr="00F75AD4">
        <w:rPr>
          <w:rFonts w:hAnsi="宋体" w:hint="eastAsia"/>
          <w:sz w:val="24"/>
        </w:rPr>
        <w:t>根据《深圳证券交易所证券投资基金业务指引第</w:t>
      </w:r>
      <w:r w:rsidRPr="00F75AD4">
        <w:rPr>
          <w:rFonts w:hAnsi="宋体" w:hint="eastAsia"/>
          <w:sz w:val="24"/>
        </w:rPr>
        <w:t>2</w:t>
      </w:r>
      <w:r w:rsidRPr="00F75AD4">
        <w:rPr>
          <w:rFonts w:hAnsi="宋体" w:hint="eastAsia"/>
          <w:sz w:val="24"/>
        </w:rPr>
        <w:t>号——流动性服务》等有关规定，自</w:t>
      </w:r>
      <w:r w:rsidR="0056298C" w:rsidRPr="00F75AD4">
        <w:rPr>
          <w:rFonts w:hAnsi="宋体" w:hint="eastAsia"/>
          <w:sz w:val="24"/>
        </w:rPr>
        <w:t>2</w:t>
      </w:r>
      <w:r w:rsidR="0056298C" w:rsidRPr="00F75AD4">
        <w:rPr>
          <w:rFonts w:hAnsi="宋体"/>
          <w:sz w:val="24"/>
        </w:rPr>
        <w:t>02</w:t>
      </w:r>
      <w:r w:rsidR="0093054F">
        <w:rPr>
          <w:rFonts w:hAnsi="宋体"/>
          <w:sz w:val="24"/>
        </w:rPr>
        <w:t>6</w:t>
      </w:r>
      <w:r w:rsidRPr="00F75AD4">
        <w:rPr>
          <w:rFonts w:hAnsi="宋体" w:hint="eastAsia"/>
          <w:sz w:val="24"/>
        </w:rPr>
        <w:t>年</w:t>
      </w:r>
      <w:r w:rsidR="0093054F">
        <w:rPr>
          <w:rFonts w:hAnsi="宋体"/>
          <w:sz w:val="24"/>
        </w:rPr>
        <w:t>1</w:t>
      </w:r>
      <w:r w:rsidRPr="00F75AD4">
        <w:rPr>
          <w:rFonts w:hAnsi="宋体" w:hint="eastAsia"/>
          <w:sz w:val="24"/>
        </w:rPr>
        <w:t>月</w:t>
      </w:r>
      <w:r w:rsidR="007A0E78" w:rsidRPr="00F75AD4">
        <w:rPr>
          <w:rFonts w:hAnsi="宋体"/>
          <w:sz w:val="24"/>
        </w:rPr>
        <w:t>2</w:t>
      </w:r>
      <w:r w:rsidR="00352373">
        <w:rPr>
          <w:rFonts w:hAnsi="宋体"/>
          <w:sz w:val="24"/>
        </w:rPr>
        <w:t>1</w:t>
      </w:r>
      <w:r w:rsidRPr="00F75AD4">
        <w:rPr>
          <w:rFonts w:hAnsi="宋体" w:hint="eastAsia"/>
          <w:sz w:val="24"/>
        </w:rPr>
        <w:t>日起，本公司将下列证券投资基金的主流动性服务商调整为一般流动性服务商：</w:t>
      </w:r>
    </w:p>
    <w:p w:rsidR="00350FFE" w:rsidRPr="00F75AD4" w:rsidRDefault="00BC726C" w:rsidP="00F75AD4">
      <w:pPr>
        <w:spacing w:line="360" w:lineRule="auto"/>
        <w:ind w:firstLine="420"/>
        <w:rPr>
          <w:rFonts w:hAnsi="宋体"/>
          <w:sz w:val="24"/>
        </w:rPr>
      </w:pPr>
      <w:r w:rsidRPr="00F75AD4">
        <w:rPr>
          <w:rFonts w:hAnsi="宋体" w:hint="eastAsia"/>
          <w:sz w:val="24"/>
        </w:rPr>
        <w:t>1</w:t>
      </w:r>
      <w:r w:rsidRPr="00F75AD4">
        <w:rPr>
          <w:rFonts w:hAnsi="宋体" w:hint="eastAsia"/>
          <w:sz w:val="24"/>
        </w:rPr>
        <w:t>、</w:t>
      </w:r>
      <w:r w:rsidR="0093054F" w:rsidRPr="0093054F">
        <w:rPr>
          <w:rFonts w:hAnsi="宋体"/>
          <w:sz w:val="24"/>
        </w:rPr>
        <w:t>华夏国证航天航空行业交易型开放式指数证券投资基金</w:t>
      </w:r>
      <w:r w:rsidRPr="00F75AD4">
        <w:rPr>
          <w:rFonts w:hAnsi="宋体" w:hint="eastAsia"/>
          <w:sz w:val="24"/>
        </w:rPr>
        <w:t>（</w:t>
      </w:r>
      <w:r w:rsidR="0056298C" w:rsidRPr="00F75AD4">
        <w:rPr>
          <w:rFonts w:hAnsi="宋体" w:hint="eastAsia"/>
          <w:sz w:val="24"/>
        </w:rPr>
        <w:t>1</w:t>
      </w:r>
      <w:r w:rsidR="0056298C" w:rsidRPr="00F75AD4">
        <w:rPr>
          <w:rFonts w:hAnsi="宋体"/>
          <w:sz w:val="24"/>
        </w:rPr>
        <w:t>59</w:t>
      </w:r>
      <w:r w:rsidR="0093054F">
        <w:rPr>
          <w:rFonts w:hAnsi="宋体"/>
          <w:sz w:val="24"/>
        </w:rPr>
        <w:t>227</w:t>
      </w:r>
      <w:r w:rsidRPr="00F75AD4">
        <w:rPr>
          <w:rFonts w:hAnsi="宋体" w:hint="eastAsia"/>
          <w:sz w:val="24"/>
        </w:rPr>
        <w:t>）：</w:t>
      </w:r>
    </w:p>
    <w:p w:rsidR="00350FFE" w:rsidRPr="00F75AD4" w:rsidRDefault="00BC726C" w:rsidP="00F75AD4">
      <w:pPr>
        <w:spacing w:line="360" w:lineRule="auto"/>
        <w:ind w:firstLine="420"/>
        <w:rPr>
          <w:rFonts w:hAnsi="宋体"/>
          <w:sz w:val="24"/>
        </w:rPr>
      </w:pPr>
      <w:r w:rsidRPr="00F75AD4">
        <w:rPr>
          <w:rFonts w:hAnsi="宋体" w:hint="eastAsia"/>
          <w:sz w:val="24"/>
        </w:rPr>
        <w:t xml:space="preserve">      </w:t>
      </w:r>
      <w:r w:rsidR="0093054F">
        <w:rPr>
          <w:rFonts w:hAnsi="宋体" w:hint="eastAsia"/>
          <w:sz w:val="24"/>
        </w:rPr>
        <w:t>华安</w:t>
      </w:r>
      <w:r w:rsidR="000B36AA" w:rsidRPr="00F75AD4">
        <w:rPr>
          <w:rFonts w:hAnsi="宋体" w:hint="eastAsia"/>
          <w:sz w:val="24"/>
        </w:rPr>
        <w:t>证券股份有限公司</w:t>
      </w:r>
    </w:p>
    <w:p w:rsidR="00247A86" w:rsidRPr="00F75AD4" w:rsidRDefault="00247A86" w:rsidP="00F75AD4">
      <w:pPr>
        <w:spacing w:line="360" w:lineRule="auto"/>
        <w:ind w:firstLine="420"/>
        <w:rPr>
          <w:rFonts w:hAnsi="宋体"/>
          <w:sz w:val="24"/>
        </w:rPr>
      </w:pPr>
      <w:r w:rsidRPr="00F75AD4">
        <w:rPr>
          <w:rFonts w:hAnsi="宋体"/>
          <w:sz w:val="24"/>
        </w:rPr>
        <w:t>2</w:t>
      </w:r>
      <w:r w:rsidRPr="00F75AD4">
        <w:rPr>
          <w:rFonts w:hAnsi="宋体" w:hint="eastAsia"/>
          <w:sz w:val="24"/>
        </w:rPr>
        <w:t>、</w:t>
      </w:r>
      <w:r w:rsidR="0093054F" w:rsidRPr="0093054F">
        <w:rPr>
          <w:rFonts w:hAnsi="宋体"/>
          <w:sz w:val="24"/>
        </w:rPr>
        <w:t>华夏恒生生物科技交易型开放式指数证券投资基金</w:t>
      </w:r>
      <w:r w:rsidR="0093054F" w:rsidRPr="0093054F">
        <w:rPr>
          <w:rFonts w:hAnsi="宋体"/>
          <w:sz w:val="24"/>
        </w:rPr>
        <w:t>(QDII)</w:t>
      </w:r>
      <w:r w:rsidRPr="00F75AD4">
        <w:rPr>
          <w:rFonts w:hAnsi="宋体" w:hint="eastAsia"/>
          <w:sz w:val="24"/>
        </w:rPr>
        <w:t>（</w:t>
      </w:r>
      <w:r w:rsidR="0093054F">
        <w:rPr>
          <w:rFonts w:hAnsi="宋体"/>
          <w:sz w:val="24"/>
        </w:rPr>
        <w:t>159892</w:t>
      </w:r>
      <w:r w:rsidRPr="00F75AD4">
        <w:rPr>
          <w:rFonts w:hAnsi="宋体" w:hint="eastAsia"/>
          <w:sz w:val="24"/>
        </w:rPr>
        <w:t>）：</w:t>
      </w:r>
    </w:p>
    <w:p w:rsidR="00247A86" w:rsidRDefault="00247A86" w:rsidP="00F75AD4">
      <w:pPr>
        <w:spacing w:line="360" w:lineRule="auto"/>
        <w:ind w:firstLine="420"/>
        <w:rPr>
          <w:rFonts w:hAnsi="宋体"/>
          <w:sz w:val="24"/>
        </w:rPr>
      </w:pPr>
      <w:r w:rsidRPr="00F75AD4">
        <w:rPr>
          <w:rFonts w:hAnsi="宋体" w:hint="eastAsia"/>
          <w:sz w:val="24"/>
        </w:rPr>
        <w:t xml:space="preserve">      </w:t>
      </w:r>
      <w:r w:rsidR="0093054F">
        <w:rPr>
          <w:rFonts w:hAnsi="宋体" w:hint="eastAsia"/>
          <w:sz w:val="24"/>
        </w:rPr>
        <w:t>中国国际金融</w:t>
      </w:r>
      <w:r w:rsidR="00535AEA" w:rsidRPr="00F75AD4">
        <w:rPr>
          <w:rFonts w:hAnsi="宋体" w:hint="eastAsia"/>
          <w:sz w:val="24"/>
        </w:rPr>
        <w:t>股份有限公司</w:t>
      </w:r>
    </w:p>
    <w:p w:rsidR="00350FFE" w:rsidRPr="00F75AD4" w:rsidRDefault="00F75AD4" w:rsidP="00F75AD4">
      <w:pPr>
        <w:spacing w:line="360" w:lineRule="auto"/>
        <w:ind w:firstLine="420"/>
        <w:rPr>
          <w:rFonts w:hAnsi="宋体"/>
          <w:sz w:val="24"/>
        </w:rPr>
      </w:pPr>
      <w:r>
        <w:rPr>
          <w:rFonts w:hAnsi="宋体" w:hint="eastAsia"/>
          <w:sz w:val="24"/>
        </w:rPr>
        <w:t>特此公告</w:t>
      </w:r>
    </w:p>
    <w:p w:rsidR="00350FFE" w:rsidRDefault="00350FFE" w:rsidP="00F75AD4">
      <w:pPr>
        <w:spacing w:line="360" w:lineRule="auto"/>
        <w:ind w:firstLine="420"/>
        <w:rPr>
          <w:rFonts w:hAnsi="宋体"/>
          <w:sz w:val="24"/>
        </w:rPr>
      </w:pPr>
    </w:p>
    <w:p w:rsidR="00F75AD4" w:rsidRPr="00F75AD4" w:rsidRDefault="00F75AD4" w:rsidP="00F75AD4">
      <w:pPr>
        <w:spacing w:line="360" w:lineRule="auto"/>
        <w:ind w:firstLine="420"/>
        <w:rPr>
          <w:rFonts w:hAnsi="宋体"/>
          <w:sz w:val="24"/>
        </w:rPr>
      </w:pPr>
    </w:p>
    <w:p w:rsidR="00350FFE" w:rsidRPr="00F75AD4" w:rsidRDefault="0056298C" w:rsidP="00F75AD4">
      <w:pPr>
        <w:spacing w:line="360" w:lineRule="auto"/>
        <w:ind w:firstLine="420"/>
        <w:jc w:val="right"/>
        <w:rPr>
          <w:rFonts w:hAnsi="宋体"/>
          <w:sz w:val="24"/>
        </w:rPr>
      </w:pPr>
      <w:r w:rsidRPr="00F75AD4">
        <w:rPr>
          <w:rFonts w:hAnsi="宋体" w:hint="eastAsia"/>
          <w:sz w:val="24"/>
        </w:rPr>
        <w:t>华夏</w:t>
      </w:r>
      <w:r w:rsidR="00BC726C" w:rsidRPr="00F75AD4">
        <w:rPr>
          <w:rFonts w:hAnsi="宋体" w:hint="eastAsia"/>
          <w:sz w:val="24"/>
        </w:rPr>
        <w:t>基金管理有限公司</w:t>
      </w:r>
    </w:p>
    <w:p w:rsidR="00F75AD4" w:rsidRDefault="00F75AD4" w:rsidP="00F75AD4">
      <w:pPr>
        <w:tabs>
          <w:tab w:val="left" w:pos="10440"/>
        </w:tabs>
        <w:snapToGrid w:val="0"/>
        <w:spacing w:line="360" w:lineRule="auto"/>
        <w:jc w:val="right"/>
      </w:pPr>
      <w:r w:rsidRPr="005B7354">
        <w:rPr>
          <w:rFonts w:ascii="宋体" w:hAnsi="宋体"/>
          <w:color w:val="000000"/>
          <w:sz w:val="24"/>
        </w:rPr>
        <w:t>二○</w:t>
      </w:r>
      <w:r>
        <w:rPr>
          <w:rFonts w:ascii="宋体" w:hAnsi="宋体" w:hint="eastAsia"/>
          <w:color w:val="000000"/>
          <w:sz w:val="24"/>
        </w:rPr>
        <w:t>二</w:t>
      </w:r>
      <w:r w:rsidR="0093054F">
        <w:rPr>
          <w:rFonts w:ascii="宋体" w:hAnsi="宋体" w:hint="eastAsia"/>
          <w:color w:val="000000"/>
          <w:sz w:val="24"/>
        </w:rPr>
        <w:t>六</w:t>
      </w:r>
      <w:r w:rsidRPr="005B7354">
        <w:rPr>
          <w:rFonts w:ascii="宋体" w:hAnsi="宋体"/>
          <w:color w:val="000000"/>
          <w:sz w:val="24"/>
        </w:rPr>
        <w:t>年</w:t>
      </w:r>
      <w:r w:rsidR="0093054F">
        <w:rPr>
          <w:rFonts w:ascii="宋体" w:hAnsi="宋体" w:hint="eastAsia"/>
          <w:color w:val="000000"/>
          <w:sz w:val="24"/>
        </w:rPr>
        <w:t>一</w:t>
      </w:r>
      <w:r w:rsidRPr="005B7354">
        <w:rPr>
          <w:rFonts w:ascii="宋体" w:hAnsi="宋体"/>
          <w:color w:val="000000"/>
          <w:sz w:val="24"/>
        </w:rPr>
        <w:t>月</w:t>
      </w:r>
      <w:r>
        <w:rPr>
          <w:rFonts w:ascii="宋体" w:hAnsi="宋体" w:hint="eastAsia"/>
          <w:color w:val="000000"/>
          <w:sz w:val="24"/>
        </w:rPr>
        <w:t>二十</w:t>
      </w:r>
      <w:r w:rsidR="00583405">
        <w:rPr>
          <w:rFonts w:ascii="宋体" w:hAnsi="宋体" w:hint="eastAsia"/>
          <w:color w:val="000000"/>
          <w:sz w:val="24"/>
        </w:rPr>
        <w:t>三</w:t>
      </w:r>
      <w:r w:rsidRPr="005B7354">
        <w:rPr>
          <w:rFonts w:ascii="宋体" w:hAnsi="宋体"/>
          <w:color w:val="000000"/>
          <w:sz w:val="24"/>
        </w:rPr>
        <w:t>日</w:t>
      </w:r>
    </w:p>
    <w:p w:rsidR="00350FFE" w:rsidRPr="00F75AD4" w:rsidRDefault="00350FFE" w:rsidP="00F75AD4">
      <w:pPr>
        <w:spacing w:line="360" w:lineRule="auto"/>
        <w:ind w:firstLine="420"/>
        <w:rPr>
          <w:rFonts w:hAnsi="宋体"/>
          <w:sz w:val="24"/>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pPr>
        <w:rPr>
          <w:rFonts w:ascii="宋体" w:hAnsi="宋体"/>
          <w:szCs w:val="21"/>
        </w:rPr>
      </w:pPr>
    </w:p>
    <w:p w:rsidR="00350FFE" w:rsidRDefault="00350FFE"/>
    <w:sectPr w:rsidR="00350FFE" w:rsidSect="0058340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78E" w:rsidRDefault="0039078E" w:rsidP="00CB7F4C">
      <w:r>
        <w:separator/>
      </w:r>
    </w:p>
  </w:endnote>
  <w:endnote w:type="continuationSeparator" w:id="0">
    <w:p w:rsidR="0039078E" w:rsidRDefault="0039078E" w:rsidP="00CB7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78E" w:rsidRDefault="0039078E" w:rsidP="00CB7F4C">
      <w:r>
        <w:separator/>
      </w:r>
    </w:p>
  </w:footnote>
  <w:footnote w:type="continuationSeparator" w:id="0">
    <w:p w:rsidR="0039078E" w:rsidRDefault="0039078E" w:rsidP="00CB7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05" w:rsidRDefault="0058340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0FFE"/>
    <w:rsid w:val="000B36AA"/>
    <w:rsid w:val="00247A86"/>
    <w:rsid w:val="003118D2"/>
    <w:rsid w:val="00350FFE"/>
    <w:rsid w:val="00352373"/>
    <w:rsid w:val="0039078E"/>
    <w:rsid w:val="00476515"/>
    <w:rsid w:val="00482287"/>
    <w:rsid w:val="00535AEA"/>
    <w:rsid w:val="0056298C"/>
    <w:rsid w:val="00583405"/>
    <w:rsid w:val="005D57B0"/>
    <w:rsid w:val="00632020"/>
    <w:rsid w:val="00664BB5"/>
    <w:rsid w:val="00687BA2"/>
    <w:rsid w:val="007405DA"/>
    <w:rsid w:val="007A0E78"/>
    <w:rsid w:val="0084322C"/>
    <w:rsid w:val="0093054F"/>
    <w:rsid w:val="00AA34A1"/>
    <w:rsid w:val="00B61B6D"/>
    <w:rsid w:val="00BC726C"/>
    <w:rsid w:val="00CB7F4C"/>
    <w:rsid w:val="00CF28C2"/>
    <w:rsid w:val="00D45603"/>
    <w:rsid w:val="00D50398"/>
    <w:rsid w:val="00D73B0A"/>
    <w:rsid w:val="00DA715F"/>
    <w:rsid w:val="00E03E5D"/>
    <w:rsid w:val="00E368EC"/>
    <w:rsid w:val="00E71B31"/>
    <w:rsid w:val="00E90253"/>
    <w:rsid w:val="00F75AD4"/>
    <w:rsid w:val="093938FC"/>
    <w:rsid w:val="16225C6D"/>
    <w:rsid w:val="4EEE0190"/>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annotation text" w:qFormat="1"/>
    <w:lsdException w:name="caption" w:semiHidden="1" w:unhideWhenUsed="1" w:qFormat="1"/>
    <w:lsdException w:name="footnote reference"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18D2"/>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3118D2"/>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3118D2"/>
    <w:pPr>
      <w:jc w:val="left"/>
    </w:pPr>
  </w:style>
  <w:style w:type="paragraph" w:styleId="a4">
    <w:name w:val="footnote text"/>
    <w:basedOn w:val="a"/>
    <w:semiHidden/>
    <w:unhideWhenUsed/>
    <w:qFormat/>
    <w:rsid w:val="003118D2"/>
    <w:pPr>
      <w:snapToGrid w:val="0"/>
      <w:jc w:val="left"/>
    </w:pPr>
    <w:rPr>
      <w:sz w:val="18"/>
    </w:rPr>
  </w:style>
  <w:style w:type="character" w:styleId="a5">
    <w:name w:val="footnote reference"/>
    <w:basedOn w:val="a0"/>
    <w:semiHidden/>
    <w:unhideWhenUsed/>
    <w:qFormat/>
    <w:rsid w:val="003118D2"/>
    <w:rPr>
      <w:vertAlign w:val="superscript"/>
    </w:rPr>
  </w:style>
  <w:style w:type="paragraph" w:customStyle="1" w:styleId="1">
    <w:name w:val="样式1"/>
    <w:basedOn w:val="4"/>
    <w:next w:val="a"/>
    <w:qFormat/>
    <w:rsid w:val="003118D2"/>
    <w:pPr>
      <w:numPr>
        <w:numId w:val="1"/>
      </w:numPr>
    </w:pPr>
    <w:rPr>
      <w:rFonts w:asciiTheme="minorHAnsi" w:hAnsiTheme="minorHAnsi"/>
      <w:sz w:val="24"/>
    </w:rPr>
  </w:style>
  <w:style w:type="paragraph" w:styleId="a6">
    <w:name w:val="header"/>
    <w:basedOn w:val="a"/>
    <w:link w:val="Char"/>
    <w:rsid w:val="00CB7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CB7F4C"/>
    <w:rPr>
      <w:rFonts w:ascii="Times New Roman" w:eastAsia="宋体" w:hAnsi="Times New Roman" w:cs="Times New Roman"/>
      <w:kern w:val="2"/>
      <w:sz w:val="18"/>
      <w:szCs w:val="18"/>
    </w:rPr>
  </w:style>
  <w:style w:type="paragraph" w:styleId="a7">
    <w:name w:val="footer"/>
    <w:basedOn w:val="a"/>
    <w:link w:val="Char0"/>
    <w:rsid w:val="00CB7F4C"/>
    <w:pPr>
      <w:tabs>
        <w:tab w:val="center" w:pos="4153"/>
        <w:tab w:val="right" w:pos="8306"/>
      </w:tabs>
      <w:snapToGrid w:val="0"/>
      <w:jc w:val="left"/>
    </w:pPr>
    <w:rPr>
      <w:sz w:val="18"/>
      <w:szCs w:val="18"/>
    </w:rPr>
  </w:style>
  <w:style w:type="character" w:customStyle="1" w:styleId="Char0">
    <w:name w:val="页脚 Char"/>
    <w:basedOn w:val="a0"/>
    <w:link w:val="a7"/>
    <w:rsid w:val="00CB7F4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223</Characters>
  <Application>Microsoft Office Word</Application>
  <DocSecurity>4</DocSecurity>
  <Lines>1</Lines>
  <Paragraphs>1</Paragraphs>
  <ScaleCrop>false</ScaleCrop>
  <Company>chinaamc</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2026-01-22T16:03:00Z</dcterms:created>
  <dcterms:modified xsi:type="dcterms:W3CDTF">2026-01-22T16:03:00Z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F9F4F079D4DB429AA0DBCD136EE1440C</vt:lpwstr>
  </property>
</Properties>
</file>