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A9" w:rsidRDefault="004F0DF7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工银瑞信基金管理有限公司</w:t>
      </w:r>
    </w:p>
    <w:p w:rsidR="001A3EA9" w:rsidRDefault="004F0DF7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关于旗下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部分深交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所基金变更扩位证券简称的公告</w:t>
      </w:r>
    </w:p>
    <w:p w:rsidR="001A3EA9" w:rsidRDefault="001A3EA9">
      <w:pPr>
        <w:spacing w:line="360" w:lineRule="auto"/>
        <w:rPr>
          <w:rFonts w:ascii="黑体" w:eastAsia="黑体" w:hAnsi="黑体" w:cs="黑体"/>
          <w:b/>
          <w:bCs/>
          <w:sz w:val="24"/>
          <w:szCs w:val="32"/>
        </w:rPr>
      </w:pPr>
    </w:p>
    <w:p w:rsidR="001A3EA9" w:rsidRDefault="004F0DF7" w:rsidP="004F0DF7">
      <w:pPr>
        <w:spacing w:beforeLines="50" w:afterLines="50"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经向深圳证券交易所（深交所）申请，自</w:t>
      </w:r>
      <w:r>
        <w:rPr>
          <w:rFonts w:ascii="宋体" w:eastAsia="宋体" w:hAnsi="宋体" w:cs="宋体" w:hint="eastAsia"/>
          <w:sz w:val="24"/>
        </w:rPr>
        <w:t>2026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日起，工银瑞信基金管理有限公司（以下简称“基金管理人”）旗下部分深交所基金变更扩位证券简称，基金名称、基金代码等其他事项保持不变。涉及基金及简称信息如下：</w:t>
      </w:r>
    </w:p>
    <w:tbl>
      <w:tblPr>
        <w:tblStyle w:val="a3"/>
        <w:tblW w:w="8872" w:type="dxa"/>
        <w:tblInd w:w="-209" w:type="dxa"/>
        <w:tblCellMar>
          <w:top w:w="28" w:type="dxa"/>
          <w:left w:w="51" w:type="dxa"/>
          <w:bottom w:w="28" w:type="dxa"/>
          <w:right w:w="51" w:type="dxa"/>
        </w:tblCellMar>
        <w:tblLook w:val="04A0"/>
      </w:tblPr>
      <w:tblGrid>
        <w:gridCol w:w="645"/>
        <w:gridCol w:w="1055"/>
        <w:gridCol w:w="2963"/>
        <w:gridCol w:w="1882"/>
        <w:gridCol w:w="2327"/>
      </w:tblGrid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  <w:t>序号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  <w:t>基金代码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  <w:t>基金名称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  <w:t>原扩位证券简称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2"/>
              </w:rPr>
              <w:t>变更后扩位证券简称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159636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工银瑞信国证港股通科技交易型开放式指数证券投资基金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港股通科技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30ETF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港股通科技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30ETF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159691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工银瑞信中证港股通高股息精选交易型开放式指数证券投资基金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港股红利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港股红利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159840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工银瑞信国证新能源车电池交易型开放式指数证券投资基金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锂电池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锂电池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159905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深证红利交易型开放式指数证券投资基金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深红利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红利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159866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工银瑞信大和日经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交易型开放式指数证券投资基金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(QDII)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日经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159671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工银瑞信中证稀有金属主题交易型开放式指数证券投资基金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稀有金属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基金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稀有金属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159665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工银瑞信国证半导体芯片交易型开放式指数证券投资基金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半导体龙头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半导体龙头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159856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工银瑞信中证沪港深互联网交易型开放式指数证券投资基金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互联网龙头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互联网龙头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42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159520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工银瑞信中证消费龙头交易型开放式指数证券投资基金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消费龙头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消费龙头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50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159315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工银瑞信中证沪深港黄金产业股票交易型开放式指数证券投资基金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黄金股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基金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黄金股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50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159640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工银瑞信中证上海环交所碳中和交易型开放式指数证券投资基金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碳中和龙头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碳中和龙头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50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159976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工银瑞信粤港澳大湾区创新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湾创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湾创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50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159237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工银瑞信中证港股通汽车产业主题交易型开放式指数证券投资基金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港股汽车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基金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港股汽车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50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159543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工银瑞信国证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交易型开放式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国证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2000ETF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基金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国证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2000ETF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  <w:tr w:rsidR="001A3EA9">
        <w:trPr>
          <w:trHeight w:val="350"/>
        </w:trPr>
        <w:tc>
          <w:tcPr>
            <w:tcW w:w="645" w:type="dxa"/>
            <w:vAlign w:val="center"/>
          </w:tcPr>
          <w:p w:rsidR="001A3EA9" w:rsidRDefault="004F0DF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55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159725</w:t>
            </w:r>
          </w:p>
        </w:tc>
        <w:tc>
          <w:tcPr>
            <w:tcW w:w="2963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工银瑞信中证线上消费主题交易型开放式指数证券投资基金</w:t>
            </w:r>
          </w:p>
        </w:tc>
        <w:tc>
          <w:tcPr>
            <w:tcW w:w="1882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线上消费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</w:p>
        </w:tc>
        <w:tc>
          <w:tcPr>
            <w:tcW w:w="2327" w:type="dxa"/>
            <w:vAlign w:val="center"/>
          </w:tcPr>
          <w:p w:rsidR="001A3EA9" w:rsidRDefault="004F0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线上消费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ETF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工银</w:t>
            </w:r>
          </w:p>
        </w:tc>
      </w:tr>
    </w:tbl>
    <w:p w:rsidR="001A3EA9" w:rsidRDefault="001A3EA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</w:p>
    <w:p w:rsidR="001A3EA9" w:rsidRDefault="004F0DF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本次更新符合相关法律法规及基金合同的规定，基金管理人将据此更新本基金的基金产品资料概要和招募说明书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。本次变更上述简称对基金份额持有人利益无实质性不利影响，且不涉及基金合同当事人权利义务关系发生变化，不需要召开基金份额持有人大会。投资人可访问本公司网站</w:t>
      </w:r>
      <w:r>
        <w:rPr>
          <w:rFonts w:ascii="宋体" w:eastAsia="宋体" w:hAnsi="宋体" w:cs="宋体" w:hint="eastAsia"/>
          <w:sz w:val="24"/>
        </w:rPr>
        <w:t>(www.icbcubs.com.cn)</w:t>
      </w:r>
      <w:r>
        <w:rPr>
          <w:rFonts w:ascii="宋体" w:eastAsia="宋体" w:hAnsi="宋体" w:cs="宋体" w:hint="eastAsia"/>
          <w:sz w:val="24"/>
        </w:rPr>
        <w:t>或拨打客户服务电话（</w:t>
      </w:r>
      <w:r>
        <w:rPr>
          <w:rFonts w:ascii="宋体" w:eastAsia="宋体" w:hAnsi="宋体" w:cs="宋体" w:hint="eastAsia"/>
          <w:sz w:val="24"/>
        </w:rPr>
        <w:t>400-811-9999</w:t>
      </w:r>
      <w:r>
        <w:rPr>
          <w:rFonts w:ascii="宋体" w:eastAsia="宋体" w:hAnsi="宋体" w:cs="宋体" w:hint="eastAsia"/>
          <w:sz w:val="24"/>
        </w:rPr>
        <w:t>）咨询相关情况。</w:t>
      </w:r>
    </w:p>
    <w:p w:rsidR="001A3EA9" w:rsidRDefault="001A3EA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1A3EA9" w:rsidRDefault="004F0DF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风险提示：</w:t>
      </w:r>
    </w:p>
    <w:p w:rsidR="001A3EA9" w:rsidRDefault="004F0DF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本基金管理人承诺以诚实信用、勤勉尽责的原则管理和运用</w:t>
      </w:r>
      <w:r>
        <w:rPr>
          <w:rFonts w:ascii="宋体" w:eastAsia="宋体" w:hAnsi="宋体" w:cs="宋体" w:hint="eastAsia"/>
          <w:sz w:val="24"/>
        </w:rPr>
        <w:t>基金资产，但不保证基金一定盈利，也不保证最低收益。基金的过往业绩不代表其将来表现。投资有风险，敬请投资人认真阅读基金的相关法律文件，并选择适合自身风险承受能力的投资品种进行投资。</w:t>
      </w:r>
    </w:p>
    <w:p w:rsidR="001A3EA9" w:rsidRDefault="001A3EA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1A3EA9" w:rsidRDefault="004F0DF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特此公告。</w:t>
      </w:r>
    </w:p>
    <w:p w:rsidR="001A3EA9" w:rsidRDefault="001A3EA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1A3EA9" w:rsidRDefault="004F0DF7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工银瑞信基金管理有限公司</w:t>
      </w:r>
    </w:p>
    <w:p w:rsidR="001A3EA9" w:rsidRDefault="004F0DF7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2026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日</w:t>
      </w:r>
    </w:p>
    <w:sectPr w:rsidR="001A3EA9" w:rsidSect="001A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1FF1B86"/>
    <w:rsid w:val="001A3EA9"/>
    <w:rsid w:val="004F0DF7"/>
    <w:rsid w:val="02A84D7C"/>
    <w:rsid w:val="0E2A088D"/>
    <w:rsid w:val="11FF1B86"/>
    <w:rsid w:val="3AF80F56"/>
    <w:rsid w:val="64DD3047"/>
    <w:rsid w:val="65065717"/>
    <w:rsid w:val="6CB6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E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A3E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4</DocSecurity>
  <Lines>9</Lines>
  <Paragraphs>2</Paragraphs>
  <ScaleCrop>false</ScaleCrop>
  <Company>CNSTOCK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董雪晗</dc:creator>
  <cp:lastModifiedBy>ZHONGM</cp:lastModifiedBy>
  <cp:revision>2</cp:revision>
  <dcterms:created xsi:type="dcterms:W3CDTF">2026-01-22T16:02:00Z</dcterms:created>
  <dcterms:modified xsi:type="dcterms:W3CDTF">2026-01-22T16:02:00Z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7509F54814584B159D6ADA827C97A287</vt:lpwstr>
  </property>
</Properties>
</file>