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F" w:rsidRDefault="00D7798F" w:rsidP="00D7798F">
      <w:pPr>
        <w:jc w:val="center"/>
        <w:rPr>
          <w:rFonts w:hAnsi="宋体"/>
          <w:b/>
          <w:sz w:val="48"/>
          <w:szCs w:val="48"/>
        </w:rPr>
      </w:pPr>
      <w:r w:rsidRPr="0034764F">
        <w:rPr>
          <w:rFonts w:hAnsi="宋体"/>
          <w:b/>
          <w:sz w:val="48"/>
          <w:szCs w:val="48"/>
        </w:rPr>
        <w:t>鹏扬淳盈6个月定期开放债券型证券投资基金开放日常申购、赎回、转换业务的公告</w:t>
      </w:r>
    </w:p>
    <w:p w:rsidR="00DC5DEF" w:rsidRDefault="00FF26C4" w:rsidP="002E705D">
      <w:pPr>
        <w:pStyle w:val="1"/>
        <w:spacing w:before="156" w:after="156"/>
      </w:pPr>
      <w:r>
        <w:t>公告基本信息</w:t>
      </w:r>
    </w:p>
    <w:tbl>
      <w:tblPr>
        <w:tblStyle w:val="ae"/>
        <w:tblW w:w="9072" w:type="dxa"/>
        <w:jc w:val="center"/>
        <w:tblLayout w:type="fixed"/>
        <w:tblLook w:val="04A0"/>
      </w:tblPr>
      <w:tblGrid>
        <w:gridCol w:w="2369"/>
        <w:gridCol w:w="2233"/>
        <w:gridCol w:w="2233"/>
        <w:gridCol w:w="2237"/>
      </w:tblGrid>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基金名称</w:t>
            </w:r>
          </w:p>
        </w:tc>
        <w:tc>
          <w:tcPr>
            <w:tcW w:w="6703" w:type="dxa"/>
            <w:gridSpan w:val="3"/>
            <w:tcMar>
              <w:left w:w="85" w:type="dxa"/>
              <w:right w:w="85" w:type="dxa"/>
            </w:tcMar>
            <w:vAlign w:val="center"/>
          </w:tcPr>
          <w:p w:rsidR="006005A0" w:rsidRPr="00E03153" w:rsidRDefault="006005A0" w:rsidP="00301A96">
            <w:r w:rsidRPr="00E03153">
              <w:rPr>
                <w:rFonts w:hint="eastAsia"/>
              </w:rPr>
              <w:t>鹏扬淳盈6个月定期开放债券型证券投资基金</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基金简称</w:t>
            </w:r>
          </w:p>
        </w:tc>
        <w:tc>
          <w:tcPr>
            <w:tcW w:w="6703" w:type="dxa"/>
            <w:gridSpan w:val="3"/>
            <w:tcMar>
              <w:left w:w="85" w:type="dxa"/>
              <w:right w:w="85" w:type="dxa"/>
            </w:tcMar>
            <w:vAlign w:val="center"/>
          </w:tcPr>
          <w:p w:rsidR="006005A0" w:rsidRPr="00E03153" w:rsidRDefault="006005A0" w:rsidP="00301A96">
            <w:r w:rsidRPr="00E03153">
              <w:rPr>
                <w:rFonts w:hint="eastAsia"/>
              </w:rPr>
              <w:t>鹏扬淳盈6个月定开</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基金主代码</w:t>
            </w:r>
          </w:p>
        </w:tc>
        <w:tc>
          <w:tcPr>
            <w:tcW w:w="6703" w:type="dxa"/>
            <w:gridSpan w:val="3"/>
            <w:tcMar>
              <w:left w:w="85" w:type="dxa"/>
              <w:right w:w="85" w:type="dxa"/>
            </w:tcMar>
            <w:vAlign w:val="center"/>
          </w:tcPr>
          <w:p w:rsidR="006005A0" w:rsidRPr="00E03153" w:rsidRDefault="006005A0" w:rsidP="00301A96">
            <w:r w:rsidRPr="00E03153">
              <w:rPr>
                <w:rFonts w:hint="eastAsia"/>
              </w:rPr>
              <w:t>007429</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基金运作方式</w:t>
            </w:r>
          </w:p>
        </w:tc>
        <w:tc>
          <w:tcPr>
            <w:tcW w:w="6703" w:type="dxa"/>
            <w:gridSpan w:val="3"/>
            <w:tcMar>
              <w:left w:w="85" w:type="dxa"/>
              <w:right w:w="85" w:type="dxa"/>
            </w:tcMar>
            <w:vAlign w:val="center"/>
          </w:tcPr>
          <w:p w:rsidR="006005A0" w:rsidRPr="00E03153" w:rsidRDefault="006005A0" w:rsidP="00301A96">
            <w:r w:rsidRPr="00E03153">
              <w:rPr>
                <w:rFonts w:hint="eastAsia"/>
              </w:rPr>
              <w:t>契约型定期开放式</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基金合同生效日</w:t>
            </w:r>
          </w:p>
        </w:tc>
        <w:tc>
          <w:tcPr>
            <w:tcW w:w="6703" w:type="dxa"/>
            <w:gridSpan w:val="3"/>
            <w:tcMar>
              <w:left w:w="85" w:type="dxa"/>
              <w:right w:w="85" w:type="dxa"/>
            </w:tcMar>
            <w:vAlign w:val="center"/>
          </w:tcPr>
          <w:p w:rsidR="006005A0" w:rsidRPr="00E03153" w:rsidRDefault="006005A0" w:rsidP="00301A96">
            <w:r w:rsidRPr="00E03153">
              <w:rPr>
                <w:rFonts w:hint="eastAsia"/>
              </w:rPr>
              <w:t>2019年6月21日</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基金管理人名称</w:t>
            </w:r>
          </w:p>
        </w:tc>
        <w:tc>
          <w:tcPr>
            <w:tcW w:w="6703" w:type="dxa"/>
            <w:gridSpan w:val="3"/>
            <w:tcMar>
              <w:left w:w="85" w:type="dxa"/>
              <w:right w:w="85" w:type="dxa"/>
            </w:tcMar>
            <w:vAlign w:val="center"/>
          </w:tcPr>
          <w:p w:rsidR="006005A0" w:rsidRPr="00E03153" w:rsidRDefault="006005A0" w:rsidP="00301A96">
            <w:r w:rsidRPr="00E03153">
              <w:rPr>
                <w:rFonts w:hint="eastAsia"/>
              </w:rPr>
              <w:t>鹏扬基金管理有限公司</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基金托管人名称</w:t>
            </w:r>
          </w:p>
        </w:tc>
        <w:tc>
          <w:tcPr>
            <w:tcW w:w="6703" w:type="dxa"/>
            <w:gridSpan w:val="3"/>
            <w:tcMar>
              <w:left w:w="85" w:type="dxa"/>
              <w:right w:w="85" w:type="dxa"/>
            </w:tcMar>
            <w:vAlign w:val="center"/>
          </w:tcPr>
          <w:p w:rsidR="006005A0" w:rsidRPr="00E03153" w:rsidRDefault="006005A0" w:rsidP="00301A96">
            <w:r w:rsidRPr="00E03153">
              <w:rPr>
                <w:rFonts w:hint="eastAsia"/>
              </w:rPr>
              <w:t>浙商银行股份有限公司</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基金注册登记机构名称</w:t>
            </w:r>
          </w:p>
        </w:tc>
        <w:tc>
          <w:tcPr>
            <w:tcW w:w="6703" w:type="dxa"/>
            <w:gridSpan w:val="3"/>
            <w:tcMar>
              <w:left w:w="85" w:type="dxa"/>
              <w:right w:w="85" w:type="dxa"/>
            </w:tcMar>
            <w:vAlign w:val="center"/>
          </w:tcPr>
          <w:p w:rsidR="006005A0" w:rsidRPr="00E03153" w:rsidRDefault="006005A0" w:rsidP="00301A96">
            <w:r w:rsidRPr="00E03153">
              <w:rPr>
                <w:rFonts w:hint="eastAsia"/>
              </w:rPr>
              <w:t>鹏扬基金管理有限公司</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公告依据</w:t>
            </w:r>
          </w:p>
        </w:tc>
        <w:tc>
          <w:tcPr>
            <w:tcW w:w="6703" w:type="dxa"/>
            <w:gridSpan w:val="3"/>
            <w:tcMar>
              <w:left w:w="85" w:type="dxa"/>
              <w:right w:w="85" w:type="dxa"/>
            </w:tcMar>
            <w:vAlign w:val="center"/>
          </w:tcPr>
          <w:p w:rsidR="006005A0" w:rsidRPr="00E03153" w:rsidRDefault="006005A0" w:rsidP="00301A96">
            <w:r w:rsidRPr="00E03153">
              <w:rPr>
                <w:rFonts w:hint="eastAsia"/>
              </w:rPr>
              <w:t>《中华人民共和国证券投资基金法》、《公开募集证券投资基金运作管理办法》等相关法律、法规的规定以及《鹏扬淳盈6个月定期开放债券型证券投资基金基金合同》（以下简称“基金合同”）、《鹏扬淳盈6个月定期开放债券型证券投资基金招募说明书》（以下简称“招募说明书”）等。</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申购起始日</w:t>
            </w:r>
          </w:p>
        </w:tc>
        <w:tc>
          <w:tcPr>
            <w:tcW w:w="6703" w:type="dxa"/>
            <w:gridSpan w:val="3"/>
            <w:tcMar>
              <w:left w:w="85" w:type="dxa"/>
              <w:right w:w="85" w:type="dxa"/>
            </w:tcMar>
            <w:vAlign w:val="center"/>
          </w:tcPr>
          <w:p w:rsidR="006005A0" w:rsidRPr="00E03153" w:rsidRDefault="006005A0" w:rsidP="00301A96">
            <w:r w:rsidRPr="00E03153">
              <w:rPr>
                <w:rFonts w:hint="eastAsia"/>
              </w:rPr>
              <w:t>2026年1月26日</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赎回起始日</w:t>
            </w:r>
          </w:p>
        </w:tc>
        <w:tc>
          <w:tcPr>
            <w:tcW w:w="6703" w:type="dxa"/>
            <w:gridSpan w:val="3"/>
            <w:tcMar>
              <w:left w:w="85" w:type="dxa"/>
              <w:right w:w="85" w:type="dxa"/>
            </w:tcMar>
            <w:vAlign w:val="center"/>
          </w:tcPr>
          <w:p w:rsidR="006005A0" w:rsidRPr="00E03153" w:rsidRDefault="006005A0" w:rsidP="00301A96">
            <w:r w:rsidRPr="00E03153">
              <w:rPr>
                <w:rFonts w:hint="eastAsia"/>
              </w:rPr>
              <w:t>2026年1月26日</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转换转入起始日</w:t>
            </w:r>
          </w:p>
        </w:tc>
        <w:tc>
          <w:tcPr>
            <w:tcW w:w="6703" w:type="dxa"/>
            <w:gridSpan w:val="3"/>
            <w:tcMar>
              <w:left w:w="85" w:type="dxa"/>
              <w:right w:w="85" w:type="dxa"/>
            </w:tcMar>
            <w:vAlign w:val="center"/>
          </w:tcPr>
          <w:p w:rsidR="006005A0" w:rsidRPr="00E03153" w:rsidRDefault="006005A0" w:rsidP="00301A96">
            <w:r w:rsidRPr="00E03153">
              <w:rPr>
                <w:rFonts w:hint="eastAsia"/>
              </w:rPr>
              <w:t>2026年1月26日</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转换转出起始日</w:t>
            </w:r>
          </w:p>
        </w:tc>
        <w:tc>
          <w:tcPr>
            <w:tcW w:w="6703" w:type="dxa"/>
            <w:gridSpan w:val="3"/>
            <w:tcMar>
              <w:left w:w="85" w:type="dxa"/>
              <w:right w:w="85" w:type="dxa"/>
            </w:tcMar>
            <w:vAlign w:val="center"/>
          </w:tcPr>
          <w:p w:rsidR="006005A0" w:rsidRPr="00E03153" w:rsidRDefault="006005A0" w:rsidP="00301A96">
            <w:r w:rsidRPr="00E03153">
              <w:rPr>
                <w:rFonts w:hint="eastAsia"/>
              </w:rPr>
              <w:t>2026年1月26日</w:t>
            </w:r>
          </w:p>
        </w:tc>
      </w:tr>
      <w:tr w:rsidR="008F21D4" w:rsidTr="008F21D4">
        <w:trPr>
          <w:jc w:val="center"/>
        </w:trPr>
        <w:tc>
          <w:tcPr>
            <w:tcW w:w="2369" w:type="dxa"/>
            <w:tcMar>
              <w:left w:w="85" w:type="dxa"/>
              <w:right w:w="85" w:type="dxa"/>
            </w:tcMar>
            <w:vAlign w:val="center"/>
          </w:tcPr>
          <w:p w:rsidR="006005A0" w:rsidRPr="007576E9" w:rsidRDefault="006005A0" w:rsidP="006005A0">
            <w:pPr>
              <w:jc w:val="both"/>
            </w:pPr>
            <w:r w:rsidRPr="007576E9">
              <w:rPr>
                <w:rFonts w:hint="eastAsia"/>
              </w:rPr>
              <w:t>下属</w:t>
            </w:r>
            <w:r w:rsidR="008F21D4">
              <w:rPr>
                <w:rFonts w:hint="eastAsia"/>
              </w:rPr>
              <w:t>分类</w:t>
            </w:r>
            <w:r w:rsidRPr="007576E9">
              <w:rPr>
                <w:rFonts w:hint="eastAsia"/>
              </w:rPr>
              <w:t>基金的基金简称</w:t>
            </w:r>
          </w:p>
        </w:tc>
        <w:tc>
          <w:tcPr>
            <w:tcW w:w="2233" w:type="dxa"/>
            <w:tcMar>
              <w:left w:w="85" w:type="dxa"/>
              <w:right w:w="85" w:type="dxa"/>
            </w:tcMar>
            <w:vAlign w:val="center"/>
          </w:tcPr>
          <w:p w:rsidR="006005A0" w:rsidRPr="00D418FC" w:rsidRDefault="006005A0" w:rsidP="006005A0">
            <w:r w:rsidRPr="00D418FC">
              <w:rPr>
                <w:rFonts w:hint="eastAsia"/>
              </w:rPr>
              <w:t>鹏扬淳盈6个月定开A</w:t>
            </w:r>
          </w:p>
        </w:tc>
        <w:tc>
          <w:tcPr>
            <w:tcW w:w="2233" w:type="dxa"/>
            <w:tcMar>
              <w:left w:w="85" w:type="dxa"/>
              <w:right w:w="85" w:type="dxa"/>
            </w:tcMar>
            <w:vAlign w:val="center"/>
          </w:tcPr>
          <w:p w:rsidR="006005A0" w:rsidRPr="00D418FC" w:rsidRDefault="006005A0" w:rsidP="006005A0">
            <w:r w:rsidRPr="00D418FC">
              <w:rPr>
                <w:rFonts w:hint="eastAsia"/>
              </w:rPr>
              <w:t>鹏扬淳盈6个月定开C</w:t>
            </w:r>
          </w:p>
        </w:tc>
        <w:tc>
          <w:tcPr>
            <w:tcW w:w="2233" w:type="dxa"/>
            <w:tcMar>
              <w:left w:w="85" w:type="dxa"/>
              <w:right w:w="85" w:type="dxa"/>
            </w:tcMar>
            <w:vAlign w:val="center"/>
          </w:tcPr>
          <w:p w:rsidR="006005A0" w:rsidRPr="00D418FC" w:rsidRDefault="006005A0" w:rsidP="006005A0">
            <w:r w:rsidRPr="00D418FC">
              <w:rPr>
                <w:rFonts w:hint="eastAsia"/>
              </w:rPr>
              <w:t>鹏扬淳盈6个月定开D</w:t>
            </w:r>
          </w:p>
        </w:tc>
      </w:tr>
      <w:tr w:rsidR="008F21D4" w:rsidTr="008F21D4">
        <w:trPr>
          <w:jc w:val="center"/>
        </w:trPr>
        <w:tc>
          <w:tcPr>
            <w:tcW w:w="2369" w:type="dxa"/>
            <w:tcMar>
              <w:left w:w="85" w:type="dxa"/>
              <w:right w:w="85" w:type="dxa"/>
            </w:tcMar>
            <w:vAlign w:val="center"/>
          </w:tcPr>
          <w:p w:rsidR="006005A0" w:rsidRPr="007576E9" w:rsidRDefault="006005A0" w:rsidP="006005A0">
            <w:pPr>
              <w:jc w:val="both"/>
            </w:pPr>
            <w:r w:rsidRPr="007576E9">
              <w:rPr>
                <w:rFonts w:hint="eastAsia"/>
              </w:rPr>
              <w:t>下属</w:t>
            </w:r>
            <w:r w:rsidR="008F21D4">
              <w:rPr>
                <w:rFonts w:hint="eastAsia"/>
              </w:rPr>
              <w:t>分类</w:t>
            </w:r>
            <w:r w:rsidRPr="007576E9">
              <w:rPr>
                <w:rFonts w:hint="eastAsia"/>
              </w:rPr>
              <w:t>基金的交易代码</w:t>
            </w:r>
          </w:p>
        </w:tc>
        <w:tc>
          <w:tcPr>
            <w:tcW w:w="2233" w:type="dxa"/>
            <w:tcMar>
              <w:left w:w="85" w:type="dxa"/>
              <w:right w:w="85" w:type="dxa"/>
            </w:tcMar>
            <w:vAlign w:val="center"/>
          </w:tcPr>
          <w:p w:rsidR="006005A0" w:rsidRPr="00D418FC" w:rsidRDefault="006005A0" w:rsidP="006005A0">
            <w:r w:rsidRPr="00D418FC">
              <w:rPr>
                <w:rFonts w:hint="eastAsia"/>
              </w:rPr>
              <w:t>007429</w:t>
            </w:r>
          </w:p>
        </w:tc>
        <w:tc>
          <w:tcPr>
            <w:tcW w:w="2233" w:type="dxa"/>
            <w:tcMar>
              <w:left w:w="85" w:type="dxa"/>
              <w:right w:w="85" w:type="dxa"/>
            </w:tcMar>
            <w:vAlign w:val="center"/>
          </w:tcPr>
          <w:p w:rsidR="006005A0" w:rsidRPr="00D418FC" w:rsidRDefault="006005A0" w:rsidP="006005A0">
            <w:r w:rsidRPr="00D418FC">
              <w:rPr>
                <w:rFonts w:hint="eastAsia"/>
              </w:rPr>
              <w:t>007430</w:t>
            </w:r>
          </w:p>
        </w:tc>
        <w:tc>
          <w:tcPr>
            <w:tcW w:w="2233" w:type="dxa"/>
            <w:tcMar>
              <w:left w:w="85" w:type="dxa"/>
              <w:right w:w="85" w:type="dxa"/>
            </w:tcMar>
            <w:vAlign w:val="center"/>
          </w:tcPr>
          <w:p w:rsidR="006005A0" w:rsidRPr="00D418FC" w:rsidRDefault="006005A0" w:rsidP="006005A0">
            <w:r w:rsidRPr="00D418FC">
              <w:rPr>
                <w:rFonts w:hint="eastAsia"/>
              </w:rPr>
              <w:t>019477</w:t>
            </w:r>
          </w:p>
        </w:tc>
      </w:tr>
      <w:tr w:rsidR="008F21D4" w:rsidTr="008F21D4">
        <w:trPr>
          <w:jc w:val="center"/>
        </w:trPr>
        <w:tc>
          <w:tcPr>
            <w:tcW w:w="2369" w:type="dxa"/>
            <w:tcMar>
              <w:left w:w="85" w:type="dxa"/>
              <w:right w:w="85" w:type="dxa"/>
            </w:tcMar>
            <w:vAlign w:val="center"/>
          </w:tcPr>
          <w:p w:rsidR="006005A0" w:rsidRDefault="006005A0" w:rsidP="008F21D4">
            <w:pPr>
              <w:jc w:val="both"/>
            </w:pPr>
            <w:r w:rsidRPr="007576E9">
              <w:rPr>
                <w:rFonts w:hint="eastAsia"/>
              </w:rPr>
              <w:t>该</w:t>
            </w:r>
            <w:r w:rsidR="008F21D4">
              <w:rPr>
                <w:rFonts w:hint="eastAsia"/>
              </w:rPr>
              <w:t>分类</w:t>
            </w:r>
            <w:r w:rsidRPr="007576E9">
              <w:rPr>
                <w:rFonts w:hint="eastAsia"/>
              </w:rPr>
              <w:t>基金是否开放申购、赎回</w:t>
            </w:r>
            <w:r w:rsidR="008F21D4">
              <w:rPr>
                <w:rFonts w:hint="eastAsia"/>
              </w:rPr>
              <w:t>、</w:t>
            </w:r>
            <w:r w:rsidRPr="007576E9">
              <w:rPr>
                <w:rFonts w:hint="eastAsia"/>
              </w:rPr>
              <w:t>转换</w:t>
            </w:r>
          </w:p>
        </w:tc>
        <w:tc>
          <w:tcPr>
            <w:tcW w:w="2233" w:type="dxa"/>
            <w:tcMar>
              <w:left w:w="85" w:type="dxa"/>
              <w:right w:w="85" w:type="dxa"/>
            </w:tcMar>
            <w:vAlign w:val="center"/>
          </w:tcPr>
          <w:p w:rsidR="006005A0" w:rsidRPr="00D418FC" w:rsidRDefault="006005A0" w:rsidP="006005A0">
            <w:r w:rsidRPr="00D418FC">
              <w:rPr>
                <w:rFonts w:hint="eastAsia"/>
              </w:rPr>
              <w:t>是</w:t>
            </w:r>
          </w:p>
        </w:tc>
        <w:tc>
          <w:tcPr>
            <w:tcW w:w="2233" w:type="dxa"/>
            <w:tcMar>
              <w:left w:w="85" w:type="dxa"/>
              <w:right w:w="85" w:type="dxa"/>
            </w:tcMar>
            <w:vAlign w:val="center"/>
          </w:tcPr>
          <w:p w:rsidR="006005A0" w:rsidRPr="00D418FC" w:rsidRDefault="006005A0" w:rsidP="006005A0">
            <w:r w:rsidRPr="00D418FC">
              <w:rPr>
                <w:rFonts w:hint="eastAsia"/>
              </w:rPr>
              <w:t>是</w:t>
            </w:r>
          </w:p>
        </w:tc>
        <w:tc>
          <w:tcPr>
            <w:tcW w:w="2233" w:type="dxa"/>
            <w:tcMar>
              <w:left w:w="85" w:type="dxa"/>
              <w:right w:w="85" w:type="dxa"/>
            </w:tcMar>
            <w:vAlign w:val="center"/>
          </w:tcPr>
          <w:p w:rsidR="006005A0" w:rsidRPr="00D418FC" w:rsidRDefault="006005A0" w:rsidP="006005A0">
            <w:r w:rsidRPr="00D418FC">
              <w:rPr>
                <w:rFonts w:hint="eastAsia"/>
              </w:rPr>
              <w:t>是</w:t>
            </w:r>
          </w:p>
        </w:tc>
      </w:tr>
    </w:tbl>
    <w:p w:rsidR="00FF26C4" w:rsidRPr="00FF26C4" w:rsidRDefault="00FF26C4" w:rsidP="00283D98">
      <w:r w:rsidRPr="00C10F53">
        <w:rPr>
          <w:szCs w:val="22"/>
        </w:rPr>
        <w:t>注：本次仅开放日常申购、赎回、转换业务，定期定额投资业务开放时间将另行公告。</w:t>
      </w:r>
    </w:p>
    <w:p w:rsidR="00FF26C4" w:rsidRDefault="00FF26C4" w:rsidP="002E705D">
      <w:pPr>
        <w:pStyle w:val="1"/>
        <w:spacing w:before="156" w:after="156"/>
      </w:pPr>
      <w:r w:rsidRPr="00FF26C4">
        <w:rPr>
          <w:rFonts w:hint="eastAsia"/>
        </w:rPr>
        <w:t>日常申购、赎回</w:t>
      </w:r>
      <w:r w:rsidR="008F21D4">
        <w:rPr>
          <w:rFonts w:hint="eastAsia"/>
        </w:rPr>
        <w:t>、</w:t>
      </w:r>
      <w:r w:rsidRPr="00FF26C4">
        <w:rPr>
          <w:rFonts w:hint="eastAsia"/>
        </w:rPr>
        <w:t>转换业务的办理时间</w:t>
      </w:r>
    </w:p>
    <w:p w:rsidR="00FF26C4" w:rsidRPr="00FF26C4" w:rsidRDefault="00FF26C4" w:rsidP="0034764F">
      <w:pPr>
        <w:pStyle w:val="ac"/>
        <w:ind w:firstLine="420"/>
      </w:pPr>
      <w:r w:rsidRPr="00C10F53">
        <w:t>根据鹏扬淳盈6个月定期开放债券型证券投资基金（以下简称</w:t>
      </w:r>
      <w:r w:rsidRPr="00C10F53">
        <w:t>“</w:t>
      </w:r>
      <w:r w:rsidRPr="00C10F53">
        <w:t>本基金</w:t>
      </w:r>
      <w:r w:rsidRPr="00C10F53">
        <w:t>”</w:t>
      </w:r>
      <w:r w:rsidRPr="00C10F53">
        <w:t>）《基金合同》、《招募说明书》的规定，本基金以定期开放方式运作，即以封闭期和开放期相结合的方式运作。本基金的首个封闭期为自基金合同生效日（含该日）起至基金合同生效日所对应的6个月月度对日的前一日。下一个封闭期为首个开放期结束之日次日（含该日）起至首个开放期结束之日次日所对应的6个月月度对日的前一日，以此类推。如该对应日期为非工作日，则顺延至下一个工作日，若该日历月度中不存在对应日期的，则顺延至该日历月最后一日的下一个工作日。本基金在封闭期内不办理申购与赎回等业务，也不上市交易。</w:t>
      </w:r>
      <w:r w:rsidRPr="00C10F53">
        <w:br/>
      </w:r>
      <w:r w:rsidRPr="00C10F53">
        <w:lastRenderedPageBreak/>
        <w:t xml:space="preserve">    本基金自每个封闭期结束后第一个工作日（含该日）起进入开放期，期间可以办理申购与赎回等业务。如封闭期结束后或在开放期内发生不可抗力或其他情形致使基金无法按时开放申购与赎回等业务的，或依据基金合同需暂停申购或赎回等业务的，或发生基金合同约定需要延长开放期的其他情形的，开放期时间顺延，直到满足开放期的时间要求，开放期的具体时间由基金管理人在每个开放期前依照《公开募集证券投资基金信息披露管理办法》（以下简称</w:t>
      </w:r>
      <w:r w:rsidRPr="00C10F53">
        <w:t>“</w:t>
      </w:r>
      <w:r w:rsidRPr="00C10F53">
        <w:t>《信息披露办法》</w:t>
      </w:r>
      <w:r w:rsidRPr="00C10F53">
        <w:t>”</w:t>
      </w:r>
      <w:r w:rsidRPr="00C10F53">
        <w:t>）的有关规定在指定媒介上予以公告。</w:t>
      </w:r>
      <w:r w:rsidRPr="00C10F53">
        <w:br/>
        <w:t xml:space="preserve">    本次开放期为2026年1月26日至2026年3月2日，即2026年1月26日至2026年3月2日可办理本基金申购、赎回及转换业务；自2026年3月3日（含）起不再办理本基金的申购、赎回及转换业务。</w:t>
      </w:r>
      <w:r w:rsidRPr="00C10F53">
        <w:br/>
        <w:t xml:space="preserve">    投资人在开放日办理基金份额的申购和赎回，具体办理时间为上海证券交易所、深圳证券交易所的正常交易日的交易时间，但基金管理人根据法律法规、中国证监会的要求或基金合同的规定公告暂停申购、赎回时除外。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r w:rsidRPr="00C10F53">
        <w:br/>
        <w:t xml:space="preserve">    基金管理人不得在基金合同约定之外的日期或者时间办理基金份额的申购、赎回或者转换。在开放期的每个开放日内，投资人在基金合同约定之外的日期和时间提出申购、赎回或转换申请且登记机构确认接受的，其基金份额申购、赎回价格为下一开放日基金份额申购、赎回的价格。但在开放期最后一个开放日，投资者在基金合同约定的业务办理时间之外提出申购、赎回或者转换申请的，为无效申请。</w:t>
      </w:r>
    </w:p>
    <w:p w:rsidR="00FF26C4" w:rsidRDefault="00FF26C4" w:rsidP="002E705D">
      <w:pPr>
        <w:pStyle w:val="1"/>
        <w:spacing w:before="156" w:after="156"/>
      </w:pPr>
      <w:r>
        <w:t>日常申购业务</w:t>
      </w:r>
    </w:p>
    <w:p w:rsidR="00FF26C4" w:rsidRDefault="00FF26C4" w:rsidP="002E705D">
      <w:pPr>
        <w:pStyle w:val="2"/>
        <w:spacing w:before="156" w:after="156"/>
      </w:pPr>
      <w:r w:rsidRPr="00FF26C4">
        <w:rPr>
          <w:rFonts w:hint="eastAsia"/>
        </w:rPr>
        <w:t>申购金额限制</w:t>
      </w:r>
    </w:p>
    <w:p w:rsidR="00FF26C4" w:rsidRDefault="00FF26C4" w:rsidP="0034764F">
      <w:pPr>
        <w:pStyle w:val="ac"/>
        <w:ind w:firstLine="420"/>
      </w:pPr>
      <w:r w:rsidRPr="00C10F53">
        <w:t>投资人通过基金管理人的直销电子交易平台(目前仅对个人投资者开通)和其他销售机构首次申购本基金A类、C类、D类基金份额的单笔最低限额为人民币10元，追加购买本基金A类、C类、D类基金份额的最低金额均为人民币10元。投资人通过基金管理人的直销柜台首次申购本基金A类、C类、D类基金份额的单笔最低限额为人民币5万元，追加购买本基金A类、C类和D类基金份额的最低金额为人民币10元。各销售机构对最低申购限额及交易级差有其他规定的，以各销售机构的业务规定为准。</w:t>
      </w:r>
    </w:p>
    <w:p w:rsidR="00FF26C4" w:rsidRDefault="00FF26C4" w:rsidP="002E705D">
      <w:pPr>
        <w:pStyle w:val="2"/>
        <w:spacing w:before="156" w:after="156"/>
      </w:pPr>
      <w:r w:rsidRPr="00FF26C4">
        <w:rPr>
          <w:rFonts w:hint="eastAsia"/>
        </w:rPr>
        <w:lastRenderedPageBreak/>
        <w:t>申购费率</w:t>
      </w:r>
    </w:p>
    <w:tbl>
      <w:tblPr>
        <w:tblStyle w:val="ae"/>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00"/>
      </w:tblGrid>
      <w:tr w:rsidR="00B013A1" w:rsidTr="00B013A1">
        <w:tc>
          <w:tcPr>
            <w:tcW w:w="8528" w:type="dxa"/>
          </w:tcPr>
          <w:p w:rsidR="00B013A1" w:rsidRDefault="00B013A1" w:rsidP="00B013A1">
            <w:pPr>
              <w:pStyle w:val="ac"/>
              <w:ind w:firstLine="420"/>
            </w:pPr>
            <w:r>
              <w:rPr>
                <w:rFonts w:hint="eastAsia"/>
              </w:rPr>
              <w:t>本基金A类基金份额在申购时收取申购费用，申购费率最高不超过0.60%，且随申购金额的增加而递减；本基金D类基金份额在申购时收取申购费用，申购费率最高不超过0.70%，且随申购金额的增加而递减，具体如下表所示：</w:t>
            </w:r>
          </w:p>
        </w:tc>
      </w:tr>
    </w:tbl>
    <w:p w:rsidR="00FF26C4" w:rsidRPr="004C17FD" w:rsidRDefault="00FF26C4" w:rsidP="004C17FD">
      <w:pPr>
        <w:pStyle w:val="3"/>
        <w:spacing w:before="156" w:after="156"/>
      </w:pPr>
      <w:r w:rsidRPr="004C17FD">
        <w:rPr>
          <w:rFonts w:hint="eastAsia"/>
        </w:rPr>
        <w:t>前端收费</w:t>
      </w:r>
    </w:p>
    <w:tbl>
      <w:tblPr>
        <w:tblpPr w:leftFromText="180" w:rightFromText="180" w:vertAnchor="text" w:tblpXSpec="center"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027"/>
        <w:gridCol w:w="2478"/>
        <w:gridCol w:w="2567"/>
      </w:tblGrid>
      <w:tr w:rsidR="0025252A" w:rsidTr="00C30A00">
        <w:trPr>
          <w:trHeight w:val="296"/>
        </w:trPr>
        <w:tc>
          <w:tcPr>
            <w:tcW w:w="5000" w:type="pct"/>
            <w:gridSpan w:val="3"/>
            <w:tcBorders>
              <w:top w:val="nil"/>
              <w:left w:val="nil"/>
              <w:bottom w:val="single" w:sz="4" w:space="0" w:color="auto"/>
              <w:right w:val="nil"/>
            </w:tcBorders>
            <w:vAlign w:val="center"/>
          </w:tcPr>
          <w:p w:rsidR="0025252A" w:rsidRPr="00BB2B13" w:rsidRDefault="0025252A" w:rsidP="003502F4">
            <w:pPr>
              <w:jc w:val="center"/>
              <w:rPr>
                <w:rFonts w:asciiTheme="minorHAnsi"/>
                <w:szCs w:val="22"/>
              </w:rPr>
            </w:pPr>
            <w:r>
              <w:rPr>
                <w:rFonts w:asciiTheme="minorHAnsi"/>
                <w:szCs w:val="22"/>
              </w:rPr>
              <w:t>鹏扬淳盈</w:t>
            </w:r>
            <w:r>
              <w:rPr>
                <w:rFonts w:asciiTheme="minorHAnsi"/>
                <w:szCs w:val="22"/>
              </w:rPr>
              <w:t>6</w:t>
            </w:r>
            <w:r>
              <w:rPr>
                <w:rFonts w:asciiTheme="minorHAnsi"/>
                <w:szCs w:val="22"/>
              </w:rPr>
              <w:t>个月定开</w:t>
            </w:r>
            <w:r>
              <w:rPr>
                <w:rFonts w:asciiTheme="minorHAnsi"/>
                <w:szCs w:val="22"/>
              </w:rPr>
              <w:t>A</w:t>
            </w:r>
          </w:p>
        </w:tc>
      </w:tr>
      <w:tr w:rsidR="0025252A" w:rsidTr="00C30A00">
        <w:trPr>
          <w:trHeight w:val="296"/>
        </w:trPr>
        <w:tc>
          <w:tcPr>
            <w:tcW w:w="2219" w:type="pct"/>
            <w:tcBorders>
              <w:top w:val="single" w:sz="4" w:space="0" w:color="auto"/>
            </w:tcBorders>
            <w:vAlign w:val="center"/>
          </w:tcPr>
          <w:p w:rsidR="0025252A" w:rsidRPr="00BB2B13" w:rsidRDefault="0025252A" w:rsidP="003502F4">
            <w:pPr>
              <w:jc w:val="center"/>
              <w:rPr>
                <w:rFonts w:asciiTheme="minorHAnsi"/>
                <w:szCs w:val="22"/>
              </w:rPr>
            </w:pPr>
            <w:r w:rsidRPr="00D73075">
              <w:rPr>
                <w:rFonts w:asciiTheme="minorHAnsi" w:hint="eastAsia"/>
                <w:szCs w:val="22"/>
              </w:rPr>
              <w:t>申购金额（</w:t>
            </w:r>
            <w:r w:rsidRPr="00D73075">
              <w:rPr>
                <w:rFonts w:asciiTheme="minorHAnsi" w:hint="eastAsia"/>
                <w:szCs w:val="22"/>
              </w:rPr>
              <w:t>M</w:t>
            </w:r>
            <w:r w:rsidRPr="00D73075">
              <w:rPr>
                <w:rFonts w:asciiTheme="minorHAnsi" w:hint="eastAsia"/>
                <w:szCs w:val="22"/>
              </w:rPr>
              <w:t>）</w:t>
            </w:r>
          </w:p>
        </w:tc>
        <w:tc>
          <w:tcPr>
            <w:tcW w:w="1366" w:type="pct"/>
            <w:tcBorders>
              <w:top w:val="single" w:sz="4" w:space="0" w:color="auto"/>
            </w:tcBorders>
            <w:vAlign w:val="center"/>
          </w:tcPr>
          <w:p w:rsidR="0025252A" w:rsidRPr="00BB2B13" w:rsidRDefault="003A4691" w:rsidP="0018073A">
            <w:pPr>
              <w:jc w:val="center"/>
              <w:rPr>
                <w:rFonts w:asciiTheme="minorHAnsi"/>
                <w:szCs w:val="22"/>
              </w:rPr>
            </w:pPr>
            <w:r>
              <w:t>申购费率</w:t>
            </w:r>
          </w:p>
        </w:tc>
        <w:tc>
          <w:tcPr>
            <w:tcW w:w="1415" w:type="pct"/>
            <w:tcBorders>
              <w:top w:val="single" w:sz="4" w:space="0" w:color="auto"/>
            </w:tcBorders>
            <w:vAlign w:val="center"/>
          </w:tcPr>
          <w:p w:rsidR="0025252A" w:rsidRPr="00BB2B13" w:rsidRDefault="003A4691" w:rsidP="003A4691">
            <w:pPr>
              <w:jc w:val="center"/>
              <w:rPr>
                <w:rFonts w:asciiTheme="minorHAnsi"/>
                <w:szCs w:val="22"/>
              </w:rPr>
            </w:pPr>
            <w:r>
              <w:t>备注</w:t>
            </w:r>
          </w:p>
        </w:tc>
      </w:tr>
      <w:tr w:rsidR="0025252A" w:rsidTr="00C30A00">
        <w:trPr>
          <w:trHeight w:val="177"/>
        </w:trPr>
        <w:tc>
          <w:tcPr>
            <w:tcW w:w="2219" w:type="pct"/>
            <w:tcBorders>
              <w:bottom w:val="single" w:sz="4" w:space="0" w:color="auto"/>
            </w:tcBorders>
            <w:vAlign w:val="center"/>
          </w:tcPr>
          <w:p w:rsidR="0025252A" w:rsidRPr="00BB2B13" w:rsidRDefault="0025252A" w:rsidP="003502F4">
            <w:pPr>
              <w:pStyle w:val="aa"/>
            </w:pPr>
            <w:r>
              <w:t>M&lt;1,000,000</w:t>
            </w:r>
          </w:p>
        </w:tc>
        <w:tc>
          <w:tcPr>
            <w:tcW w:w="1366" w:type="pct"/>
            <w:tcBorders>
              <w:bottom w:val="single" w:sz="4" w:space="0" w:color="auto"/>
            </w:tcBorders>
            <w:vAlign w:val="center"/>
          </w:tcPr>
          <w:p w:rsidR="0025252A" w:rsidRPr="00BB2B13" w:rsidRDefault="0025252A" w:rsidP="008A5705">
            <w:pPr>
              <w:pStyle w:val="aa"/>
            </w:pPr>
            <w:r>
              <w:t>0.60%</w:t>
            </w:r>
          </w:p>
        </w:tc>
        <w:tc>
          <w:tcPr>
            <w:tcW w:w="1415" w:type="pct"/>
            <w:tcBorders>
              <w:bottom w:val="single" w:sz="4" w:space="0" w:color="auto"/>
            </w:tcBorders>
            <w:vAlign w:val="center"/>
          </w:tcPr>
          <w:p w:rsidR="0025252A" w:rsidRPr="00BB2B13" w:rsidRDefault="0025252A" w:rsidP="000E3BCE">
            <w:pPr>
              <w:jc w:val="center"/>
            </w:pPr>
            <w:r>
              <w:t>其他投资者</w:t>
            </w:r>
          </w:p>
        </w:tc>
      </w:tr>
      <w:tr w:rsidR="0025252A" w:rsidTr="00C30A00">
        <w:trPr>
          <w:trHeight w:val="177"/>
        </w:trPr>
        <w:tc>
          <w:tcPr>
            <w:tcW w:w="2219" w:type="pct"/>
            <w:tcBorders>
              <w:bottom w:val="single" w:sz="4" w:space="0" w:color="auto"/>
            </w:tcBorders>
            <w:vAlign w:val="center"/>
          </w:tcPr>
          <w:p w:rsidR="0025252A" w:rsidRPr="00BB2B13" w:rsidRDefault="0025252A" w:rsidP="003502F4">
            <w:pPr>
              <w:pStyle w:val="aa"/>
            </w:pPr>
            <w:r>
              <w:t>1,000,000</w:t>
            </w:r>
            <w:r>
              <w:t>≤</w:t>
            </w:r>
            <w:r>
              <w:t>M&lt;5,000,000</w:t>
            </w:r>
          </w:p>
        </w:tc>
        <w:tc>
          <w:tcPr>
            <w:tcW w:w="1366" w:type="pct"/>
            <w:tcBorders>
              <w:bottom w:val="single" w:sz="4" w:space="0" w:color="auto"/>
            </w:tcBorders>
            <w:vAlign w:val="center"/>
          </w:tcPr>
          <w:p w:rsidR="0025252A" w:rsidRPr="00BB2B13" w:rsidRDefault="0025252A" w:rsidP="008A5705">
            <w:pPr>
              <w:pStyle w:val="aa"/>
            </w:pPr>
            <w:r>
              <w:t>0.30%</w:t>
            </w:r>
          </w:p>
        </w:tc>
        <w:tc>
          <w:tcPr>
            <w:tcW w:w="1415" w:type="pct"/>
            <w:tcBorders>
              <w:bottom w:val="single" w:sz="4" w:space="0" w:color="auto"/>
            </w:tcBorders>
            <w:vAlign w:val="center"/>
          </w:tcPr>
          <w:p w:rsidR="0025252A" w:rsidRPr="00BB2B13" w:rsidRDefault="0025252A" w:rsidP="000E3BCE">
            <w:pPr>
              <w:jc w:val="center"/>
            </w:pPr>
            <w:r>
              <w:t>其他投资者</w:t>
            </w:r>
          </w:p>
        </w:tc>
      </w:tr>
      <w:tr w:rsidR="0025252A" w:rsidTr="00C30A00">
        <w:trPr>
          <w:trHeight w:val="177"/>
        </w:trPr>
        <w:tc>
          <w:tcPr>
            <w:tcW w:w="2219" w:type="pct"/>
            <w:tcBorders>
              <w:bottom w:val="single" w:sz="4" w:space="0" w:color="auto"/>
            </w:tcBorders>
            <w:vAlign w:val="center"/>
          </w:tcPr>
          <w:p w:rsidR="0025252A" w:rsidRPr="00BB2B13" w:rsidRDefault="0025252A" w:rsidP="003502F4">
            <w:pPr>
              <w:pStyle w:val="aa"/>
            </w:pPr>
            <w:r>
              <w:t>M</w:t>
            </w:r>
            <w:r>
              <w:t>≥</w:t>
            </w:r>
            <w:r>
              <w:t>5,000,000</w:t>
            </w:r>
          </w:p>
        </w:tc>
        <w:tc>
          <w:tcPr>
            <w:tcW w:w="1366" w:type="pct"/>
            <w:tcBorders>
              <w:bottom w:val="single" w:sz="4" w:space="0" w:color="auto"/>
            </w:tcBorders>
            <w:vAlign w:val="center"/>
          </w:tcPr>
          <w:p w:rsidR="0025252A" w:rsidRPr="00BB2B13" w:rsidRDefault="0025252A" w:rsidP="008A5705">
            <w:pPr>
              <w:pStyle w:val="aa"/>
            </w:pPr>
            <w:r>
              <w:t>1,000元/笔</w:t>
            </w:r>
          </w:p>
        </w:tc>
        <w:tc>
          <w:tcPr>
            <w:tcW w:w="1415" w:type="pct"/>
            <w:tcBorders>
              <w:bottom w:val="single" w:sz="4" w:space="0" w:color="auto"/>
            </w:tcBorders>
            <w:vAlign w:val="center"/>
          </w:tcPr>
          <w:p w:rsidR="0025252A" w:rsidRPr="00BB2B13" w:rsidRDefault="0025252A" w:rsidP="000E3BCE">
            <w:pPr>
              <w:jc w:val="center"/>
            </w:pPr>
            <w:r>
              <w:t>其他投资者</w:t>
            </w:r>
          </w:p>
        </w:tc>
      </w:tr>
      <w:tr w:rsidR="0025252A" w:rsidTr="00C30A00">
        <w:trPr>
          <w:trHeight w:val="177"/>
        </w:trPr>
        <w:tc>
          <w:tcPr>
            <w:tcW w:w="2219" w:type="pct"/>
            <w:tcBorders>
              <w:bottom w:val="single" w:sz="4" w:space="0" w:color="auto"/>
            </w:tcBorders>
            <w:vAlign w:val="center"/>
          </w:tcPr>
          <w:p w:rsidR="0025252A" w:rsidRPr="00BB2B13" w:rsidRDefault="0025252A" w:rsidP="003502F4">
            <w:pPr>
              <w:pStyle w:val="aa"/>
            </w:pPr>
            <w:r>
              <w:t>M&lt;1,000,000</w:t>
            </w:r>
          </w:p>
        </w:tc>
        <w:tc>
          <w:tcPr>
            <w:tcW w:w="1366" w:type="pct"/>
            <w:tcBorders>
              <w:bottom w:val="single" w:sz="4" w:space="0" w:color="auto"/>
            </w:tcBorders>
            <w:vAlign w:val="center"/>
          </w:tcPr>
          <w:p w:rsidR="0025252A" w:rsidRPr="00BB2B13" w:rsidRDefault="0025252A" w:rsidP="008A5705">
            <w:pPr>
              <w:pStyle w:val="aa"/>
            </w:pPr>
            <w:r>
              <w:t>0.06%</w:t>
            </w:r>
          </w:p>
        </w:tc>
        <w:tc>
          <w:tcPr>
            <w:tcW w:w="1415" w:type="pct"/>
            <w:tcBorders>
              <w:bottom w:val="single" w:sz="4" w:space="0" w:color="auto"/>
            </w:tcBorders>
            <w:vAlign w:val="center"/>
          </w:tcPr>
          <w:p w:rsidR="0025252A" w:rsidRPr="00BB2B13" w:rsidRDefault="0025252A" w:rsidP="000E3BCE">
            <w:pPr>
              <w:jc w:val="center"/>
            </w:pPr>
            <w:r>
              <w:t>特定投资群体</w:t>
            </w:r>
          </w:p>
        </w:tc>
      </w:tr>
      <w:tr w:rsidR="0025252A" w:rsidTr="00C30A00">
        <w:trPr>
          <w:trHeight w:val="177"/>
        </w:trPr>
        <w:tc>
          <w:tcPr>
            <w:tcW w:w="2219" w:type="pct"/>
            <w:tcBorders>
              <w:bottom w:val="single" w:sz="4" w:space="0" w:color="auto"/>
            </w:tcBorders>
            <w:vAlign w:val="center"/>
          </w:tcPr>
          <w:p w:rsidR="0025252A" w:rsidRPr="00BB2B13" w:rsidRDefault="0025252A" w:rsidP="003502F4">
            <w:pPr>
              <w:pStyle w:val="aa"/>
            </w:pPr>
            <w:r>
              <w:t>1,000,000</w:t>
            </w:r>
            <w:r>
              <w:t>≤</w:t>
            </w:r>
            <w:r>
              <w:t>M&lt;5,000,000</w:t>
            </w:r>
          </w:p>
        </w:tc>
        <w:tc>
          <w:tcPr>
            <w:tcW w:w="1366" w:type="pct"/>
            <w:tcBorders>
              <w:bottom w:val="single" w:sz="4" w:space="0" w:color="auto"/>
            </w:tcBorders>
            <w:vAlign w:val="center"/>
          </w:tcPr>
          <w:p w:rsidR="0025252A" w:rsidRPr="00BB2B13" w:rsidRDefault="0025252A" w:rsidP="008A5705">
            <w:pPr>
              <w:pStyle w:val="aa"/>
            </w:pPr>
            <w:r>
              <w:t>0.03%</w:t>
            </w:r>
          </w:p>
        </w:tc>
        <w:tc>
          <w:tcPr>
            <w:tcW w:w="1415" w:type="pct"/>
            <w:tcBorders>
              <w:bottom w:val="single" w:sz="4" w:space="0" w:color="auto"/>
            </w:tcBorders>
            <w:vAlign w:val="center"/>
          </w:tcPr>
          <w:p w:rsidR="0025252A" w:rsidRPr="00BB2B13" w:rsidRDefault="0025252A" w:rsidP="000E3BCE">
            <w:pPr>
              <w:jc w:val="center"/>
            </w:pPr>
            <w:r>
              <w:t>特定投资群体</w:t>
            </w:r>
          </w:p>
        </w:tc>
      </w:tr>
      <w:tr w:rsidR="0025252A" w:rsidTr="00C30A00">
        <w:trPr>
          <w:trHeight w:val="177"/>
        </w:trPr>
        <w:tc>
          <w:tcPr>
            <w:tcW w:w="2219" w:type="pct"/>
            <w:tcBorders>
              <w:bottom w:val="single" w:sz="4" w:space="0" w:color="auto"/>
            </w:tcBorders>
            <w:vAlign w:val="center"/>
          </w:tcPr>
          <w:p w:rsidR="0025252A" w:rsidRPr="00BB2B13" w:rsidRDefault="0025252A" w:rsidP="003502F4">
            <w:pPr>
              <w:pStyle w:val="aa"/>
            </w:pPr>
            <w:r>
              <w:t>M</w:t>
            </w:r>
            <w:r>
              <w:t>≥</w:t>
            </w:r>
            <w:r>
              <w:t>5,000,000</w:t>
            </w:r>
          </w:p>
        </w:tc>
        <w:tc>
          <w:tcPr>
            <w:tcW w:w="1366" w:type="pct"/>
            <w:tcBorders>
              <w:bottom w:val="single" w:sz="4" w:space="0" w:color="auto"/>
            </w:tcBorders>
            <w:vAlign w:val="center"/>
          </w:tcPr>
          <w:p w:rsidR="0025252A" w:rsidRPr="00BB2B13" w:rsidRDefault="0025252A" w:rsidP="008A5705">
            <w:pPr>
              <w:pStyle w:val="aa"/>
            </w:pPr>
            <w:r>
              <w:t>1,000元/笔</w:t>
            </w:r>
          </w:p>
        </w:tc>
        <w:tc>
          <w:tcPr>
            <w:tcW w:w="1415" w:type="pct"/>
            <w:tcBorders>
              <w:bottom w:val="single" w:sz="4" w:space="0" w:color="auto"/>
            </w:tcBorders>
            <w:vAlign w:val="center"/>
          </w:tcPr>
          <w:p w:rsidR="0025252A" w:rsidRPr="00BB2B13" w:rsidRDefault="0025252A" w:rsidP="000E3BCE">
            <w:pPr>
              <w:jc w:val="center"/>
            </w:pPr>
            <w:r>
              <w:t>特定投资群体</w:t>
            </w:r>
          </w:p>
        </w:tc>
      </w:tr>
    </w:tbl>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027"/>
        <w:gridCol w:w="2478"/>
        <w:gridCol w:w="2567"/>
      </w:tblGrid>
      <w:tr w:rsidR="0025252A" w:rsidTr="00C30A00">
        <w:trPr>
          <w:trHeight w:val="296"/>
          <w:jc w:val="center"/>
        </w:trPr>
        <w:tc>
          <w:tcPr>
            <w:tcW w:w="5000" w:type="pct"/>
            <w:gridSpan w:val="3"/>
            <w:tcBorders>
              <w:top w:val="nil"/>
              <w:left w:val="nil"/>
              <w:bottom w:val="single" w:sz="4" w:space="0" w:color="auto"/>
              <w:right w:val="nil"/>
            </w:tcBorders>
            <w:vAlign w:val="center"/>
          </w:tcPr>
          <w:p w:rsidR="0025252A" w:rsidRPr="00BB2B13" w:rsidRDefault="0025252A" w:rsidP="003502F4">
            <w:pPr>
              <w:jc w:val="center"/>
              <w:rPr>
                <w:rFonts w:asciiTheme="minorHAnsi"/>
                <w:szCs w:val="22"/>
              </w:rPr>
            </w:pPr>
            <w:r>
              <w:rPr>
                <w:rFonts w:asciiTheme="minorHAnsi"/>
                <w:szCs w:val="22"/>
              </w:rPr>
              <w:t>鹏扬淳盈</w:t>
            </w:r>
            <w:r>
              <w:rPr>
                <w:rFonts w:asciiTheme="minorHAnsi"/>
                <w:szCs w:val="22"/>
              </w:rPr>
              <w:t>6</w:t>
            </w:r>
            <w:r>
              <w:rPr>
                <w:rFonts w:asciiTheme="minorHAnsi"/>
                <w:szCs w:val="22"/>
              </w:rPr>
              <w:t>个月定开</w:t>
            </w:r>
            <w:r>
              <w:rPr>
                <w:rFonts w:asciiTheme="minorHAnsi"/>
                <w:szCs w:val="22"/>
              </w:rPr>
              <w:t>D</w:t>
            </w:r>
          </w:p>
        </w:tc>
      </w:tr>
      <w:tr w:rsidR="0025252A" w:rsidTr="00C30A00">
        <w:trPr>
          <w:trHeight w:val="296"/>
          <w:jc w:val="center"/>
        </w:trPr>
        <w:tc>
          <w:tcPr>
            <w:tcW w:w="2219" w:type="pct"/>
            <w:tcBorders>
              <w:top w:val="single" w:sz="4" w:space="0" w:color="auto"/>
            </w:tcBorders>
            <w:vAlign w:val="center"/>
          </w:tcPr>
          <w:p w:rsidR="0025252A" w:rsidRPr="00BB2B13" w:rsidRDefault="0025252A" w:rsidP="003502F4">
            <w:pPr>
              <w:jc w:val="center"/>
              <w:rPr>
                <w:rFonts w:asciiTheme="minorHAnsi"/>
                <w:szCs w:val="22"/>
              </w:rPr>
            </w:pPr>
            <w:r w:rsidRPr="00D73075">
              <w:rPr>
                <w:rFonts w:asciiTheme="minorHAnsi" w:hint="eastAsia"/>
                <w:szCs w:val="22"/>
              </w:rPr>
              <w:t>申购金额（</w:t>
            </w:r>
            <w:r w:rsidRPr="00D73075">
              <w:rPr>
                <w:rFonts w:asciiTheme="minorHAnsi" w:hint="eastAsia"/>
                <w:szCs w:val="22"/>
              </w:rPr>
              <w:t>M</w:t>
            </w:r>
            <w:r w:rsidRPr="00D73075">
              <w:rPr>
                <w:rFonts w:asciiTheme="minorHAnsi" w:hint="eastAsia"/>
                <w:szCs w:val="22"/>
              </w:rPr>
              <w:t>）</w:t>
            </w:r>
          </w:p>
        </w:tc>
        <w:tc>
          <w:tcPr>
            <w:tcW w:w="1366" w:type="pct"/>
            <w:tcBorders>
              <w:top w:val="single" w:sz="4" w:space="0" w:color="auto"/>
            </w:tcBorders>
            <w:vAlign w:val="center"/>
          </w:tcPr>
          <w:p w:rsidR="0025252A" w:rsidRPr="00BB2B13" w:rsidRDefault="009D48E4" w:rsidP="003502F4">
            <w:pPr>
              <w:jc w:val="center"/>
              <w:rPr>
                <w:rFonts w:asciiTheme="minorHAnsi"/>
                <w:szCs w:val="22"/>
              </w:rPr>
            </w:pPr>
            <w:r>
              <w:t>申购费率</w:t>
            </w:r>
          </w:p>
        </w:tc>
        <w:tc>
          <w:tcPr>
            <w:tcW w:w="1415" w:type="pct"/>
            <w:tcBorders>
              <w:top w:val="single" w:sz="4" w:space="0" w:color="auto"/>
            </w:tcBorders>
            <w:vAlign w:val="center"/>
          </w:tcPr>
          <w:p w:rsidR="0025252A" w:rsidRPr="00BB2B13" w:rsidRDefault="009D48E4" w:rsidP="003502F4">
            <w:pPr>
              <w:jc w:val="center"/>
              <w:rPr>
                <w:rFonts w:asciiTheme="minorHAnsi"/>
                <w:szCs w:val="22"/>
              </w:rPr>
            </w:pPr>
            <w:r>
              <w:t>备注</w:t>
            </w:r>
          </w:p>
        </w:tc>
      </w:tr>
      <w:tr w:rsidR="0025252A" w:rsidTr="00C30A00">
        <w:trPr>
          <w:trHeight w:val="177"/>
          <w:jc w:val="center"/>
        </w:trPr>
        <w:tc>
          <w:tcPr>
            <w:tcW w:w="2219" w:type="pct"/>
            <w:tcBorders>
              <w:bottom w:val="single" w:sz="4" w:space="0" w:color="auto"/>
            </w:tcBorders>
            <w:vAlign w:val="center"/>
          </w:tcPr>
          <w:p w:rsidR="0025252A" w:rsidRPr="00BB2B13" w:rsidRDefault="0025252A" w:rsidP="0025252A">
            <w:pPr>
              <w:pStyle w:val="aa"/>
            </w:pPr>
            <w:r>
              <w:t>M&lt;1,000,000</w:t>
            </w:r>
          </w:p>
        </w:tc>
        <w:tc>
          <w:tcPr>
            <w:tcW w:w="1366" w:type="pct"/>
            <w:tcBorders>
              <w:bottom w:val="single" w:sz="4" w:space="0" w:color="auto"/>
            </w:tcBorders>
            <w:vAlign w:val="center"/>
          </w:tcPr>
          <w:p w:rsidR="0025252A" w:rsidRPr="00BB2B13" w:rsidRDefault="0025252A" w:rsidP="008A5705">
            <w:pPr>
              <w:pStyle w:val="aa"/>
            </w:pPr>
            <w:r>
              <w:t>0.70%</w:t>
            </w:r>
          </w:p>
        </w:tc>
        <w:tc>
          <w:tcPr>
            <w:tcW w:w="1415" w:type="pct"/>
            <w:tcBorders>
              <w:bottom w:val="single" w:sz="4" w:space="0" w:color="auto"/>
            </w:tcBorders>
            <w:vAlign w:val="center"/>
          </w:tcPr>
          <w:p w:rsidR="0025252A" w:rsidRPr="00BB2B13" w:rsidRDefault="0025252A" w:rsidP="000E3BCE">
            <w:pPr>
              <w:jc w:val="center"/>
            </w:pPr>
            <w:r>
              <w:t>其他投资者</w:t>
            </w:r>
          </w:p>
        </w:tc>
      </w:tr>
      <w:tr w:rsidR="0025252A" w:rsidTr="00C30A00">
        <w:trPr>
          <w:trHeight w:val="177"/>
          <w:jc w:val="center"/>
        </w:trPr>
        <w:tc>
          <w:tcPr>
            <w:tcW w:w="2219" w:type="pct"/>
            <w:tcBorders>
              <w:bottom w:val="single" w:sz="4" w:space="0" w:color="auto"/>
            </w:tcBorders>
            <w:vAlign w:val="center"/>
          </w:tcPr>
          <w:p w:rsidR="0025252A" w:rsidRPr="00BB2B13" w:rsidRDefault="0025252A" w:rsidP="0025252A">
            <w:pPr>
              <w:pStyle w:val="aa"/>
            </w:pPr>
            <w:r>
              <w:t>1,000,000</w:t>
            </w:r>
            <w:r>
              <w:t>≤</w:t>
            </w:r>
            <w:r>
              <w:t>M&lt;10,000,000</w:t>
            </w:r>
          </w:p>
        </w:tc>
        <w:tc>
          <w:tcPr>
            <w:tcW w:w="1366" w:type="pct"/>
            <w:tcBorders>
              <w:bottom w:val="single" w:sz="4" w:space="0" w:color="auto"/>
            </w:tcBorders>
            <w:vAlign w:val="center"/>
          </w:tcPr>
          <w:p w:rsidR="0025252A" w:rsidRPr="00BB2B13" w:rsidRDefault="0025252A" w:rsidP="008A5705">
            <w:pPr>
              <w:pStyle w:val="aa"/>
            </w:pPr>
            <w:r>
              <w:t>0.40%</w:t>
            </w:r>
          </w:p>
        </w:tc>
        <w:tc>
          <w:tcPr>
            <w:tcW w:w="1415" w:type="pct"/>
            <w:tcBorders>
              <w:bottom w:val="single" w:sz="4" w:space="0" w:color="auto"/>
            </w:tcBorders>
            <w:vAlign w:val="center"/>
          </w:tcPr>
          <w:p w:rsidR="0025252A" w:rsidRPr="00BB2B13" w:rsidRDefault="0025252A" w:rsidP="000E3BCE">
            <w:pPr>
              <w:jc w:val="center"/>
            </w:pPr>
            <w:r>
              <w:t>其他投资者</w:t>
            </w:r>
          </w:p>
        </w:tc>
      </w:tr>
      <w:tr w:rsidR="0025252A" w:rsidTr="00C30A00">
        <w:trPr>
          <w:trHeight w:val="177"/>
          <w:jc w:val="center"/>
        </w:trPr>
        <w:tc>
          <w:tcPr>
            <w:tcW w:w="2219" w:type="pct"/>
            <w:tcBorders>
              <w:bottom w:val="single" w:sz="4" w:space="0" w:color="auto"/>
            </w:tcBorders>
            <w:vAlign w:val="center"/>
          </w:tcPr>
          <w:p w:rsidR="0025252A" w:rsidRPr="00BB2B13" w:rsidRDefault="0025252A" w:rsidP="0025252A">
            <w:pPr>
              <w:pStyle w:val="aa"/>
            </w:pPr>
            <w:r>
              <w:t>M</w:t>
            </w:r>
            <w:r>
              <w:t>≥</w:t>
            </w:r>
            <w:r>
              <w:t>10,000,000</w:t>
            </w:r>
          </w:p>
        </w:tc>
        <w:tc>
          <w:tcPr>
            <w:tcW w:w="1366" w:type="pct"/>
            <w:tcBorders>
              <w:bottom w:val="single" w:sz="4" w:space="0" w:color="auto"/>
            </w:tcBorders>
            <w:vAlign w:val="center"/>
          </w:tcPr>
          <w:p w:rsidR="0025252A" w:rsidRPr="00BB2B13" w:rsidRDefault="0025252A" w:rsidP="008A5705">
            <w:pPr>
              <w:pStyle w:val="aa"/>
            </w:pPr>
            <w:r>
              <w:t>1,000元/笔</w:t>
            </w:r>
          </w:p>
        </w:tc>
        <w:tc>
          <w:tcPr>
            <w:tcW w:w="1415" w:type="pct"/>
            <w:tcBorders>
              <w:bottom w:val="single" w:sz="4" w:space="0" w:color="auto"/>
            </w:tcBorders>
            <w:vAlign w:val="center"/>
          </w:tcPr>
          <w:p w:rsidR="0025252A" w:rsidRPr="00BB2B13" w:rsidRDefault="0025252A" w:rsidP="000E3BCE">
            <w:pPr>
              <w:jc w:val="center"/>
            </w:pPr>
            <w:r>
              <w:t>其他投资者</w:t>
            </w:r>
          </w:p>
        </w:tc>
      </w:tr>
      <w:tr w:rsidR="0025252A" w:rsidTr="00C30A00">
        <w:trPr>
          <w:trHeight w:val="177"/>
          <w:jc w:val="center"/>
        </w:trPr>
        <w:tc>
          <w:tcPr>
            <w:tcW w:w="2219" w:type="pct"/>
            <w:tcBorders>
              <w:bottom w:val="single" w:sz="4" w:space="0" w:color="auto"/>
            </w:tcBorders>
            <w:vAlign w:val="center"/>
          </w:tcPr>
          <w:p w:rsidR="0025252A" w:rsidRPr="00BB2B13" w:rsidRDefault="0025252A" w:rsidP="0025252A">
            <w:pPr>
              <w:pStyle w:val="aa"/>
            </w:pPr>
            <w:r>
              <w:t>M&lt;1,000,000</w:t>
            </w:r>
          </w:p>
        </w:tc>
        <w:tc>
          <w:tcPr>
            <w:tcW w:w="1366" w:type="pct"/>
            <w:tcBorders>
              <w:bottom w:val="single" w:sz="4" w:space="0" w:color="auto"/>
            </w:tcBorders>
            <w:vAlign w:val="center"/>
          </w:tcPr>
          <w:p w:rsidR="0025252A" w:rsidRPr="00BB2B13" w:rsidRDefault="0025252A" w:rsidP="008A5705">
            <w:pPr>
              <w:pStyle w:val="aa"/>
            </w:pPr>
            <w:r>
              <w:t>0.07%</w:t>
            </w:r>
          </w:p>
        </w:tc>
        <w:tc>
          <w:tcPr>
            <w:tcW w:w="1415" w:type="pct"/>
            <w:tcBorders>
              <w:bottom w:val="single" w:sz="4" w:space="0" w:color="auto"/>
            </w:tcBorders>
            <w:vAlign w:val="center"/>
          </w:tcPr>
          <w:p w:rsidR="0025252A" w:rsidRPr="00BB2B13" w:rsidRDefault="0025252A" w:rsidP="000E3BCE">
            <w:pPr>
              <w:jc w:val="center"/>
            </w:pPr>
            <w:r>
              <w:t>特定投资群体</w:t>
            </w:r>
          </w:p>
        </w:tc>
      </w:tr>
      <w:tr w:rsidR="0025252A" w:rsidTr="00C30A00">
        <w:trPr>
          <w:trHeight w:val="177"/>
          <w:jc w:val="center"/>
        </w:trPr>
        <w:tc>
          <w:tcPr>
            <w:tcW w:w="2219" w:type="pct"/>
            <w:tcBorders>
              <w:bottom w:val="single" w:sz="4" w:space="0" w:color="auto"/>
            </w:tcBorders>
            <w:vAlign w:val="center"/>
          </w:tcPr>
          <w:p w:rsidR="0025252A" w:rsidRPr="00BB2B13" w:rsidRDefault="0025252A" w:rsidP="0025252A">
            <w:pPr>
              <w:pStyle w:val="aa"/>
            </w:pPr>
            <w:r>
              <w:t>1,000,000</w:t>
            </w:r>
            <w:r>
              <w:t>≤</w:t>
            </w:r>
            <w:r>
              <w:t>M&lt;10,000,000</w:t>
            </w:r>
          </w:p>
        </w:tc>
        <w:tc>
          <w:tcPr>
            <w:tcW w:w="1366" w:type="pct"/>
            <w:tcBorders>
              <w:bottom w:val="single" w:sz="4" w:space="0" w:color="auto"/>
            </w:tcBorders>
            <w:vAlign w:val="center"/>
          </w:tcPr>
          <w:p w:rsidR="0025252A" w:rsidRPr="00BB2B13" w:rsidRDefault="0025252A" w:rsidP="008A5705">
            <w:pPr>
              <w:pStyle w:val="aa"/>
            </w:pPr>
            <w:r>
              <w:t>0.04%</w:t>
            </w:r>
          </w:p>
        </w:tc>
        <w:tc>
          <w:tcPr>
            <w:tcW w:w="1415" w:type="pct"/>
            <w:tcBorders>
              <w:bottom w:val="single" w:sz="4" w:space="0" w:color="auto"/>
            </w:tcBorders>
            <w:vAlign w:val="center"/>
          </w:tcPr>
          <w:p w:rsidR="0025252A" w:rsidRPr="00BB2B13" w:rsidRDefault="0025252A" w:rsidP="000E3BCE">
            <w:pPr>
              <w:jc w:val="center"/>
            </w:pPr>
            <w:r>
              <w:t>特定投资群体</w:t>
            </w:r>
          </w:p>
        </w:tc>
      </w:tr>
      <w:tr w:rsidR="0025252A" w:rsidTr="00C30A00">
        <w:trPr>
          <w:trHeight w:val="177"/>
          <w:jc w:val="center"/>
        </w:trPr>
        <w:tc>
          <w:tcPr>
            <w:tcW w:w="2219" w:type="pct"/>
            <w:tcBorders>
              <w:bottom w:val="single" w:sz="4" w:space="0" w:color="auto"/>
            </w:tcBorders>
            <w:vAlign w:val="center"/>
          </w:tcPr>
          <w:p w:rsidR="0025252A" w:rsidRPr="00BB2B13" w:rsidRDefault="0025252A" w:rsidP="0025252A">
            <w:pPr>
              <w:pStyle w:val="aa"/>
            </w:pPr>
            <w:r>
              <w:t>M</w:t>
            </w:r>
            <w:r>
              <w:t>≥</w:t>
            </w:r>
            <w:r>
              <w:t>10,000,000</w:t>
            </w:r>
          </w:p>
        </w:tc>
        <w:tc>
          <w:tcPr>
            <w:tcW w:w="1366" w:type="pct"/>
            <w:tcBorders>
              <w:bottom w:val="single" w:sz="4" w:space="0" w:color="auto"/>
            </w:tcBorders>
            <w:vAlign w:val="center"/>
          </w:tcPr>
          <w:p w:rsidR="0025252A" w:rsidRPr="00BB2B13" w:rsidRDefault="0025252A" w:rsidP="008A5705">
            <w:pPr>
              <w:pStyle w:val="aa"/>
            </w:pPr>
            <w:r>
              <w:t>1,000元/笔</w:t>
            </w:r>
          </w:p>
        </w:tc>
        <w:tc>
          <w:tcPr>
            <w:tcW w:w="1415" w:type="pct"/>
            <w:tcBorders>
              <w:bottom w:val="single" w:sz="4" w:space="0" w:color="auto"/>
            </w:tcBorders>
            <w:vAlign w:val="center"/>
          </w:tcPr>
          <w:p w:rsidR="0025252A" w:rsidRPr="00BB2B13" w:rsidRDefault="0025252A" w:rsidP="000E3BCE">
            <w:pPr>
              <w:jc w:val="center"/>
            </w:pPr>
            <w:r>
              <w:t>特定投资群体</w:t>
            </w:r>
          </w:p>
        </w:tc>
      </w:tr>
    </w:tbl>
    <w:p w:rsidR="0025252A" w:rsidRPr="008F21D4" w:rsidRDefault="0025252A" w:rsidP="008F21D4">
      <w:pPr>
        <w:spacing w:line="360" w:lineRule="auto"/>
        <w:rPr>
          <w:szCs w:val="22"/>
        </w:rPr>
      </w:pPr>
      <w:r w:rsidRPr="00C10F53">
        <w:rPr>
          <w:szCs w:val="22"/>
        </w:rPr>
        <w:t>注：(1)对于A类、D类基金份额，本基金通过对直销柜台申购的特定投资群体与除此之外的其他投资者实施差别的申购费率。</w:t>
      </w:r>
      <w:r w:rsidRPr="00C10F53">
        <w:rPr>
          <w:szCs w:val="22"/>
        </w:rPr>
        <w:br/>
        <w:t>特定投资群体是指全国社会保障基金、依法设立的基本养老保险基金、依法制定的企业年金计划筹集的资金及其投资运营收益形成的企业补充养老保险基金(包括企业年金单一计划以及集合计划)，以及可以投资基金的其他社会保险基金。如将来出现可以投资基金的住房公积金、享受税收优惠的个人养老账户、经养老基金监管部门认可的新的养老基金类型，基金管理人可将其纳入特定投资群体范围。</w:t>
      </w:r>
      <w:r w:rsidRPr="00C10F53">
        <w:rPr>
          <w:szCs w:val="22"/>
        </w:rPr>
        <w:br/>
        <w:t>(2)本基金C类基金份额不收取申购费用。</w:t>
      </w:r>
      <w:r w:rsidRPr="00C10F53">
        <w:rPr>
          <w:szCs w:val="22"/>
        </w:rPr>
        <w:br/>
        <w:t>(3)A类、D类基金份额的申购费用不列入基金财产，主要用于本基金的市场推广、销售、登记等各项费用，投资人一天内有多笔申购A类、D类基金份额的，须按每次申购所应对的费率档次分别计费。</w:t>
      </w:r>
    </w:p>
    <w:p w:rsidR="00857742" w:rsidRDefault="00857742" w:rsidP="004C17FD">
      <w:pPr>
        <w:pStyle w:val="3"/>
        <w:spacing w:before="156" w:after="156"/>
      </w:pPr>
      <w:r w:rsidRPr="004C17FD">
        <w:rPr>
          <w:rFonts w:hint="eastAsia"/>
        </w:rPr>
        <w:t>后端收费</w:t>
      </w:r>
    </w:p>
    <w:p w:rsidR="0025252A" w:rsidRPr="008E5FAB" w:rsidRDefault="0025252A" w:rsidP="008E5FAB">
      <w:pPr>
        <w:ind w:firstLineChars="200" w:firstLine="420"/>
        <w:rPr>
          <w:szCs w:val="22"/>
        </w:rPr>
      </w:pPr>
      <w:r w:rsidRPr="00C10F53">
        <w:rPr>
          <w:szCs w:val="22"/>
        </w:rPr>
        <w:t>无。</w:t>
      </w:r>
    </w:p>
    <w:p w:rsidR="00857742" w:rsidRDefault="00857742" w:rsidP="002E705D">
      <w:pPr>
        <w:pStyle w:val="2"/>
        <w:spacing w:before="156" w:after="156"/>
      </w:pPr>
      <w:r w:rsidRPr="00857742">
        <w:rPr>
          <w:rFonts w:hint="eastAsia"/>
        </w:rPr>
        <w:t>其他与申购相关的事项</w:t>
      </w:r>
    </w:p>
    <w:p w:rsidR="00857742" w:rsidRDefault="00857742" w:rsidP="0034764F">
      <w:pPr>
        <w:pStyle w:val="ac"/>
        <w:ind w:firstLine="420"/>
        <w:rPr>
          <w:sz w:val="24"/>
        </w:rPr>
      </w:pPr>
      <w:r w:rsidRPr="00C10F53">
        <w:t>基金管理人可以在法律法规和基金合同规定范围内调整费率或收费方式。费率或收费方式如发生变更，基金管理人最迟应在新的费率或收费方式实施日前依照《信息披露办法》的有关规定在指定媒介上公告。</w:t>
      </w:r>
      <w:r w:rsidRPr="00C10F53">
        <w:br/>
        <w:t xml:space="preserve">    当本基金发生大额申购情形时，基金管理人可以采用摆动定价机制，以确保基金估值的公平性。具体处理原则与操作规范遵循相关法律法规以及监管部门、自律规则的规定。</w:t>
      </w:r>
      <w:r w:rsidRPr="00C10F53">
        <w:br/>
        <w:t xml:space="preserve">    在对基金份额持有人利益无实质不利影响的前提下，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的申购费率，并进行公告。</w:t>
      </w:r>
      <w:r w:rsidRPr="00C10F53">
        <w:br/>
        <w:t xml:space="preserve">    基金管理人可在法律法规允许的情况下，调整上述规定申购金额的数量限制。基金管理人必须在调整实施前依照《信息披露办法》的有关规定在指定媒介上公告。</w:t>
      </w:r>
    </w:p>
    <w:p w:rsidR="00857742" w:rsidRDefault="00857742" w:rsidP="002E705D">
      <w:pPr>
        <w:pStyle w:val="1"/>
        <w:spacing w:before="156" w:after="156"/>
      </w:pPr>
      <w:r w:rsidRPr="00857742">
        <w:rPr>
          <w:rFonts w:hint="eastAsia"/>
        </w:rPr>
        <w:t>日常赎回业务</w:t>
      </w:r>
    </w:p>
    <w:p w:rsidR="00857742" w:rsidRDefault="00857742" w:rsidP="002E705D">
      <w:pPr>
        <w:pStyle w:val="2"/>
        <w:spacing w:before="156" w:after="156"/>
      </w:pPr>
      <w:r w:rsidRPr="00857742">
        <w:rPr>
          <w:rFonts w:hint="eastAsia"/>
        </w:rPr>
        <w:t>赎回份额限制</w:t>
      </w:r>
    </w:p>
    <w:p w:rsidR="00857742" w:rsidRDefault="00857742" w:rsidP="0034764F">
      <w:pPr>
        <w:pStyle w:val="ac"/>
        <w:ind w:firstLine="420"/>
      </w:pPr>
      <w:r w:rsidRPr="00C10F53">
        <w:t>投资人赎回本基金各类基金份额时，可申请将其持有的部分或全部基金份额赎回，每类基金份额单笔赎回不得少于1份；本基金A类、C类、D类基金份额账户最低余额为1份，若某笔赎回将导致投资人在销售机构托管的A类、C类、D类基金份额余额不足1份时，该笔赎回业务应包括账户内全部该类基金份额，否则基金管理人有权将剩余部分的该类基金份额强制赎回。</w:t>
      </w:r>
      <w:r w:rsidRPr="00C10F53">
        <w:br/>
        <w:t xml:space="preserve">    各销售机构对赎回份额限制有其他规定的，以各销售机构的业务规定为准。</w:t>
      </w:r>
    </w:p>
    <w:p w:rsidR="00857742" w:rsidRPr="00D23B56" w:rsidRDefault="00857742" w:rsidP="002E705D">
      <w:pPr>
        <w:pStyle w:val="2"/>
        <w:spacing w:before="156" w:after="156"/>
      </w:pPr>
      <w:r w:rsidRPr="00857742">
        <w:rPr>
          <w:rFonts w:hint="eastAsia"/>
        </w:rPr>
        <w:t>赎回费率</w:t>
      </w:r>
    </w:p>
    <w:tbl>
      <w:tblPr>
        <w:tblpPr w:leftFromText="180" w:rightFromText="180" w:vertAnchor="text" w:tblpXSpec="center"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536"/>
        <w:gridCol w:w="4536"/>
      </w:tblGrid>
      <w:tr w:rsidR="007351B4" w:rsidTr="00C30A00">
        <w:trPr>
          <w:trHeight w:val="296"/>
        </w:trPr>
        <w:tc>
          <w:tcPr>
            <w:tcW w:w="5000" w:type="pct"/>
            <w:gridSpan w:val="2"/>
            <w:tcBorders>
              <w:top w:val="nil"/>
              <w:left w:val="nil"/>
              <w:bottom w:val="single" w:sz="4" w:space="0" w:color="auto"/>
              <w:right w:val="nil"/>
            </w:tcBorders>
            <w:vAlign w:val="center"/>
          </w:tcPr>
          <w:p w:rsidR="007351B4" w:rsidRPr="00BB2B13" w:rsidRDefault="007351B4" w:rsidP="003502F4">
            <w:pPr>
              <w:jc w:val="center"/>
              <w:rPr>
                <w:rFonts w:asciiTheme="minorHAnsi"/>
                <w:szCs w:val="22"/>
              </w:rPr>
            </w:pPr>
            <w:r>
              <w:rPr>
                <w:rFonts w:asciiTheme="minorHAnsi" w:hint="eastAsia"/>
                <w:szCs w:val="22"/>
              </w:rPr>
              <w:t>鹏扬淳盈</w:t>
            </w:r>
            <w:r>
              <w:rPr>
                <w:rFonts w:asciiTheme="minorHAnsi" w:hint="eastAsia"/>
                <w:szCs w:val="22"/>
              </w:rPr>
              <w:t>6</w:t>
            </w:r>
            <w:r>
              <w:rPr>
                <w:rFonts w:asciiTheme="minorHAnsi" w:hint="eastAsia"/>
                <w:szCs w:val="22"/>
              </w:rPr>
              <w:t>个月定开</w:t>
            </w:r>
            <w:r>
              <w:rPr>
                <w:rFonts w:asciiTheme="minorHAnsi" w:hint="eastAsia"/>
                <w:szCs w:val="22"/>
              </w:rPr>
              <w:t>A</w:t>
            </w:r>
          </w:p>
        </w:tc>
      </w:tr>
      <w:tr w:rsidR="007351B4" w:rsidTr="00C30A00">
        <w:trPr>
          <w:trHeight w:val="296"/>
        </w:trPr>
        <w:tc>
          <w:tcPr>
            <w:tcW w:w="2500" w:type="pct"/>
            <w:tcBorders>
              <w:top w:val="single" w:sz="4" w:space="0" w:color="auto"/>
            </w:tcBorders>
            <w:vAlign w:val="center"/>
          </w:tcPr>
          <w:p w:rsidR="007351B4" w:rsidRPr="00BB2B13" w:rsidRDefault="007351B4" w:rsidP="003502F4">
            <w:pPr>
              <w:jc w:val="center"/>
              <w:rPr>
                <w:rFonts w:asciiTheme="minorHAnsi"/>
                <w:szCs w:val="22"/>
              </w:rPr>
            </w:pPr>
            <w:r>
              <w:rPr>
                <w:rFonts w:asciiTheme="minorHAnsi"/>
                <w:szCs w:val="22"/>
              </w:rPr>
              <w:t>持有期限</w:t>
            </w:r>
            <w:r w:rsidR="00FD5445" w:rsidRPr="00AC5670">
              <w:rPr>
                <w:rFonts w:asciiTheme="minorHAnsi" w:hint="eastAsia"/>
                <w:szCs w:val="22"/>
              </w:rPr>
              <w:t>（</w:t>
            </w:r>
            <w:r w:rsidR="00FD5445" w:rsidRPr="00AC5670">
              <w:rPr>
                <w:rFonts w:asciiTheme="minorHAnsi" w:hint="eastAsia"/>
                <w:szCs w:val="22"/>
              </w:rPr>
              <w:t>N</w:t>
            </w:r>
            <w:r w:rsidR="00FD5445" w:rsidRPr="00AC5670">
              <w:rPr>
                <w:rFonts w:asciiTheme="minorHAnsi" w:hint="eastAsia"/>
                <w:szCs w:val="22"/>
              </w:rPr>
              <w:t>）</w:t>
            </w:r>
          </w:p>
        </w:tc>
        <w:tc>
          <w:tcPr>
            <w:tcW w:w="2500" w:type="pct"/>
            <w:tcBorders>
              <w:top w:val="single" w:sz="4" w:space="0" w:color="auto"/>
            </w:tcBorders>
            <w:vAlign w:val="center"/>
          </w:tcPr>
          <w:p w:rsidR="007351B4" w:rsidRPr="00BB2B13" w:rsidRDefault="007351B4" w:rsidP="003502F4">
            <w:pPr>
              <w:jc w:val="center"/>
              <w:rPr>
                <w:rFonts w:asciiTheme="minorHAnsi"/>
                <w:szCs w:val="22"/>
              </w:rPr>
            </w:pPr>
            <w:r>
              <w:rPr>
                <w:rFonts w:asciiTheme="minorHAnsi" w:hint="eastAsia"/>
                <w:szCs w:val="22"/>
              </w:rPr>
              <w:t>赎回</w:t>
            </w:r>
            <w:r>
              <w:rPr>
                <w:rFonts w:asciiTheme="minorHAnsi"/>
                <w:szCs w:val="22"/>
              </w:rPr>
              <w:t>费率</w:t>
            </w:r>
          </w:p>
        </w:tc>
      </w:tr>
      <w:tr w:rsidR="007351B4" w:rsidTr="00C30A00">
        <w:trPr>
          <w:trHeight w:val="237"/>
        </w:trPr>
        <w:tc>
          <w:tcPr>
            <w:tcW w:w="2500" w:type="pct"/>
            <w:tcBorders>
              <w:bottom w:val="single" w:sz="4" w:space="0" w:color="auto"/>
            </w:tcBorders>
            <w:vAlign w:val="center"/>
          </w:tcPr>
          <w:p w:rsidR="007351B4" w:rsidRPr="00BB2B13" w:rsidRDefault="007351B4" w:rsidP="003502F4">
            <w:pPr>
              <w:pStyle w:val="aa"/>
              <w:rPr>
                <w:rFonts w:asciiTheme="minorHAnsi" w:hAnsiTheme="minorHAnsi" w:cstheme="minorBidi"/>
                <w:szCs w:val="22"/>
              </w:rPr>
            </w:pPr>
            <w:r>
              <w:t>N&lt;7天</w:t>
            </w:r>
          </w:p>
        </w:tc>
        <w:tc>
          <w:tcPr>
            <w:tcW w:w="2500" w:type="pct"/>
            <w:tcBorders>
              <w:bottom w:val="single" w:sz="4" w:space="0" w:color="auto"/>
            </w:tcBorders>
            <w:vAlign w:val="center"/>
          </w:tcPr>
          <w:p w:rsidR="007351B4" w:rsidRPr="00BB2B13" w:rsidRDefault="007351B4" w:rsidP="008A5705">
            <w:pPr>
              <w:pStyle w:val="aa"/>
              <w:rPr>
                <w:rFonts w:asciiTheme="minorHAnsi" w:hAnsiTheme="minorHAnsi" w:cstheme="minorBidi"/>
                <w:szCs w:val="22"/>
              </w:rPr>
            </w:pPr>
            <w:r>
              <w:t>1.50%</w:t>
            </w:r>
          </w:p>
        </w:tc>
      </w:tr>
      <w:tr w:rsidR="007351B4" w:rsidTr="00C30A00">
        <w:trPr>
          <w:trHeight w:val="237"/>
        </w:trPr>
        <w:tc>
          <w:tcPr>
            <w:tcW w:w="2500" w:type="pct"/>
            <w:tcBorders>
              <w:bottom w:val="single" w:sz="4" w:space="0" w:color="auto"/>
            </w:tcBorders>
            <w:vAlign w:val="center"/>
          </w:tcPr>
          <w:p w:rsidR="007351B4" w:rsidRPr="00BB2B13" w:rsidRDefault="007351B4" w:rsidP="003502F4">
            <w:pPr>
              <w:pStyle w:val="aa"/>
              <w:rPr>
                <w:rFonts w:asciiTheme="minorHAnsi" w:hAnsiTheme="minorHAnsi" w:cstheme="minorBidi"/>
                <w:szCs w:val="22"/>
              </w:rPr>
            </w:pPr>
            <w:r>
              <w:t>7天</w:t>
            </w:r>
            <w:r>
              <w:t>≤</w:t>
            </w:r>
            <w:r>
              <w:t>N&lt;30天</w:t>
            </w:r>
          </w:p>
        </w:tc>
        <w:tc>
          <w:tcPr>
            <w:tcW w:w="2500" w:type="pct"/>
            <w:tcBorders>
              <w:bottom w:val="single" w:sz="4" w:space="0" w:color="auto"/>
            </w:tcBorders>
            <w:vAlign w:val="center"/>
          </w:tcPr>
          <w:p w:rsidR="007351B4" w:rsidRPr="00BB2B13" w:rsidRDefault="007351B4" w:rsidP="008A5705">
            <w:pPr>
              <w:pStyle w:val="aa"/>
              <w:rPr>
                <w:rFonts w:asciiTheme="minorHAnsi" w:hAnsiTheme="minorHAnsi" w:cstheme="minorBidi"/>
                <w:szCs w:val="22"/>
              </w:rPr>
            </w:pPr>
            <w:r>
              <w:t>0.20%</w:t>
            </w:r>
          </w:p>
        </w:tc>
      </w:tr>
      <w:tr w:rsidR="007351B4" w:rsidTr="00C30A00">
        <w:trPr>
          <w:trHeight w:val="237"/>
        </w:trPr>
        <w:tc>
          <w:tcPr>
            <w:tcW w:w="2500" w:type="pct"/>
            <w:tcBorders>
              <w:bottom w:val="single" w:sz="4" w:space="0" w:color="auto"/>
            </w:tcBorders>
            <w:vAlign w:val="center"/>
          </w:tcPr>
          <w:p w:rsidR="007351B4" w:rsidRPr="00BB2B13" w:rsidRDefault="007351B4" w:rsidP="003502F4">
            <w:pPr>
              <w:pStyle w:val="aa"/>
              <w:rPr>
                <w:rFonts w:asciiTheme="minorHAnsi" w:hAnsiTheme="minorHAnsi" w:cstheme="minorBidi"/>
                <w:szCs w:val="22"/>
              </w:rPr>
            </w:pPr>
            <w:r>
              <w:t>N</w:t>
            </w:r>
            <w:r>
              <w:t>≥</w:t>
            </w:r>
            <w:r>
              <w:t>30天</w:t>
            </w:r>
          </w:p>
        </w:tc>
        <w:tc>
          <w:tcPr>
            <w:tcW w:w="2500" w:type="pct"/>
            <w:tcBorders>
              <w:bottom w:val="single" w:sz="4" w:space="0" w:color="auto"/>
            </w:tcBorders>
            <w:vAlign w:val="center"/>
          </w:tcPr>
          <w:p w:rsidR="007351B4" w:rsidRPr="00BB2B13" w:rsidRDefault="007351B4" w:rsidP="008A5705">
            <w:pPr>
              <w:pStyle w:val="aa"/>
              <w:rPr>
                <w:rFonts w:asciiTheme="minorHAnsi" w:hAnsiTheme="minorHAnsi" w:cstheme="minorBidi"/>
                <w:szCs w:val="22"/>
              </w:rPr>
            </w:pPr>
            <w:r>
              <w:t>0.00%</w:t>
            </w:r>
          </w:p>
        </w:tc>
      </w:tr>
      <w:tr w:rsidR="007351B4" w:rsidTr="00C30A00">
        <w:trPr>
          <w:trHeight w:val="296"/>
        </w:trPr>
        <w:tc>
          <w:tcPr>
            <w:tcW w:w="5000" w:type="pct"/>
            <w:gridSpan w:val="2"/>
            <w:tcBorders>
              <w:top w:val="nil"/>
              <w:left w:val="nil"/>
              <w:bottom w:val="single" w:sz="4" w:space="0" w:color="auto"/>
              <w:right w:val="nil"/>
            </w:tcBorders>
            <w:vAlign w:val="center"/>
          </w:tcPr>
          <w:p w:rsidR="007351B4" w:rsidRPr="00BB2B13" w:rsidRDefault="007351B4" w:rsidP="003502F4">
            <w:pPr>
              <w:jc w:val="center"/>
              <w:rPr>
                <w:rFonts w:asciiTheme="minorHAnsi"/>
                <w:szCs w:val="22"/>
              </w:rPr>
            </w:pPr>
            <w:r>
              <w:rPr>
                <w:rFonts w:asciiTheme="minorHAnsi" w:hint="eastAsia"/>
                <w:szCs w:val="22"/>
              </w:rPr>
              <w:t>鹏扬淳盈</w:t>
            </w:r>
            <w:r>
              <w:rPr>
                <w:rFonts w:asciiTheme="minorHAnsi" w:hint="eastAsia"/>
                <w:szCs w:val="22"/>
              </w:rPr>
              <w:t>6</w:t>
            </w:r>
            <w:r>
              <w:rPr>
                <w:rFonts w:asciiTheme="minorHAnsi" w:hint="eastAsia"/>
                <w:szCs w:val="22"/>
              </w:rPr>
              <w:t>个月定开</w:t>
            </w:r>
            <w:r>
              <w:rPr>
                <w:rFonts w:asciiTheme="minorHAnsi" w:hint="eastAsia"/>
                <w:szCs w:val="22"/>
              </w:rPr>
              <w:t>C</w:t>
            </w:r>
          </w:p>
        </w:tc>
      </w:tr>
      <w:tr w:rsidR="007351B4" w:rsidTr="00C30A00">
        <w:trPr>
          <w:trHeight w:val="296"/>
        </w:trPr>
        <w:tc>
          <w:tcPr>
            <w:tcW w:w="2500" w:type="pct"/>
            <w:tcBorders>
              <w:top w:val="single" w:sz="4" w:space="0" w:color="auto"/>
            </w:tcBorders>
            <w:vAlign w:val="center"/>
          </w:tcPr>
          <w:p w:rsidR="007351B4" w:rsidRPr="00BB2B13" w:rsidRDefault="007351B4" w:rsidP="003502F4">
            <w:pPr>
              <w:jc w:val="center"/>
              <w:rPr>
                <w:rFonts w:asciiTheme="minorHAnsi"/>
                <w:szCs w:val="22"/>
              </w:rPr>
            </w:pPr>
            <w:r>
              <w:rPr>
                <w:rFonts w:asciiTheme="minorHAnsi"/>
                <w:szCs w:val="22"/>
              </w:rPr>
              <w:t>持有期限</w:t>
            </w:r>
            <w:r w:rsidR="00FD5445" w:rsidRPr="00AC5670">
              <w:rPr>
                <w:rFonts w:asciiTheme="minorHAnsi" w:hint="eastAsia"/>
                <w:szCs w:val="22"/>
              </w:rPr>
              <w:t>（</w:t>
            </w:r>
            <w:r w:rsidR="00FD5445" w:rsidRPr="00AC5670">
              <w:rPr>
                <w:rFonts w:asciiTheme="minorHAnsi" w:hint="eastAsia"/>
                <w:szCs w:val="22"/>
              </w:rPr>
              <w:t>N</w:t>
            </w:r>
            <w:r w:rsidR="00FD5445" w:rsidRPr="00AC5670">
              <w:rPr>
                <w:rFonts w:asciiTheme="minorHAnsi" w:hint="eastAsia"/>
                <w:szCs w:val="22"/>
              </w:rPr>
              <w:t>）</w:t>
            </w:r>
          </w:p>
        </w:tc>
        <w:tc>
          <w:tcPr>
            <w:tcW w:w="2500" w:type="pct"/>
            <w:tcBorders>
              <w:top w:val="single" w:sz="4" w:space="0" w:color="auto"/>
            </w:tcBorders>
            <w:vAlign w:val="center"/>
          </w:tcPr>
          <w:p w:rsidR="007351B4" w:rsidRPr="00BB2B13" w:rsidRDefault="007351B4" w:rsidP="003502F4">
            <w:pPr>
              <w:jc w:val="center"/>
              <w:rPr>
                <w:rFonts w:asciiTheme="minorHAnsi"/>
                <w:szCs w:val="22"/>
              </w:rPr>
            </w:pPr>
            <w:r>
              <w:rPr>
                <w:rFonts w:asciiTheme="minorHAnsi" w:hint="eastAsia"/>
                <w:szCs w:val="22"/>
              </w:rPr>
              <w:t>赎回</w:t>
            </w:r>
            <w:r>
              <w:rPr>
                <w:rFonts w:asciiTheme="minorHAnsi"/>
                <w:szCs w:val="22"/>
              </w:rPr>
              <w:t>费率</w:t>
            </w:r>
          </w:p>
        </w:tc>
      </w:tr>
      <w:tr w:rsidR="007351B4" w:rsidTr="00C30A00">
        <w:trPr>
          <w:trHeight w:val="237"/>
        </w:trPr>
        <w:tc>
          <w:tcPr>
            <w:tcW w:w="2500" w:type="pct"/>
            <w:tcBorders>
              <w:bottom w:val="single" w:sz="4" w:space="0" w:color="auto"/>
            </w:tcBorders>
            <w:vAlign w:val="center"/>
          </w:tcPr>
          <w:p w:rsidR="007351B4" w:rsidRPr="00BB2B13" w:rsidRDefault="007351B4" w:rsidP="003502F4">
            <w:pPr>
              <w:pStyle w:val="aa"/>
              <w:rPr>
                <w:rFonts w:asciiTheme="minorHAnsi" w:hAnsiTheme="minorHAnsi" w:cstheme="minorBidi"/>
                <w:szCs w:val="22"/>
              </w:rPr>
            </w:pPr>
            <w:r>
              <w:t>N&lt;7天</w:t>
            </w:r>
          </w:p>
        </w:tc>
        <w:tc>
          <w:tcPr>
            <w:tcW w:w="2500" w:type="pct"/>
            <w:tcBorders>
              <w:bottom w:val="single" w:sz="4" w:space="0" w:color="auto"/>
            </w:tcBorders>
            <w:vAlign w:val="center"/>
          </w:tcPr>
          <w:p w:rsidR="007351B4" w:rsidRPr="00BB2B13" w:rsidRDefault="007351B4" w:rsidP="008A5705">
            <w:pPr>
              <w:pStyle w:val="aa"/>
              <w:rPr>
                <w:rFonts w:asciiTheme="minorHAnsi" w:hAnsiTheme="minorHAnsi" w:cstheme="minorBidi"/>
                <w:szCs w:val="22"/>
              </w:rPr>
            </w:pPr>
            <w:r>
              <w:t>1.50%</w:t>
            </w:r>
          </w:p>
        </w:tc>
      </w:tr>
      <w:tr w:rsidR="007351B4" w:rsidTr="00C30A00">
        <w:trPr>
          <w:trHeight w:val="237"/>
        </w:trPr>
        <w:tc>
          <w:tcPr>
            <w:tcW w:w="2500" w:type="pct"/>
            <w:tcBorders>
              <w:bottom w:val="single" w:sz="4" w:space="0" w:color="auto"/>
            </w:tcBorders>
            <w:vAlign w:val="center"/>
          </w:tcPr>
          <w:p w:rsidR="007351B4" w:rsidRPr="00BB2B13" w:rsidRDefault="007351B4" w:rsidP="003502F4">
            <w:pPr>
              <w:pStyle w:val="aa"/>
              <w:rPr>
                <w:rFonts w:asciiTheme="minorHAnsi" w:hAnsiTheme="minorHAnsi" w:cstheme="minorBidi"/>
                <w:szCs w:val="22"/>
              </w:rPr>
            </w:pPr>
            <w:r>
              <w:t>7天</w:t>
            </w:r>
            <w:r>
              <w:t>≤</w:t>
            </w:r>
            <w:r>
              <w:t>N&lt;30天</w:t>
            </w:r>
          </w:p>
        </w:tc>
        <w:tc>
          <w:tcPr>
            <w:tcW w:w="2500" w:type="pct"/>
            <w:tcBorders>
              <w:bottom w:val="single" w:sz="4" w:space="0" w:color="auto"/>
            </w:tcBorders>
            <w:vAlign w:val="center"/>
          </w:tcPr>
          <w:p w:rsidR="007351B4" w:rsidRPr="00BB2B13" w:rsidRDefault="007351B4" w:rsidP="008A5705">
            <w:pPr>
              <w:pStyle w:val="aa"/>
              <w:rPr>
                <w:rFonts w:asciiTheme="minorHAnsi" w:hAnsiTheme="minorHAnsi" w:cstheme="minorBidi"/>
                <w:szCs w:val="22"/>
              </w:rPr>
            </w:pPr>
            <w:r>
              <w:t>0.20%</w:t>
            </w:r>
          </w:p>
        </w:tc>
      </w:tr>
      <w:tr w:rsidR="007351B4" w:rsidTr="00C30A00">
        <w:trPr>
          <w:trHeight w:val="237"/>
        </w:trPr>
        <w:tc>
          <w:tcPr>
            <w:tcW w:w="2500" w:type="pct"/>
            <w:tcBorders>
              <w:bottom w:val="single" w:sz="4" w:space="0" w:color="auto"/>
            </w:tcBorders>
            <w:vAlign w:val="center"/>
          </w:tcPr>
          <w:p w:rsidR="007351B4" w:rsidRPr="00BB2B13" w:rsidRDefault="007351B4" w:rsidP="003502F4">
            <w:pPr>
              <w:pStyle w:val="aa"/>
              <w:rPr>
                <w:rFonts w:asciiTheme="minorHAnsi" w:hAnsiTheme="minorHAnsi" w:cstheme="minorBidi"/>
                <w:szCs w:val="22"/>
              </w:rPr>
            </w:pPr>
            <w:r>
              <w:t>N</w:t>
            </w:r>
            <w:r>
              <w:t>≥</w:t>
            </w:r>
            <w:r>
              <w:t>30天</w:t>
            </w:r>
          </w:p>
        </w:tc>
        <w:tc>
          <w:tcPr>
            <w:tcW w:w="2500" w:type="pct"/>
            <w:tcBorders>
              <w:bottom w:val="single" w:sz="4" w:space="0" w:color="auto"/>
            </w:tcBorders>
            <w:vAlign w:val="center"/>
          </w:tcPr>
          <w:p w:rsidR="007351B4" w:rsidRPr="00BB2B13" w:rsidRDefault="007351B4" w:rsidP="008A5705">
            <w:pPr>
              <w:pStyle w:val="aa"/>
              <w:rPr>
                <w:rFonts w:asciiTheme="minorHAnsi" w:hAnsiTheme="minorHAnsi" w:cstheme="minorBidi"/>
                <w:szCs w:val="22"/>
              </w:rPr>
            </w:pPr>
            <w:r>
              <w:t>0.00%</w:t>
            </w:r>
          </w:p>
        </w:tc>
      </w:tr>
    </w:tbl>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536"/>
        <w:gridCol w:w="4536"/>
      </w:tblGrid>
      <w:tr w:rsidR="007351B4" w:rsidTr="00C30A00">
        <w:trPr>
          <w:trHeight w:val="296"/>
          <w:jc w:val="center"/>
        </w:trPr>
        <w:tc>
          <w:tcPr>
            <w:tcW w:w="5000" w:type="pct"/>
            <w:gridSpan w:val="2"/>
            <w:tcBorders>
              <w:top w:val="nil"/>
              <w:left w:val="nil"/>
              <w:bottom w:val="single" w:sz="4" w:space="0" w:color="auto"/>
              <w:right w:val="nil"/>
            </w:tcBorders>
            <w:vAlign w:val="center"/>
          </w:tcPr>
          <w:p w:rsidR="007351B4" w:rsidRPr="00BB2B13" w:rsidRDefault="007351B4" w:rsidP="003502F4">
            <w:pPr>
              <w:jc w:val="center"/>
              <w:rPr>
                <w:rFonts w:asciiTheme="minorHAnsi"/>
                <w:szCs w:val="22"/>
              </w:rPr>
            </w:pPr>
            <w:r>
              <w:rPr>
                <w:rFonts w:asciiTheme="minorHAnsi" w:hint="eastAsia"/>
                <w:szCs w:val="22"/>
              </w:rPr>
              <w:t>鹏扬淳盈</w:t>
            </w:r>
            <w:r>
              <w:rPr>
                <w:rFonts w:asciiTheme="minorHAnsi" w:hint="eastAsia"/>
                <w:szCs w:val="22"/>
              </w:rPr>
              <w:t>6</w:t>
            </w:r>
            <w:r>
              <w:rPr>
                <w:rFonts w:asciiTheme="minorHAnsi" w:hint="eastAsia"/>
                <w:szCs w:val="22"/>
              </w:rPr>
              <w:t>个月定开</w:t>
            </w:r>
            <w:r>
              <w:rPr>
                <w:rFonts w:asciiTheme="minorHAnsi" w:hint="eastAsia"/>
                <w:szCs w:val="22"/>
              </w:rPr>
              <w:t>D</w:t>
            </w:r>
          </w:p>
        </w:tc>
      </w:tr>
      <w:tr w:rsidR="007351B4" w:rsidTr="00C30A00">
        <w:trPr>
          <w:trHeight w:val="296"/>
          <w:jc w:val="center"/>
        </w:trPr>
        <w:tc>
          <w:tcPr>
            <w:tcW w:w="2500" w:type="pct"/>
            <w:tcBorders>
              <w:top w:val="single" w:sz="4" w:space="0" w:color="auto"/>
            </w:tcBorders>
            <w:vAlign w:val="center"/>
          </w:tcPr>
          <w:p w:rsidR="007351B4" w:rsidRPr="00BB2B13" w:rsidRDefault="007351B4" w:rsidP="003502F4">
            <w:pPr>
              <w:jc w:val="center"/>
              <w:rPr>
                <w:rFonts w:asciiTheme="minorHAnsi"/>
                <w:szCs w:val="22"/>
              </w:rPr>
            </w:pPr>
            <w:r>
              <w:rPr>
                <w:rFonts w:asciiTheme="minorHAnsi"/>
                <w:szCs w:val="22"/>
              </w:rPr>
              <w:t>持有期限</w:t>
            </w:r>
            <w:r w:rsidR="00FD5445" w:rsidRPr="00AC5670">
              <w:rPr>
                <w:rFonts w:asciiTheme="minorHAnsi" w:hint="eastAsia"/>
                <w:szCs w:val="22"/>
              </w:rPr>
              <w:t>（</w:t>
            </w:r>
            <w:r w:rsidR="00FD5445" w:rsidRPr="00AC5670">
              <w:rPr>
                <w:rFonts w:asciiTheme="minorHAnsi" w:hint="eastAsia"/>
                <w:szCs w:val="22"/>
              </w:rPr>
              <w:t>N</w:t>
            </w:r>
            <w:r w:rsidR="00FD5445" w:rsidRPr="00AC5670">
              <w:rPr>
                <w:rFonts w:asciiTheme="minorHAnsi" w:hint="eastAsia"/>
                <w:szCs w:val="22"/>
              </w:rPr>
              <w:t>）</w:t>
            </w:r>
          </w:p>
        </w:tc>
        <w:tc>
          <w:tcPr>
            <w:tcW w:w="2500" w:type="pct"/>
            <w:tcBorders>
              <w:top w:val="single" w:sz="4" w:space="0" w:color="auto"/>
            </w:tcBorders>
            <w:vAlign w:val="center"/>
          </w:tcPr>
          <w:p w:rsidR="007351B4" w:rsidRPr="00BB2B13" w:rsidRDefault="007351B4" w:rsidP="003502F4">
            <w:pPr>
              <w:jc w:val="center"/>
              <w:rPr>
                <w:rFonts w:asciiTheme="minorHAnsi"/>
                <w:szCs w:val="22"/>
              </w:rPr>
            </w:pPr>
            <w:r>
              <w:rPr>
                <w:rFonts w:asciiTheme="minorHAnsi" w:hint="eastAsia"/>
                <w:szCs w:val="22"/>
              </w:rPr>
              <w:t>赎回</w:t>
            </w:r>
            <w:r>
              <w:rPr>
                <w:rFonts w:asciiTheme="minorHAnsi"/>
                <w:szCs w:val="22"/>
              </w:rPr>
              <w:t>费率</w:t>
            </w:r>
          </w:p>
        </w:tc>
      </w:tr>
      <w:tr w:rsidR="007351B4" w:rsidTr="00C30A00">
        <w:trPr>
          <w:trHeight w:val="237"/>
          <w:jc w:val="center"/>
        </w:trPr>
        <w:tc>
          <w:tcPr>
            <w:tcW w:w="2500" w:type="pct"/>
            <w:tcBorders>
              <w:bottom w:val="single" w:sz="4" w:space="0" w:color="auto"/>
            </w:tcBorders>
            <w:vAlign w:val="center"/>
          </w:tcPr>
          <w:p w:rsidR="007351B4" w:rsidRPr="00BB2B13" w:rsidRDefault="007351B4" w:rsidP="003502F4">
            <w:pPr>
              <w:pStyle w:val="aa"/>
              <w:rPr>
                <w:rFonts w:asciiTheme="minorHAnsi" w:hAnsiTheme="minorHAnsi" w:cstheme="minorBidi"/>
                <w:szCs w:val="22"/>
              </w:rPr>
            </w:pPr>
            <w:r>
              <w:t>N&lt;7天</w:t>
            </w:r>
          </w:p>
        </w:tc>
        <w:tc>
          <w:tcPr>
            <w:tcW w:w="2500" w:type="pct"/>
            <w:tcBorders>
              <w:bottom w:val="single" w:sz="4" w:space="0" w:color="auto"/>
            </w:tcBorders>
            <w:vAlign w:val="center"/>
          </w:tcPr>
          <w:p w:rsidR="007351B4" w:rsidRPr="00BB2B13" w:rsidRDefault="007351B4" w:rsidP="008A5705">
            <w:pPr>
              <w:pStyle w:val="aa"/>
              <w:rPr>
                <w:rFonts w:asciiTheme="minorHAnsi" w:hAnsiTheme="minorHAnsi" w:cstheme="minorBidi"/>
                <w:szCs w:val="22"/>
              </w:rPr>
            </w:pPr>
            <w:r>
              <w:t>1.50%</w:t>
            </w:r>
          </w:p>
        </w:tc>
      </w:tr>
      <w:tr w:rsidR="007351B4" w:rsidTr="00C30A00">
        <w:trPr>
          <w:trHeight w:val="237"/>
          <w:jc w:val="center"/>
        </w:trPr>
        <w:tc>
          <w:tcPr>
            <w:tcW w:w="2500" w:type="pct"/>
            <w:tcBorders>
              <w:bottom w:val="single" w:sz="4" w:space="0" w:color="auto"/>
            </w:tcBorders>
            <w:vAlign w:val="center"/>
          </w:tcPr>
          <w:p w:rsidR="007351B4" w:rsidRPr="00BB2B13" w:rsidRDefault="007351B4" w:rsidP="003502F4">
            <w:pPr>
              <w:pStyle w:val="aa"/>
              <w:rPr>
                <w:rFonts w:asciiTheme="minorHAnsi" w:hAnsiTheme="minorHAnsi" w:cstheme="minorBidi"/>
                <w:szCs w:val="22"/>
              </w:rPr>
            </w:pPr>
            <w:r>
              <w:t>N</w:t>
            </w:r>
            <w:r>
              <w:t>≥</w:t>
            </w:r>
            <w:r>
              <w:t>7天</w:t>
            </w:r>
          </w:p>
        </w:tc>
        <w:tc>
          <w:tcPr>
            <w:tcW w:w="2500" w:type="pct"/>
            <w:tcBorders>
              <w:bottom w:val="single" w:sz="4" w:space="0" w:color="auto"/>
            </w:tcBorders>
            <w:vAlign w:val="center"/>
          </w:tcPr>
          <w:p w:rsidR="007351B4" w:rsidRPr="00BB2B13" w:rsidRDefault="007351B4" w:rsidP="008A5705">
            <w:pPr>
              <w:pStyle w:val="aa"/>
              <w:rPr>
                <w:rFonts w:asciiTheme="minorHAnsi" w:hAnsiTheme="minorHAnsi" w:cstheme="minorBidi"/>
                <w:szCs w:val="22"/>
              </w:rPr>
            </w:pPr>
            <w:r>
              <w:t>0.00%</w:t>
            </w:r>
          </w:p>
        </w:tc>
      </w:tr>
    </w:tbl>
    <w:p w:rsidR="007351B4" w:rsidRPr="008F21D4" w:rsidRDefault="007351B4" w:rsidP="008F21D4">
      <w:pPr>
        <w:spacing w:line="360" w:lineRule="auto"/>
        <w:rPr>
          <w:szCs w:val="22"/>
        </w:rPr>
      </w:pPr>
      <w:r w:rsidRPr="00C10F53">
        <w:rPr>
          <w:szCs w:val="22"/>
        </w:rPr>
        <w:t>注：本基金的赎回费用由基金份额持有人承担，在基金份额持有人赎回基金份额时收取。对于A类、C类基金份额持有人，对持续持有期少于7日的投资人收取的赎回费全额计入基金财产；对持续持有期不少于7日但少于30日的投资人收取的赎回费的25%计入基金财产，未计入基金财产的部分用于支付登记费和其他必要的手续费。对于D类基金份额持有人，对持续持有期少于7日的投资人收取的赎回费全额计入基金财产。</w:t>
      </w:r>
    </w:p>
    <w:p w:rsidR="00857742" w:rsidRDefault="007474A0" w:rsidP="002E705D">
      <w:pPr>
        <w:pStyle w:val="2"/>
        <w:spacing w:before="156" w:after="156"/>
      </w:pPr>
      <w:r w:rsidRPr="007474A0">
        <w:rPr>
          <w:rFonts w:hint="eastAsia"/>
        </w:rPr>
        <w:t>其他与赎回相关的事项</w:t>
      </w:r>
    </w:p>
    <w:p w:rsidR="007474A0" w:rsidRDefault="007474A0" w:rsidP="0034764F">
      <w:pPr>
        <w:pStyle w:val="ac"/>
        <w:ind w:firstLine="420"/>
      </w:pPr>
      <w:r w:rsidRPr="00C10F53">
        <w:t>基金管理人可以在法律法规和基金合同规定范围内调整费率或收费方式。费率或收费方式如发生变更，基金管理人最迟应在新的费率或收费方式实施日前依照《信息披露办法》的有关规定在指定媒介上公告。</w:t>
      </w:r>
      <w:r w:rsidRPr="00C10F53">
        <w:br/>
        <w:t xml:space="preserve">    当本基金发生大额赎回情形时，基金管理人可以采用摆动定价机制，以确保基金估值的公平性。具体处理原则与操作规范遵循相关法律法规以及监管部门、自律规则的规定。</w:t>
      </w:r>
      <w:r w:rsidRPr="00C10F53">
        <w:br/>
        <w:t xml:space="preserve">    基金管理人可在法律法规允许的情况下，调整上述规定赎回份额的数量限制。基金管理人必须在调整实施前依照《信息披露办法》的有关规定在指定媒介上公告。</w:t>
      </w:r>
    </w:p>
    <w:p w:rsidR="007474A0" w:rsidRDefault="007474A0" w:rsidP="002E705D">
      <w:pPr>
        <w:pStyle w:val="1"/>
        <w:spacing w:before="156" w:after="156"/>
      </w:pPr>
      <w:r w:rsidRPr="007474A0">
        <w:rPr>
          <w:rFonts w:hint="eastAsia"/>
        </w:rPr>
        <w:t>日常转换业务</w:t>
      </w:r>
    </w:p>
    <w:p w:rsidR="007474A0" w:rsidRDefault="007474A0" w:rsidP="002E705D">
      <w:pPr>
        <w:pStyle w:val="2"/>
        <w:spacing w:before="156" w:after="156"/>
      </w:pPr>
      <w:r w:rsidRPr="007474A0">
        <w:rPr>
          <w:rFonts w:hint="eastAsia"/>
        </w:rPr>
        <w:t>转换费率</w:t>
      </w:r>
    </w:p>
    <w:p w:rsidR="007474A0" w:rsidRDefault="007474A0" w:rsidP="0034764F">
      <w:pPr>
        <w:pStyle w:val="ac"/>
        <w:ind w:firstLine="420"/>
        <w:rPr>
          <w:b/>
          <w:sz w:val="24"/>
        </w:rPr>
      </w:pPr>
      <w:r w:rsidRPr="00C10F53">
        <w:t>5.1.1 基金间的转换业务需要收取一定的转换费。</w:t>
      </w:r>
      <w:r w:rsidRPr="00C10F53">
        <w:br/>
        <w:t xml:space="preserve">    5.1.2基金转换费用由补差费和转出费两部分构成，具体收取情况视每次转换时两只基金的申购费率差异情况和转出基金的赎回费率而定。</w:t>
      </w:r>
      <w:r w:rsidRPr="00C10F53">
        <w:br/>
        <w:t xml:space="preserve">    基金转换费用的具体计算公式如下：</w:t>
      </w:r>
      <w:r w:rsidRPr="00C10F53">
        <w:br/>
        <w:t xml:space="preserve">    (1)转换费用 = 转出费+补差费</w:t>
      </w:r>
      <w:r w:rsidRPr="00C10F53">
        <w:br/>
        <w:t xml:space="preserve">    (2)转出费 = 转出金额</w:t>
      </w:r>
      <w:r w:rsidRPr="00C10F53">
        <w:t>×</w:t>
      </w:r>
      <w:r w:rsidRPr="00C10F53">
        <w:t>转出基金赎回费率</w:t>
      </w:r>
      <w:r w:rsidRPr="00C10F53">
        <w:br/>
        <w:t xml:space="preserve">    (3)转出金额 = 转出基金份额 </w:t>
      </w:r>
      <w:r w:rsidRPr="00C10F53">
        <w:t>×</w:t>
      </w:r>
      <w:r w:rsidRPr="00C10F53">
        <w:t xml:space="preserve"> 转出基金当日基金份额净值</w:t>
      </w:r>
      <w:r w:rsidRPr="00C10F53">
        <w:br/>
        <w:t xml:space="preserve">    (4)转出净金额 = 转出基金份额 </w:t>
      </w:r>
      <w:r w:rsidRPr="00C10F53">
        <w:t>×</w:t>
      </w:r>
      <w:r w:rsidRPr="00C10F53">
        <w:t xml:space="preserve"> 转出基金当日基金份额净值</w:t>
      </w:r>
      <w:r w:rsidRPr="00C10F53">
        <w:t>×</w:t>
      </w:r>
      <w:r w:rsidRPr="00C10F53">
        <w:t>(1－转出基金赎回费率)</w:t>
      </w:r>
      <w:r w:rsidRPr="00C10F53">
        <w:br/>
        <w:t xml:space="preserve">    (5)补差费 = Max｛(转出净金额</w:t>
      </w:r>
      <w:r w:rsidRPr="00C10F53">
        <w:t>×</w:t>
      </w:r>
      <w:r w:rsidRPr="00C10F53">
        <w:t>转入基金的申购费率/(1+转入基金的申购费率)－转出净金额</w:t>
      </w:r>
      <w:r w:rsidRPr="00C10F53">
        <w:t>×</w:t>
      </w:r>
      <w:r w:rsidRPr="00C10F53">
        <w:t>转出基金的申购费率/(1+转出基金的申购费率))，0｝</w:t>
      </w:r>
      <w:r w:rsidRPr="00C10F53">
        <w:br/>
        <w:t xml:space="preserve">    (6)转入净金额 = 转出金额 - 转换费用</w:t>
      </w:r>
      <w:r w:rsidRPr="00C10F53">
        <w:br/>
        <w:t xml:space="preserve">    (7)转入份额 = 转入净金额/转入基金当日基金份额净值</w:t>
      </w:r>
    </w:p>
    <w:p w:rsidR="007474A0" w:rsidRDefault="007474A0" w:rsidP="002E705D">
      <w:pPr>
        <w:pStyle w:val="2"/>
        <w:spacing w:before="156" w:after="156"/>
      </w:pPr>
      <w:r w:rsidRPr="007474A0">
        <w:rPr>
          <w:rFonts w:hint="eastAsia"/>
        </w:rPr>
        <w:t>其他与转换相关的事项</w:t>
      </w:r>
    </w:p>
    <w:p w:rsidR="007474A0" w:rsidRDefault="007474A0" w:rsidP="0034764F">
      <w:pPr>
        <w:pStyle w:val="ac"/>
        <w:ind w:firstLine="420"/>
        <w:rPr>
          <w:b/>
          <w:sz w:val="24"/>
        </w:rPr>
      </w:pPr>
      <w:r w:rsidRPr="00C10F53">
        <w:t>5.2.1 转换的两只基金必须都是由同一销售机构销售的、同一基金管理人管理的、在同一基金注册登记机构处注册登记的基金。</w:t>
      </w:r>
      <w:r w:rsidRPr="00C10F53">
        <w:br/>
        <w:t xml:space="preserve">    5.2.2 基金转换采用</w:t>
      </w:r>
      <w:r w:rsidRPr="00C10F53">
        <w:t>“</w:t>
      </w:r>
      <w:r w:rsidRPr="00C10F53">
        <w:t>份额转换</w:t>
      </w:r>
      <w:r w:rsidRPr="00C10F53">
        <w:t>”</w:t>
      </w:r>
      <w:r w:rsidRPr="00C10F53">
        <w:t>的原则、以份额为单位进行申请，在转换申请当日规定的交易时间内，投资人可撤销基金转换申请。</w:t>
      </w:r>
      <w:r w:rsidRPr="00C10F53">
        <w:br/>
        <w:t xml:space="preserve">    投资者办理基金转换业务时，转出方的基金必须处于可赎回或可转出的状态，转入方的基金必须处于可申购或可转入的状态。</w:t>
      </w:r>
      <w:r w:rsidRPr="00C10F53">
        <w:br/>
        <w:t xml:space="preserve">    5.2.3 转换业务遵循</w:t>
      </w:r>
      <w:r w:rsidRPr="00C10F53">
        <w:t>“</w:t>
      </w:r>
      <w:r w:rsidRPr="00C10F53">
        <w:t>先进先出</w:t>
      </w:r>
      <w:r w:rsidRPr="00C10F53">
        <w:t>”</w:t>
      </w:r>
      <w:r w:rsidRPr="00C10F53">
        <w:t>的业务规则，即首先转换持有时间最长的基金份额。</w:t>
      </w:r>
      <w:r w:rsidRPr="00C10F53">
        <w:br/>
        <w:t xml:space="preserve">    基金转换后的基金份额持有时间自转入确认日开始重新计算。</w:t>
      </w:r>
      <w:r w:rsidRPr="00C10F53">
        <w:br/>
        <w:t xml:space="preserve">    5.2.4 单笔转换最低申请基金份额适用各基金基金合同或招募说明书中关于最低赎回份额的规定。</w:t>
      </w:r>
      <w:r w:rsidRPr="00C10F53">
        <w:br/>
        <w:t xml:space="preserve">    若某笔转换导致投资者在销售机构托管的单只基金余额低于该基金基金合同或招募说明书规定的最低持有份额时，基金管理人有权将投资者在该销售机构托管的该基金剩余份额强制赎回。</w:t>
      </w:r>
      <w:r w:rsidRPr="00C10F53">
        <w:br/>
        <w:t xml:space="preserve">    5.2.5 转换费用的计算采用单笔计算法。即投资者在T 日多次转换的，按照分笔计算各笔的转换费用。</w:t>
      </w:r>
      <w:r w:rsidRPr="00C10F53">
        <w:br/>
        <w:t xml:space="preserve">    5.2.6 基金转换业务的定价原则视转入和转出时的基金类型不同而定，并以申请受理当日(T日)各转出、转入基金的基金份额净值为基础进行计算，若投资者转换申请在规定交易时间后，则该申请受理日顺延至下一工作日。</w:t>
      </w:r>
      <w:r w:rsidRPr="00C10F53">
        <w:br/>
        <w:t xml:space="preserve">    5.2.7 正常情况下，基金注册登记机构将在T+1日对投资者T日的基金转换业务申请进行有效性确认，办理转出基金的权益扣除以及转入基金的权益登记。投资者可向销售机构查询基金转换的成交情况。</w:t>
      </w:r>
      <w:r w:rsidRPr="00C10F53">
        <w:br/>
        <w:t xml:space="preserve">    投资者可在基金转换后T+2日起提交转入基金份额的赎回申请。</w:t>
      </w:r>
      <w:r w:rsidRPr="00C10F53">
        <w:br/>
        <w:t xml:space="preserve">    5.2.8 对于基金分红，权益登记日申请转换转入的基金份额不享有该次分红权益，权益登记日申请转换转出的基金份额享有该次分红权益。</w:t>
      </w:r>
      <w:r w:rsidRPr="00C10F53">
        <w:br/>
        <w:t xml:space="preserve">    5.2.9如单个开放日发生巨额赎回时,基金转出与基金赎回具有相同的优先级,基金管理人可根据基金资产组合情况,决定全额转出或部分转出。若决定部分确认，将对基金转出和赎回采取相同的比例确认。在转出申请得到部分确认的情况下，未确认的转出申请将不予以顺延。但中国证监会规定的特殊基金品种除外。</w:t>
      </w:r>
      <w:r w:rsidRPr="00C10F53">
        <w:br/>
        <w:t xml:space="preserve">    5.2.10各代销机构对基金转换业务另有规定的从其规定。</w:t>
      </w:r>
    </w:p>
    <w:p w:rsidR="007474A0" w:rsidRDefault="007474A0" w:rsidP="002E705D">
      <w:pPr>
        <w:pStyle w:val="1"/>
        <w:spacing w:before="156" w:after="156"/>
      </w:pPr>
      <w:r w:rsidRPr="007474A0">
        <w:rPr>
          <w:rFonts w:hint="eastAsia"/>
        </w:rPr>
        <w:t>定期定额投资业务</w:t>
      </w:r>
    </w:p>
    <w:p w:rsidR="007474A0" w:rsidRDefault="007474A0" w:rsidP="0034764F">
      <w:pPr>
        <w:pStyle w:val="ac"/>
        <w:ind w:firstLine="420"/>
      </w:pPr>
      <w:r w:rsidRPr="00C10F53">
        <w:t>本基金暂不开通定期定额投资计划，基金管理人开通定期定额投资计划前将另行公告通知。</w:t>
      </w:r>
    </w:p>
    <w:p w:rsidR="004C17FD" w:rsidRDefault="004C17FD" w:rsidP="002E705D">
      <w:pPr>
        <w:pStyle w:val="1"/>
        <w:spacing w:before="156" w:after="156"/>
      </w:pPr>
      <w:r w:rsidRPr="004C17FD">
        <w:rPr>
          <w:rFonts w:hint="eastAsia"/>
        </w:rPr>
        <w:t>基金销售机构</w:t>
      </w:r>
    </w:p>
    <w:p w:rsidR="004C17FD" w:rsidRDefault="004C17FD" w:rsidP="002E705D">
      <w:pPr>
        <w:pStyle w:val="2"/>
        <w:spacing w:before="156" w:after="156"/>
      </w:pPr>
      <w:r w:rsidRPr="004C17FD">
        <w:rPr>
          <w:rFonts w:hint="eastAsia"/>
        </w:rPr>
        <w:t>场外销售机构</w:t>
      </w:r>
    </w:p>
    <w:p w:rsidR="004C17FD" w:rsidRPr="004C17FD" w:rsidRDefault="004C17FD" w:rsidP="004C17FD">
      <w:pPr>
        <w:pStyle w:val="3"/>
        <w:spacing w:before="156" w:after="156"/>
      </w:pPr>
      <w:r w:rsidRPr="004C17FD">
        <w:rPr>
          <w:rFonts w:hint="eastAsia"/>
        </w:rPr>
        <w:t>直销机构</w:t>
      </w:r>
    </w:p>
    <w:p w:rsidR="004C17FD" w:rsidRDefault="004C17FD" w:rsidP="0034764F">
      <w:pPr>
        <w:pStyle w:val="ac"/>
        <w:ind w:firstLine="420"/>
        <w:rPr>
          <w:b/>
          <w:sz w:val="24"/>
        </w:rPr>
      </w:pPr>
      <w:r w:rsidRPr="00C10F53">
        <w:t>（1）鹏扬基金管理有限公司直销柜台</w:t>
      </w:r>
      <w:r w:rsidRPr="00C10F53">
        <w:br/>
        <w:t xml:space="preserve">    办公地址：北京市石景山区绿地环球文化金融城9号院5号楼1401-1405</w:t>
      </w:r>
      <w:r w:rsidRPr="00C10F53">
        <w:br/>
        <w:t xml:space="preserve">    法定代表人：杨爱斌</w:t>
      </w:r>
      <w:r w:rsidRPr="00C10F53">
        <w:br/>
        <w:t xml:space="preserve">    全国统一客户服务电话：4009686688</w:t>
      </w:r>
      <w:r w:rsidRPr="00C10F53">
        <w:br/>
        <w:t xml:space="preserve">    联系人：张妍</w:t>
      </w:r>
      <w:r w:rsidRPr="00C10F53">
        <w:br/>
        <w:t xml:space="preserve">    传真：010-81922890</w:t>
      </w:r>
      <w:r w:rsidRPr="00C10F53">
        <w:br/>
        <w:t xml:space="preserve">    （2）鹏扬基金管理有限公司直销电子交易平台</w:t>
      </w:r>
      <w:r w:rsidRPr="00C10F53">
        <w:br/>
        <w:t xml:space="preserve">    网址：www.pyamc.com</w:t>
      </w:r>
    </w:p>
    <w:p w:rsidR="004C17FD" w:rsidRPr="004C17FD" w:rsidRDefault="00D7798F" w:rsidP="004C17FD">
      <w:pPr>
        <w:pStyle w:val="3"/>
        <w:spacing w:before="156" w:after="156"/>
      </w:pPr>
      <w:r>
        <w:rPr>
          <w:rFonts w:hint="eastAsia"/>
        </w:rPr>
        <w:t>场外代</w:t>
      </w:r>
      <w:r w:rsidR="004C17FD" w:rsidRPr="004C17FD">
        <w:rPr>
          <w:rFonts w:hint="eastAsia"/>
        </w:rPr>
        <w:t>销机构</w:t>
      </w:r>
    </w:p>
    <w:p w:rsidR="004C17FD" w:rsidRDefault="004C17FD" w:rsidP="0034764F">
      <w:pPr>
        <w:pStyle w:val="ac"/>
        <w:ind w:firstLine="420"/>
      </w:pPr>
      <w:r w:rsidRPr="00C10F53">
        <w:t>本基金非直销销售机构信息详见基金管理人网站公示，敬请投资者留意。</w:t>
      </w:r>
    </w:p>
    <w:p w:rsidR="004C17FD" w:rsidRDefault="004C17FD" w:rsidP="002E705D">
      <w:pPr>
        <w:pStyle w:val="2"/>
        <w:spacing w:before="156" w:after="156"/>
      </w:pPr>
      <w:r w:rsidRPr="004C17FD">
        <w:rPr>
          <w:rFonts w:hint="eastAsia"/>
        </w:rPr>
        <w:t>场内销售机构</w:t>
      </w:r>
    </w:p>
    <w:p w:rsidR="004C17FD" w:rsidRDefault="004C17FD" w:rsidP="0034764F">
      <w:pPr>
        <w:pStyle w:val="ac"/>
        <w:ind w:firstLine="420"/>
      </w:pPr>
      <w:r w:rsidRPr="00C10F53">
        <w:t>不适用。</w:t>
      </w:r>
    </w:p>
    <w:p w:rsidR="004C17FD" w:rsidRDefault="004C17FD" w:rsidP="002E705D">
      <w:pPr>
        <w:pStyle w:val="1"/>
        <w:spacing w:before="156" w:after="156"/>
      </w:pPr>
      <w:r w:rsidRPr="004C17FD">
        <w:rPr>
          <w:rFonts w:hint="eastAsia"/>
        </w:rPr>
        <w:t>基金份额净值公告</w:t>
      </w:r>
      <w:bookmarkStart w:id="0" w:name="_GoBack"/>
      <w:bookmarkEnd w:id="0"/>
      <w:r w:rsidRPr="004C17FD">
        <w:rPr>
          <w:rFonts w:hint="eastAsia"/>
        </w:rPr>
        <w:t>的披露安排</w:t>
      </w:r>
    </w:p>
    <w:p w:rsidR="004C17FD" w:rsidRDefault="004C17FD" w:rsidP="0034764F">
      <w:pPr>
        <w:pStyle w:val="ac"/>
        <w:ind w:firstLine="420"/>
        <w:rPr>
          <w:szCs w:val="18"/>
        </w:rPr>
      </w:pPr>
      <w:r w:rsidRPr="00C10F53">
        <w:t>基金合同生效后，在基金封闭期内，基金管理人应当至少每周在指定网站披露一次各类基金份额净值和各类基金份额累计净值。</w:t>
      </w:r>
      <w:r w:rsidRPr="00C10F53">
        <w:br/>
        <w:t xml:space="preserve">    在基金合同生效后的每个开放期内，基金管理人应当在不晚于每个开放日的次日，通过指定网站、基金销售机构网站或者营业网点披露开放日的各类基金份额净值和各类基金份额累计净值。</w:t>
      </w:r>
      <w:r w:rsidRPr="00C10F53">
        <w:br/>
        <w:t xml:space="preserve">    基金管理人应当在不晚于半年度和年度最后一日的次日，在指定网站披露半年度和年度最后一日的各类基金份额净值和各类基金份额累计净值。</w:t>
      </w:r>
    </w:p>
    <w:p w:rsidR="004C17FD" w:rsidRDefault="004C17FD" w:rsidP="002E705D">
      <w:pPr>
        <w:pStyle w:val="1"/>
        <w:spacing w:before="156" w:after="156"/>
      </w:pPr>
      <w:r w:rsidRPr="004C17FD">
        <w:rPr>
          <w:rFonts w:hint="eastAsia"/>
        </w:rPr>
        <w:t>其他需要提示的事项</w:t>
      </w:r>
    </w:p>
    <w:p w:rsidR="004C17FD" w:rsidRDefault="004C17FD" w:rsidP="0034764F">
      <w:pPr>
        <w:pStyle w:val="ac"/>
        <w:ind w:firstLine="420"/>
      </w:pPr>
      <w:r w:rsidRPr="00C10F53">
        <w:t>(1)本公告仅对本基金本次开放期办理其申购、赎回、转换业务事项予以说明。投资者欲了解本基金的详细情况，请登录本公司网站(www.pyamc.com)查询《鹏扬淳盈6个月定期开放债券型证券投资基金基金合同》、《鹏扬淳盈6个月定期开放债券型证券投资基金招募说明书(更新)》和《鹏扬淳盈6个月定期开放债券型证券投资基金基金产品资料概要》等资料。</w:t>
      </w:r>
      <w:r w:rsidRPr="00C10F53">
        <w:br/>
        <w:t xml:space="preserve">    (2)对未开设销售网点地区的投资者及希望了解本公司旗下管理基金其他有关信息的投资者，可拨打本公司的客户服务电话(400-968-6688)垂询相关事宜。</w:t>
      </w:r>
      <w:r w:rsidRPr="00C10F53">
        <w:br/>
        <w:t xml:space="preserve">    (3)风险提示：基金管理人承诺以诚实信用、勤勉尽责的原则管理和运用基金财产，但不保证基金一定盈利，也不保证最低收益。敬请投资人注意投资风险。投资人投资于本基金前应认真阅读本基金的《基金合同》、《招募说明书》、《产品资料概要》等法律文件。 </w:t>
      </w:r>
      <w:r w:rsidRPr="00C10F53">
        <w:br/>
        <w:t xml:space="preserve">    特此公告。</w:t>
      </w:r>
    </w:p>
    <w:p w:rsidR="00EB202B" w:rsidRPr="008F21D4" w:rsidRDefault="00EB202B" w:rsidP="0034764F">
      <w:pPr>
        <w:pStyle w:val="ac"/>
        <w:ind w:firstLine="420"/>
      </w:pPr>
    </w:p>
    <w:p w:rsidR="00EB202B" w:rsidRPr="008F21D4" w:rsidRDefault="00EB202B" w:rsidP="0034764F">
      <w:pPr>
        <w:pStyle w:val="ac"/>
        <w:ind w:firstLine="420"/>
      </w:pPr>
    </w:p>
    <w:p w:rsidR="00EB202B" w:rsidRPr="008F21D4" w:rsidRDefault="00EB202B" w:rsidP="008436C7">
      <w:pPr>
        <w:pStyle w:val="ac"/>
        <w:ind w:firstLine="420"/>
        <w:jc w:val="right"/>
      </w:pPr>
      <w:r w:rsidRPr="008F21D4">
        <w:rPr>
          <w:rFonts w:hint="eastAsia"/>
        </w:rPr>
        <w:t>鹏扬基金管理有限公司</w:t>
      </w:r>
    </w:p>
    <w:p w:rsidR="00EB202B" w:rsidRPr="008F21D4" w:rsidRDefault="00EB202B" w:rsidP="008436C7">
      <w:pPr>
        <w:pStyle w:val="ac"/>
        <w:ind w:firstLine="420"/>
        <w:jc w:val="right"/>
      </w:pPr>
      <w:r w:rsidRPr="008F21D4">
        <w:rPr>
          <w:rFonts w:hint="eastAsia"/>
        </w:rPr>
        <w:t>2026年1月23日</w:t>
      </w:r>
    </w:p>
    <w:sectPr w:rsidR="00EB202B" w:rsidRPr="008F21D4" w:rsidSect="00C30A00">
      <w:headerReference w:type="default" r:id="rId7"/>
      <w:footerReference w:type="default" r:id="rId8"/>
      <w:footerReference w:type="first" r:id="rId9"/>
      <w:pgSz w:w="11906" w:h="16838" w:code="9"/>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539" w:rsidRDefault="005A2539" w:rsidP="00DC5DEF">
      <w:r>
        <w:separator/>
      </w:r>
    </w:p>
  </w:endnote>
  <w:endnote w:type="continuationSeparator" w:id="0">
    <w:p w:rsidR="005A2539" w:rsidRDefault="005A2539" w:rsidP="00DC5D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318" w:rsidRDefault="00287318" w:rsidP="00287318">
    <w:pPr>
      <w:pStyle w:val="a4"/>
      <w:jc w:val="center"/>
    </w:pPr>
    <w:r w:rsidRPr="00287318">
      <w:rPr>
        <w:rFonts w:hint="eastAsia"/>
      </w:rPr>
      <w:t>第</w:t>
    </w:r>
    <w:r w:rsidR="00C87052">
      <w:fldChar w:fldCharType="begin"/>
    </w:r>
    <w:r>
      <w:instrText xml:space="preserve"> </w:instrText>
    </w:r>
    <w:r>
      <w:rPr>
        <w:rFonts w:hint="eastAsia"/>
      </w:rPr>
      <w:instrText>PAGE   \* MERGEFORMAT</w:instrText>
    </w:r>
    <w:r>
      <w:instrText xml:space="preserve"> </w:instrText>
    </w:r>
    <w:r w:rsidR="00C87052">
      <w:fldChar w:fldCharType="separate"/>
    </w:r>
    <w:r w:rsidR="002E705D">
      <w:rPr>
        <w:noProof/>
      </w:rPr>
      <w:t>1</w:t>
    </w:r>
    <w:r w:rsidR="00C87052">
      <w:fldChar w:fldCharType="end"/>
    </w:r>
    <w:r w:rsidRPr="00287318">
      <w:rPr>
        <w:rFonts w:hint="eastAsia"/>
      </w:rPr>
      <w:t>页</w:t>
    </w:r>
    <w:r w:rsidRPr="00287318">
      <w:rPr>
        <w:rFonts w:hint="eastAsia"/>
      </w:rPr>
      <w:t xml:space="preserve"> </w:t>
    </w:r>
    <w:r w:rsidRPr="00287318">
      <w:rPr>
        <w:rFonts w:hint="eastAsia"/>
      </w:rPr>
      <w:t>共</w:t>
    </w:r>
    <w:fldSimple w:instr=" NUMPAGES   \* MERGEFORMAT ">
      <w:r w:rsidR="002E705D">
        <w:rPr>
          <w:noProof/>
        </w:rPr>
        <w:t>3</w:t>
      </w:r>
    </w:fldSimple>
    <w:r w:rsidRPr="00287318">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318" w:rsidRDefault="00287318" w:rsidP="00287318">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539" w:rsidRDefault="005A2539" w:rsidP="00DC5DEF">
      <w:r>
        <w:separator/>
      </w:r>
    </w:p>
  </w:footnote>
  <w:footnote w:type="continuationSeparator" w:id="0">
    <w:p w:rsidR="005A2539" w:rsidRDefault="005A2539" w:rsidP="00DC5D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55B" w:rsidRDefault="00A3683C">
    <w:pPr>
      <w:pBdr>
        <w:between w:val="single" w:sz="3" w:space="0" w:color="000000"/>
      </w:pBdr>
      <w:jc w:val="right"/>
    </w:pPr>
    <w:r>
      <w:rPr>
        <w:rFonts w:hAnsi="宋体" w:hint="eastAsia"/>
        <w:bCs/>
        <w:color w:val="000000"/>
        <w:sz w:val="18"/>
        <w:szCs w:val="18"/>
      </w:rPr>
      <w:t>鹏扬淳盈6个月定期开放债券型证券投资基金开放日常申购、赎回、转换业务的公告</w:t>
    </w:r>
  </w:p>
  <w:p w:rsidR="00C4455B" w:rsidRDefault="00C4455B">
    <w:pPr>
      <w:pBdr>
        <w:between w:val="single" w:sz="3" w:space="0" w:color="000000"/>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27FE0"/>
    <w:multiLevelType w:val="multilevel"/>
    <w:tmpl w:val="309C47A2"/>
    <w:lvl w:ilvl="0">
      <w:start w:val="1"/>
      <w:numFmt w:val="decimal"/>
      <w:lvlText w:val="%1"/>
      <w:lvlJc w:val="left"/>
      <w:pPr>
        <w:ind w:left="420" w:hanging="420"/>
      </w:pPr>
      <w:rPr>
        <w:rFonts w:hint="eastAsia"/>
      </w:rPr>
    </w:lvl>
    <w:lvl w:ilvl="1">
      <w:start w:val="1"/>
      <w:numFmt w:val="none"/>
      <w:lvlText w:val="1.1"/>
      <w:lvlJc w:val="left"/>
      <w:pPr>
        <w:ind w:left="840" w:hanging="420"/>
      </w:pPr>
      <w:rPr>
        <w:rFonts w:hint="eastAsia"/>
      </w:rPr>
    </w:lvl>
    <w:lvl w:ilvl="2">
      <w:start w:val="1"/>
      <w:numFmt w:val="none"/>
      <w:lvlText w:val="1.1.1"/>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249F1BDB"/>
    <w:multiLevelType w:val="hybridMultilevel"/>
    <w:tmpl w:val="A190816C"/>
    <w:lvl w:ilvl="0" w:tplc="ABEAAB6E">
      <w:start w:val="1"/>
      <w:numFmt w:val="decimal"/>
      <w:lvlText w:val="%1.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E133B2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nsid w:val="451871B4"/>
    <w:multiLevelType w:val="multilevel"/>
    <w:tmpl w:val="30244D42"/>
    <w:lvl w:ilvl="0">
      <w:start w:val="1"/>
      <w:numFmt w:val="decimal"/>
      <w:lvlText w:val="%1.1.1"/>
      <w:lvlJc w:val="left"/>
      <w:pPr>
        <w:ind w:left="425" w:hanging="425"/>
      </w:pPr>
      <w:rPr>
        <w:rFonts w:hint="eastAsia"/>
        <w:b w:val="0"/>
        <w:i w:val="0"/>
        <w:iCs w:val="0"/>
        <w:caps w:val="0"/>
        <w:smallCaps w:val="0"/>
        <w:strike w:val="0"/>
        <w:dstrike w:val="0"/>
        <w:outline w:val="0"/>
        <w:shadow w:val="0"/>
        <w:emboss w:val="0"/>
        <w:imprint w:val="0"/>
        <w:vanish w:val="0"/>
        <w:spacing w:val="0"/>
        <w:position w:val="0"/>
        <w:u w:val="none"/>
        <w:effect w:val="none"/>
        <w:vertAlign w:val="baseline"/>
        <w:em w:val="none"/>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46C40D09"/>
    <w:multiLevelType w:val="hybridMultilevel"/>
    <w:tmpl w:val="7C680852"/>
    <w:lvl w:ilvl="0" w:tplc="8076CD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0191E0E"/>
    <w:multiLevelType w:val="hybridMultilevel"/>
    <w:tmpl w:val="1C7ACE30"/>
    <w:lvl w:ilvl="0" w:tplc="34061D3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45727E7"/>
    <w:multiLevelType w:val="multilevel"/>
    <w:tmpl w:val="2B245DFA"/>
    <w:lvl w:ilvl="0">
      <w:start w:val="1"/>
      <w:numFmt w:val="decimal"/>
      <w:pStyle w:val="1"/>
      <w:lvlText w:val="%1."/>
      <w:lvlJc w:val="left"/>
      <w:pPr>
        <w:ind w:left="420" w:hanging="420"/>
      </w:pPr>
      <w:rPr>
        <w:rFonts w:hint="eastAsia"/>
      </w:rPr>
    </w:lvl>
    <w:lvl w:ilvl="1">
      <w:start w:val="1"/>
      <w:numFmt w:val="decimal"/>
      <w:pStyle w:val="2"/>
      <w:lvlText w:val="%1.%2"/>
      <w:lvlJc w:val="left"/>
      <w:pPr>
        <w:ind w:left="992" w:hanging="567"/>
      </w:pPr>
      <w:rPr>
        <w:rFonts w:hint="eastAsia"/>
      </w:rPr>
    </w:lvl>
    <w:lvl w:ilvl="2">
      <w:start w:val="1"/>
      <w:numFmt w:val="decimal"/>
      <w:pStyle w:val="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6B5D273E"/>
    <w:multiLevelType w:val="hybridMultilevel"/>
    <w:tmpl w:val="90300BA4"/>
    <w:lvl w:ilvl="0" w:tplc="6B204A32">
      <w:start w:val="1"/>
      <w:numFmt w:val="decimal"/>
      <w:lvlText w:val="%1.1.1"/>
      <w:lvlJc w:val="left"/>
      <w:pPr>
        <w:ind w:left="420" w:hanging="420"/>
      </w:pPr>
      <w:rPr>
        <w:rFonts w:hint="eastAsia"/>
        <w:b w:val="0"/>
        <w:i w:val="0"/>
        <w:iCs w:val="0"/>
        <w:caps w:val="0"/>
        <w:smallCaps w:val="0"/>
        <w:strike w:val="0"/>
        <w:dstrike w:val="0"/>
        <w:outline w:val="0"/>
        <w:shadow w:val="0"/>
        <w:emboss w:val="0"/>
        <w:imprint w:val="0"/>
        <w:vanish w:val="0"/>
        <w:spacing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C4B44B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nsid w:val="7536714E"/>
    <w:multiLevelType w:val="multilevel"/>
    <w:tmpl w:val="41FCBEA4"/>
    <w:lvl w:ilvl="0">
      <w:start w:val="1"/>
      <w:numFmt w:val="decimal"/>
      <w:lvlText w:val="%1"/>
      <w:lvlJc w:val="left"/>
      <w:pPr>
        <w:ind w:left="420" w:hanging="420"/>
      </w:pPr>
      <w:rPr>
        <w:rFonts w:hint="eastAsia"/>
      </w:rPr>
    </w:lvl>
    <w:lvl w:ilvl="1">
      <w:start w:val="1"/>
      <w:numFmt w:val="none"/>
      <w:lvlText w:val="1.1"/>
      <w:lvlJc w:val="left"/>
      <w:pPr>
        <w:ind w:left="840" w:hanging="420"/>
      </w:pPr>
      <w:rPr>
        <w:rFonts w:hint="eastAsia"/>
      </w:rPr>
    </w:lvl>
    <w:lvl w:ilvl="2">
      <w:start w:val="1"/>
      <w:numFmt w:val="none"/>
      <w:lvlText w:val="1.1.1"/>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3"/>
  </w:num>
  <w:num w:numId="2">
    <w:abstractNumId w:val="4"/>
  </w:num>
  <w:num w:numId="3">
    <w:abstractNumId w:val="8"/>
  </w:num>
  <w:num w:numId="4">
    <w:abstractNumId w:val="2"/>
  </w:num>
  <w:num w:numId="5">
    <w:abstractNumId w:val="5"/>
  </w:num>
  <w:num w:numId="6">
    <w:abstractNumId w:val="9"/>
  </w:num>
  <w:num w:numId="7">
    <w:abstractNumId w:val="7"/>
  </w:num>
  <w:num w:numId="8">
    <w:abstractNumId w:val="1"/>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0422"/>
    <w:rsid w:val="000174DE"/>
    <w:rsid w:val="00055B38"/>
    <w:rsid w:val="00073183"/>
    <w:rsid w:val="00083F46"/>
    <w:rsid w:val="0008540E"/>
    <w:rsid w:val="000A0399"/>
    <w:rsid w:val="000B75F0"/>
    <w:rsid w:val="000E3BCE"/>
    <w:rsid w:val="001015E6"/>
    <w:rsid w:val="00114110"/>
    <w:rsid w:val="00115873"/>
    <w:rsid w:val="001332BA"/>
    <w:rsid w:val="00147ECD"/>
    <w:rsid w:val="00160CD2"/>
    <w:rsid w:val="0018073A"/>
    <w:rsid w:val="001859BF"/>
    <w:rsid w:val="001F6166"/>
    <w:rsid w:val="00214A9B"/>
    <w:rsid w:val="00224D8D"/>
    <w:rsid w:val="0025141B"/>
    <w:rsid w:val="0025252A"/>
    <w:rsid w:val="00274A9C"/>
    <w:rsid w:val="002771FA"/>
    <w:rsid w:val="00281E4B"/>
    <w:rsid w:val="00283D98"/>
    <w:rsid w:val="00287318"/>
    <w:rsid w:val="00294A53"/>
    <w:rsid w:val="002B1051"/>
    <w:rsid w:val="002B567C"/>
    <w:rsid w:val="002C60F7"/>
    <w:rsid w:val="002D558F"/>
    <w:rsid w:val="002D6E35"/>
    <w:rsid w:val="002E705D"/>
    <w:rsid w:val="002F2387"/>
    <w:rsid w:val="00301A96"/>
    <w:rsid w:val="003021B8"/>
    <w:rsid w:val="00341562"/>
    <w:rsid w:val="003457D4"/>
    <w:rsid w:val="0034764F"/>
    <w:rsid w:val="00364568"/>
    <w:rsid w:val="00386DEE"/>
    <w:rsid w:val="00390422"/>
    <w:rsid w:val="003A4691"/>
    <w:rsid w:val="00413A70"/>
    <w:rsid w:val="00456626"/>
    <w:rsid w:val="00480A78"/>
    <w:rsid w:val="00481227"/>
    <w:rsid w:val="00492294"/>
    <w:rsid w:val="004929C4"/>
    <w:rsid w:val="004A4C69"/>
    <w:rsid w:val="004C17FD"/>
    <w:rsid w:val="004F47D3"/>
    <w:rsid w:val="00500F05"/>
    <w:rsid w:val="005648A6"/>
    <w:rsid w:val="00565EFA"/>
    <w:rsid w:val="00594852"/>
    <w:rsid w:val="00597422"/>
    <w:rsid w:val="005A2539"/>
    <w:rsid w:val="005B21E3"/>
    <w:rsid w:val="005C40C9"/>
    <w:rsid w:val="005E245D"/>
    <w:rsid w:val="005E25B0"/>
    <w:rsid w:val="005F2AAC"/>
    <w:rsid w:val="006005A0"/>
    <w:rsid w:val="006251EF"/>
    <w:rsid w:val="006308DD"/>
    <w:rsid w:val="006475A4"/>
    <w:rsid w:val="00665BB1"/>
    <w:rsid w:val="00677942"/>
    <w:rsid w:val="006E61BC"/>
    <w:rsid w:val="00734497"/>
    <w:rsid w:val="007351B4"/>
    <w:rsid w:val="007474A0"/>
    <w:rsid w:val="00750DAD"/>
    <w:rsid w:val="00774DB3"/>
    <w:rsid w:val="0078262F"/>
    <w:rsid w:val="00782F6F"/>
    <w:rsid w:val="007A4233"/>
    <w:rsid w:val="007B6A63"/>
    <w:rsid w:val="007E2F1D"/>
    <w:rsid w:val="007F5046"/>
    <w:rsid w:val="00813ACD"/>
    <w:rsid w:val="008436C7"/>
    <w:rsid w:val="00857742"/>
    <w:rsid w:val="00865829"/>
    <w:rsid w:val="0087531C"/>
    <w:rsid w:val="00897D28"/>
    <w:rsid w:val="00897FEA"/>
    <w:rsid w:val="008A431A"/>
    <w:rsid w:val="008A5705"/>
    <w:rsid w:val="008E1AAE"/>
    <w:rsid w:val="008E5FAB"/>
    <w:rsid w:val="008F21D4"/>
    <w:rsid w:val="009305B8"/>
    <w:rsid w:val="00960F32"/>
    <w:rsid w:val="009D48E4"/>
    <w:rsid w:val="009F1034"/>
    <w:rsid w:val="009F1F16"/>
    <w:rsid w:val="009F40B5"/>
    <w:rsid w:val="00A00A34"/>
    <w:rsid w:val="00A05644"/>
    <w:rsid w:val="00A150DA"/>
    <w:rsid w:val="00A3683C"/>
    <w:rsid w:val="00A55785"/>
    <w:rsid w:val="00A61AC3"/>
    <w:rsid w:val="00A64A81"/>
    <w:rsid w:val="00A824C5"/>
    <w:rsid w:val="00A824D8"/>
    <w:rsid w:val="00A833A1"/>
    <w:rsid w:val="00AA45F7"/>
    <w:rsid w:val="00AB68F1"/>
    <w:rsid w:val="00AC5670"/>
    <w:rsid w:val="00AD1B6F"/>
    <w:rsid w:val="00B013A1"/>
    <w:rsid w:val="00B01FCE"/>
    <w:rsid w:val="00B168F5"/>
    <w:rsid w:val="00B22579"/>
    <w:rsid w:val="00BB2B13"/>
    <w:rsid w:val="00BE750B"/>
    <w:rsid w:val="00BF6B0B"/>
    <w:rsid w:val="00C10F53"/>
    <w:rsid w:val="00C13CD0"/>
    <w:rsid w:val="00C214C0"/>
    <w:rsid w:val="00C30A00"/>
    <w:rsid w:val="00C37EA7"/>
    <w:rsid w:val="00C4455B"/>
    <w:rsid w:val="00C87052"/>
    <w:rsid w:val="00CD43D2"/>
    <w:rsid w:val="00D05695"/>
    <w:rsid w:val="00D05BA7"/>
    <w:rsid w:val="00D07A54"/>
    <w:rsid w:val="00D119D0"/>
    <w:rsid w:val="00D23155"/>
    <w:rsid w:val="00D23B56"/>
    <w:rsid w:val="00D24B1D"/>
    <w:rsid w:val="00D251FF"/>
    <w:rsid w:val="00D73075"/>
    <w:rsid w:val="00D7798F"/>
    <w:rsid w:val="00DA2749"/>
    <w:rsid w:val="00DA4227"/>
    <w:rsid w:val="00DB3566"/>
    <w:rsid w:val="00DC36C6"/>
    <w:rsid w:val="00DC5DEF"/>
    <w:rsid w:val="00DD15AE"/>
    <w:rsid w:val="00DE0766"/>
    <w:rsid w:val="00DE3C31"/>
    <w:rsid w:val="00E17930"/>
    <w:rsid w:val="00E20E72"/>
    <w:rsid w:val="00E20EB2"/>
    <w:rsid w:val="00E328E8"/>
    <w:rsid w:val="00E63A04"/>
    <w:rsid w:val="00E66CCC"/>
    <w:rsid w:val="00E76C78"/>
    <w:rsid w:val="00E77708"/>
    <w:rsid w:val="00EB202B"/>
    <w:rsid w:val="00EC0EA0"/>
    <w:rsid w:val="00F20899"/>
    <w:rsid w:val="00F8218D"/>
    <w:rsid w:val="00F862CA"/>
    <w:rsid w:val="00FC7E31"/>
    <w:rsid w:val="00FD5445"/>
    <w:rsid w:val="00FF26C4"/>
    <w:rsid w:val="00FF7AD6"/>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aliases w:val="正文左"/>
    <w:qFormat/>
    <w:rsid w:val="008E1AAE"/>
    <w:pPr>
      <w:widowControl w:val="0"/>
    </w:pPr>
    <w:rPr>
      <w:rFonts w:ascii="宋体" w:eastAsia="宋体"/>
    </w:rPr>
  </w:style>
  <w:style w:type="paragraph" w:styleId="1">
    <w:name w:val="heading 1"/>
    <w:basedOn w:val="a"/>
    <w:next w:val="a"/>
    <w:link w:val="1Char"/>
    <w:autoRedefine/>
    <w:uiPriority w:val="9"/>
    <w:qFormat/>
    <w:rsid w:val="00301A96"/>
    <w:pPr>
      <w:keepNext/>
      <w:keepLines/>
      <w:numPr>
        <w:numId w:val="10"/>
      </w:numPr>
      <w:spacing w:beforeLines="50" w:afterLines="50"/>
      <w:outlineLvl w:val="0"/>
    </w:pPr>
    <w:rPr>
      <w:b/>
      <w:bCs/>
      <w:kern w:val="44"/>
      <w:sz w:val="28"/>
      <w:szCs w:val="44"/>
    </w:rPr>
  </w:style>
  <w:style w:type="paragraph" w:styleId="2">
    <w:name w:val="heading 2"/>
    <w:basedOn w:val="a"/>
    <w:next w:val="a"/>
    <w:link w:val="2Char"/>
    <w:autoRedefine/>
    <w:uiPriority w:val="9"/>
    <w:unhideWhenUsed/>
    <w:qFormat/>
    <w:rsid w:val="005E245D"/>
    <w:pPr>
      <w:keepNext/>
      <w:keepLines/>
      <w:numPr>
        <w:ilvl w:val="1"/>
        <w:numId w:val="10"/>
      </w:numPr>
      <w:spacing w:beforeLines="50" w:afterLines="50"/>
      <w:ind w:left="0" w:firstLine="0"/>
      <w:outlineLvl w:val="1"/>
    </w:pPr>
    <w:rPr>
      <w:rFonts w:hAnsiTheme="majorHAnsi" w:cstheme="majorBidi"/>
      <w:b/>
      <w:bCs/>
      <w:sz w:val="24"/>
      <w:szCs w:val="32"/>
    </w:rPr>
  </w:style>
  <w:style w:type="paragraph" w:styleId="3">
    <w:name w:val="heading 3"/>
    <w:basedOn w:val="a"/>
    <w:next w:val="a"/>
    <w:link w:val="3Char"/>
    <w:uiPriority w:val="9"/>
    <w:unhideWhenUsed/>
    <w:qFormat/>
    <w:rsid w:val="0034764F"/>
    <w:pPr>
      <w:keepNext/>
      <w:keepLines/>
      <w:numPr>
        <w:ilvl w:val="2"/>
        <w:numId w:val="10"/>
      </w:numPr>
      <w:spacing w:beforeLines="50" w:afterLines="50"/>
      <w:ind w:left="0" w:firstLine="0"/>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5DEF"/>
    <w:pPr>
      <w:pBdr>
        <w:bottom w:val="single" w:sz="6" w:space="1" w:color="auto"/>
      </w:pBdr>
      <w:tabs>
        <w:tab w:val="center" w:pos="4153"/>
        <w:tab w:val="right" w:pos="8306"/>
      </w:tabs>
      <w:snapToGrid w:val="0"/>
      <w:jc w:val="center"/>
    </w:pPr>
    <w:rPr>
      <w:rFonts w:asciiTheme="minorHAnsi"/>
      <w:szCs w:val="18"/>
    </w:rPr>
  </w:style>
  <w:style w:type="character" w:customStyle="1" w:styleId="Char">
    <w:name w:val="页眉 Char"/>
    <w:basedOn w:val="a0"/>
    <w:link w:val="a3"/>
    <w:uiPriority w:val="99"/>
    <w:rsid w:val="00DC5DEF"/>
    <w:rPr>
      <w:sz w:val="18"/>
      <w:szCs w:val="18"/>
    </w:rPr>
  </w:style>
  <w:style w:type="paragraph" w:styleId="a4">
    <w:name w:val="footer"/>
    <w:basedOn w:val="a"/>
    <w:link w:val="Char0"/>
    <w:uiPriority w:val="99"/>
    <w:unhideWhenUsed/>
    <w:rsid w:val="00DC5DEF"/>
    <w:pPr>
      <w:tabs>
        <w:tab w:val="center" w:pos="4153"/>
        <w:tab w:val="right" w:pos="8306"/>
      </w:tabs>
      <w:snapToGrid w:val="0"/>
    </w:pPr>
    <w:rPr>
      <w:rFonts w:asciiTheme="minorHAnsi"/>
      <w:szCs w:val="18"/>
    </w:rPr>
  </w:style>
  <w:style w:type="character" w:customStyle="1" w:styleId="Char0">
    <w:name w:val="页脚 Char"/>
    <w:basedOn w:val="a0"/>
    <w:link w:val="a4"/>
    <w:uiPriority w:val="99"/>
    <w:rsid w:val="00DC5DEF"/>
    <w:rPr>
      <w:sz w:val="18"/>
      <w:szCs w:val="18"/>
    </w:rPr>
  </w:style>
  <w:style w:type="paragraph" w:styleId="a5">
    <w:name w:val="List Paragraph"/>
    <w:basedOn w:val="a"/>
    <w:uiPriority w:val="34"/>
    <w:rsid w:val="00DC5DEF"/>
    <w:pPr>
      <w:ind w:firstLineChars="200" w:firstLine="420"/>
    </w:pPr>
  </w:style>
  <w:style w:type="character" w:customStyle="1" w:styleId="1Char">
    <w:name w:val="标题 1 Char"/>
    <w:basedOn w:val="a0"/>
    <w:link w:val="1"/>
    <w:uiPriority w:val="9"/>
    <w:rsid w:val="0034764F"/>
    <w:rPr>
      <w:rFonts w:ascii="宋体" w:eastAsia="宋体"/>
      <w:b/>
      <w:bCs/>
      <w:kern w:val="44"/>
      <w:sz w:val="28"/>
      <w:szCs w:val="44"/>
    </w:rPr>
  </w:style>
  <w:style w:type="character" w:customStyle="1" w:styleId="2Char">
    <w:name w:val="标题 2 Char"/>
    <w:basedOn w:val="a0"/>
    <w:link w:val="2"/>
    <w:uiPriority w:val="9"/>
    <w:rsid w:val="005E245D"/>
    <w:rPr>
      <w:rFonts w:ascii="宋体" w:eastAsia="宋体" w:hAnsiTheme="majorHAnsi" w:cstheme="majorBidi"/>
      <w:b/>
      <w:bCs/>
      <w:sz w:val="24"/>
      <w:szCs w:val="32"/>
    </w:rPr>
  </w:style>
  <w:style w:type="character" w:customStyle="1" w:styleId="3Char">
    <w:name w:val="标题 3 Char"/>
    <w:basedOn w:val="a0"/>
    <w:link w:val="3"/>
    <w:uiPriority w:val="9"/>
    <w:rsid w:val="0034764F"/>
    <w:rPr>
      <w:rFonts w:ascii="宋体" w:eastAsia="宋体"/>
      <w:b/>
      <w:bCs/>
      <w:sz w:val="24"/>
      <w:szCs w:val="32"/>
    </w:rPr>
  </w:style>
  <w:style w:type="paragraph" w:styleId="a6">
    <w:name w:val="No Spacing"/>
    <w:uiPriority w:val="1"/>
    <w:rsid w:val="00FF26C4"/>
    <w:pPr>
      <w:widowControl w:val="0"/>
      <w:jc w:val="both"/>
    </w:pPr>
    <w:rPr>
      <w:rFonts w:ascii="Times New Roman" w:hAnsi="Times New Roman" w:cs="Times New Roman"/>
      <w:sz w:val="18"/>
      <w:szCs w:val="20"/>
    </w:rPr>
  </w:style>
  <w:style w:type="character" w:styleId="a7">
    <w:name w:val="footnote reference"/>
    <w:rsid w:val="00857742"/>
    <w:rPr>
      <w:vertAlign w:val="superscript"/>
    </w:rPr>
  </w:style>
  <w:style w:type="paragraph" w:styleId="a8">
    <w:name w:val="footnote text"/>
    <w:basedOn w:val="a"/>
    <w:link w:val="Char1"/>
    <w:rsid w:val="00857742"/>
    <w:pPr>
      <w:snapToGrid w:val="0"/>
    </w:pPr>
  </w:style>
  <w:style w:type="character" w:customStyle="1" w:styleId="Char1">
    <w:name w:val="脚注文本 Char"/>
    <w:basedOn w:val="a0"/>
    <w:link w:val="a8"/>
    <w:rsid w:val="00857742"/>
    <w:rPr>
      <w:rFonts w:ascii="Times New Roman" w:eastAsia="宋体" w:hAnsi="Times New Roman" w:cs="Times New Roman"/>
      <w:sz w:val="18"/>
      <w:szCs w:val="20"/>
    </w:rPr>
  </w:style>
  <w:style w:type="paragraph" w:styleId="TOC">
    <w:name w:val="TOC Heading"/>
    <w:basedOn w:val="1"/>
    <w:next w:val="a"/>
    <w:uiPriority w:val="39"/>
    <w:unhideWhenUsed/>
    <w:rsid w:val="00500F05"/>
    <w:pPr>
      <w:widowControl/>
      <w:numPr>
        <w:numId w:val="0"/>
      </w:numPr>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500F05"/>
  </w:style>
  <w:style w:type="paragraph" w:styleId="20">
    <w:name w:val="toc 2"/>
    <w:basedOn w:val="a"/>
    <w:next w:val="a"/>
    <w:autoRedefine/>
    <w:uiPriority w:val="39"/>
    <w:unhideWhenUsed/>
    <w:rsid w:val="00500F05"/>
    <w:pPr>
      <w:ind w:leftChars="200" w:left="420"/>
    </w:pPr>
  </w:style>
  <w:style w:type="paragraph" w:styleId="30">
    <w:name w:val="toc 3"/>
    <w:basedOn w:val="a"/>
    <w:next w:val="a"/>
    <w:autoRedefine/>
    <w:uiPriority w:val="39"/>
    <w:unhideWhenUsed/>
    <w:rsid w:val="00500F05"/>
    <w:pPr>
      <w:ind w:leftChars="400" w:left="840"/>
    </w:pPr>
  </w:style>
  <w:style w:type="character" w:styleId="a9">
    <w:name w:val="Hyperlink"/>
    <w:basedOn w:val="a0"/>
    <w:uiPriority w:val="99"/>
    <w:unhideWhenUsed/>
    <w:rsid w:val="00500F05"/>
    <w:rPr>
      <w:color w:val="0563C1" w:themeColor="hyperlink"/>
      <w:u w:val="single"/>
    </w:rPr>
  </w:style>
  <w:style w:type="paragraph" w:customStyle="1" w:styleId="11">
    <w:name w:val="主标题1"/>
    <w:basedOn w:val="a"/>
    <w:next w:val="a"/>
    <w:link w:val="1Char0"/>
    <w:rsid w:val="00C10F53"/>
    <w:pPr>
      <w:adjustRightInd w:val="0"/>
      <w:snapToGrid w:val="0"/>
      <w:jc w:val="center"/>
    </w:pPr>
    <w:rPr>
      <w:rFonts w:hAnsi="宋体" w:cs="宋体"/>
      <w:bCs/>
      <w:sz w:val="44"/>
      <w:szCs w:val="24"/>
    </w:rPr>
  </w:style>
  <w:style w:type="character" w:customStyle="1" w:styleId="1Char0">
    <w:name w:val="主标题1 Char"/>
    <w:basedOn w:val="a0"/>
    <w:link w:val="11"/>
    <w:rsid w:val="00C10F53"/>
    <w:rPr>
      <w:rFonts w:ascii="宋体" w:eastAsia="宋体" w:hAnsi="宋体" w:cs="宋体"/>
      <w:bCs/>
      <w:sz w:val="44"/>
      <w:szCs w:val="24"/>
    </w:rPr>
  </w:style>
  <w:style w:type="paragraph" w:customStyle="1" w:styleId="12">
    <w:name w:val="副标题1"/>
    <w:basedOn w:val="a"/>
    <w:next w:val="a"/>
    <w:link w:val="1Char1"/>
    <w:rsid w:val="00C10F53"/>
    <w:pPr>
      <w:adjustRightInd w:val="0"/>
      <w:snapToGrid w:val="0"/>
      <w:spacing w:line="400" w:lineRule="exact"/>
      <w:jc w:val="center"/>
    </w:pPr>
    <w:rPr>
      <w:rFonts w:hAnsi="宋体" w:cs="宋体"/>
      <w:bCs/>
      <w:sz w:val="32"/>
      <w:szCs w:val="24"/>
    </w:rPr>
  </w:style>
  <w:style w:type="character" w:customStyle="1" w:styleId="1Char1">
    <w:name w:val="副标题1 Char"/>
    <w:basedOn w:val="a0"/>
    <w:link w:val="12"/>
    <w:rsid w:val="00C10F53"/>
    <w:rPr>
      <w:rFonts w:ascii="宋体" w:eastAsia="宋体" w:hAnsi="宋体" w:cs="宋体"/>
      <w:bCs/>
      <w:sz w:val="32"/>
      <w:szCs w:val="24"/>
    </w:rPr>
  </w:style>
  <w:style w:type="paragraph" w:customStyle="1" w:styleId="aa">
    <w:name w:val="正文中"/>
    <w:qFormat/>
    <w:rsid w:val="0034764F"/>
    <w:pPr>
      <w:jc w:val="center"/>
    </w:pPr>
    <w:rPr>
      <w:rFonts w:ascii="宋体" w:eastAsia="宋体" w:hAnsi="Times New Roman" w:cs="Times New Roman"/>
      <w:szCs w:val="20"/>
    </w:rPr>
  </w:style>
  <w:style w:type="paragraph" w:customStyle="1" w:styleId="ab">
    <w:name w:val="正文右"/>
    <w:qFormat/>
    <w:rsid w:val="0034764F"/>
    <w:rPr>
      <w:rFonts w:ascii="宋体" w:eastAsia="宋体" w:hAnsi="Times New Roman" w:cs="Times New Roman"/>
      <w:szCs w:val="20"/>
    </w:rPr>
  </w:style>
  <w:style w:type="paragraph" w:styleId="ac">
    <w:name w:val="Normal Indent"/>
    <w:qFormat/>
    <w:rsid w:val="0034764F"/>
    <w:pPr>
      <w:spacing w:line="360" w:lineRule="auto"/>
      <w:ind w:firstLineChars="200" w:firstLine="200"/>
    </w:pPr>
    <w:rPr>
      <w:rFonts w:ascii="宋体" w:eastAsia="宋体"/>
    </w:rPr>
  </w:style>
  <w:style w:type="paragraph" w:styleId="ad">
    <w:name w:val="Balloon Text"/>
    <w:basedOn w:val="a"/>
    <w:link w:val="Char2"/>
    <w:uiPriority w:val="99"/>
    <w:semiHidden/>
    <w:unhideWhenUsed/>
    <w:rsid w:val="00AD1B6F"/>
    <w:rPr>
      <w:sz w:val="18"/>
      <w:szCs w:val="18"/>
    </w:rPr>
  </w:style>
  <w:style w:type="character" w:customStyle="1" w:styleId="Char2">
    <w:name w:val="批注框文本 Char"/>
    <w:basedOn w:val="a0"/>
    <w:link w:val="ad"/>
    <w:uiPriority w:val="99"/>
    <w:semiHidden/>
    <w:rsid w:val="00AD1B6F"/>
    <w:rPr>
      <w:rFonts w:ascii="宋体" w:eastAsia="宋体"/>
      <w:sz w:val="18"/>
      <w:szCs w:val="18"/>
    </w:rPr>
  </w:style>
  <w:style w:type="table" w:styleId="ae">
    <w:name w:val="Table Grid"/>
    <w:basedOn w:val="a1"/>
    <w:uiPriority w:val="39"/>
    <w:rsid w:val="00B013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934</Words>
  <Characters>5324</Characters>
  <Application>Microsoft Office Word</Application>
  <DocSecurity>4</DocSecurity>
  <Lines>44</Lines>
  <Paragraphs>12</Paragraphs>
  <ScaleCrop>false</ScaleCrop>
  <Company/>
  <LinksUpToDate>false</LinksUpToDate>
  <CharactersWithSpaces>6246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dc:creator>
  <cp:keywords/>
  <dc:description/>
  <cp:lastModifiedBy>ZHONGM</cp:lastModifiedBy>
  <cp:revision>2</cp:revision>
  <dcterms:created xsi:type="dcterms:W3CDTF">2026-01-22T16:01:00Z</dcterms:created>
  <dcterms:modified xsi:type="dcterms:W3CDTF">2026-01-22T16:01:00Z</dcterms:modified>
</cp:coreProperties>
</file>