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CC" w:rsidRDefault="004C1F2A">
      <w:pPr>
        <w:spacing w:line="360" w:lineRule="auto"/>
        <w:jc w:val="center"/>
        <w:rPr>
          <w:rFonts w:ascii="黑体" w:eastAsia="黑体" w:hAnsi="黑体"/>
          <w:b/>
          <w:bCs/>
          <w:szCs w:val="32"/>
        </w:rPr>
      </w:pPr>
      <w:bookmarkStart w:id="0" w:name="_Toc275961394"/>
      <w:r>
        <w:rPr>
          <w:rFonts w:ascii="黑体" w:eastAsia="黑体" w:hAnsi="黑体" w:hint="eastAsia"/>
          <w:b/>
          <w:bCs/>
          <w:szCs w:val="32"/>
        </w:rPr>
        <w:t>招商资管中证同业存单AAA指数7天持有期证券投资基金</w:t>
      </w:r>
    </w:p>
    <w:p w:rsidR="00680DCC" w:rsidRDefault="001158F2">
      <w:pPr>
        <w:spacing w:line="360" w:lineRule="auto"/>
        <w:jc w:val="center"/>
        <w:rPr>
          <w:rFonts w:ascii="黑体" w:eastAsia="黑体" w:hAnsi="黑体"/>
          <w:b/>
          <w:bCs/>
          <w:szCs w:val="32"/>
        </w:rPr>
      </w:pPr>
      <w:r>
        <w:rPr>
          <w:rFonts w:ascii="黑体" w:eastAsia="黑体" w:hAnsi="黑体"/>
          <w:b/>
          <w:bCs/>
          <w:szCs w:val="32"/>
        </w:rPr>
        <w:t>开放日常申购</w:t>
      </w:r>
      <w:r>
        <w:rPr>
          <w:rFonts w:ascii="黑体" w:eastAsia="黑体" w:hAnsi="黑体" w:hint="eastAsia"/>
          <w:b/>
          <w:bCs/>
          <w:szCs w:val="32"/>
        </w:rPr>
        <w:t>、</w:t>
      </w:r>
      <w:r>
        <w:rPr>
          <w:rFonts w:ascii="黑体" w:eastAsia="黑体" w:hAnsi="黑体"/>
          <w:b/>
          <w:bCs/>
          <w:szCs w:val="32"/>
        </w:rPr>
        <w:t>赎回</w:t>
      </w:r>
      <w:r>
        <w:rPr>
          <w:rFonts w:ascii="黑体" w:eastAsia="黑体" w:hAnsi="黑体" w:hint="eastAsia"/>
          <w:b/>
          <w:bCs/>
          <w:szCs w:val="32"/>
        </w:rPr>
        <w:t>及</w:t>
      </w:r>
      <w:r>
        <w:rPr>
          <w:rFonts w:ascii="黑体" w:eastAsia="黑体" w:hAnsi="黑体"/>
          <w:b/>
          <w:bCs/>
          <w:szCs w:val="32"/>
        </w:rPr>
        <w:t>定期定额投资业务公告</w:t>
      </w:r>
      <w:bookmarkEnd w:id="0"/>
    </w:p>
    <w:p w:rsidR="00680DCC" w:rsidRDefault="001158F2" w:rsidP="001158F2">
      <w:pPr>
        <w:spacing w:beforeLines="100" w:afterLines="100" w:line="360" w:lineRule="auto"/>
        <w:jc w:val="center"/>
        <w:rPr>
          <w:rFonts w:ascii="宋体" w:eastAsia="宋体" w:hAnsi="宋体"/>
          <w:sz w:val="24"/>
          <w:szCs w:val="24"/>
        </w:rPr>
      </w:pPr>
      <w:r>
        <w:rPr>
          <w:rFonts w:ascii="宋体" w:eastAsia="宋体" w:hAnsi="宋体"/>
          <w:sz w:val="24"/>
          <w:szCs w:val="24"/>
        </w:rPr>
        <w:t>公告送出日期：</w:t>
      </w:r>
      <w:r w:rsidR="00887EBD">
        <w:rPr>
          <w:rFonts w:ascii="宋体" w:eastAsia="宋体" w:hAnsi="宋体" w:hint="eastAsia"/>
          <w:sz w:val="24"/>
          <w:szCs w:val="24"/>
        </w:rPr>
        <w:t>2026年</w:t>
      </w:r>
      <w:r w:rsidR="00593A18" w:rsidRPr="00593A18">
        <w:rPr>
          <w:rFonts w:ascii="宋体" w:eastAsia="宋体" w:hAnsi="宋体" w:hint="eastAsia"/>
          <w:sz w:val="24"/>
          <w:szCs w:val="24"/>
        </w:rPr>
        <w:t>1</w:t>
      </w:r>
      <w:r w:rsidR="00887EBD" w:rsidRPr="00593A18">
        <w:rPr>
          <w:rFonts w:ascii="宋体" w:eastAsia="宋体" w:hAnsi="宋体" w:hint="eastAsia"/>
          <w:sz w:val="24"/>
          <w:szCs w:val="24"/>
        </w:rPr>
        <w:t>月</w:t>
      </w:r>
      <w:r w:rsidR="00593A18" w:rsidRPr="00593A18">
        <w:rPr>
          <w:rFonts w:ascii="宋体" w:eastAsia="宋体" w:hAnsi="宋体" w:hint="eastAsia"/>
          <w:sz w:val="24"/>
          <w:szCs w:val="24"/>
        </w:rPr>
        <w:t>23</w:t>
      </w:r>
      <w:r w:rsidR="00887EBD" w:rsidRPr="00593A18">
        <w:rPr>
          <w:rFonts w:ascii="宋体" w:eastAsia="宋体" w:hAnsi="宋体" w:hint="eastAsia"/>
          <w:sz w:val="24"/>
          <w:szCs w:val="24"/>
        </w:rPr>
        <w:t>日</w:t>
      </w:r>
    </w:p>
    <w:p w:rsidR="00680DCC" w:rsidRDefault="001158F2">
      <w:pPr>
        <w:pStyle w:val="a9"/>
        <w:numPr>
          <w:ilvl w:val="0"/>
          <w:numId w:val="1"/>
        </w:numPr>
        <w:spacing w:line="360" w:lineRule="auto"/>
        <w:rPr>
          <w:rFonts w:ascii="宋体" w:eastAsia="宋体" w:hAnsi="宋体"/>
          <w:b/>
          <w:bCs/>
          <w:sz w:val="24"/>
        </w:rPr>
      </w:pPr>
      <w:bookmarkStart w:id="1" w:name="_Toc275961395"/>
      <w:r>
        <w:rPr>
          <w:rFonts w:ascii="宋体" w:eastAsia="宋体" w:hAnsi="宋体"/>
          <w:b/>
          <w:bCs/>
          <w:sz w:val="24"/>
        </w:rPr>
        <w:t>公告基本信息</w:t>
      </w:r>
      <w:bookmarkEnd w:id="1"/>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5953"/>
      </w:tblGrid>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基金名称</w:t>
            </w:r>
          </w:p>
        </w:tc>
        <w:tc>
          <w:tcPr>
            <w:tcW w:w="5953" w:type="dxa"/>
          </w:tcPr>
          <w:p w:rsidR="00680DCC" w:rsidRDefault="004C1F2A">
            <w:pPr>
              <w:spacing w:line="360" w:lineRule="auto"/>
              <w:rPr>
                <w:rFonts w:ascii="宋体" w:eastAsia="宋体" w:hAnsi="宋体"/>
                <w:sz w:val="24"/>
                <w:szCs w:val="24"/>
              </w:rPr>
            </w:pPr>
            <w:r>
              <w:rPr>
                <w:rFonts w:ascii="宋体" w:eastAsia="宋体" w:hAnsi="宋体" w:hint="eastAsia"/>
                <w:sz w:val="24"/>
                <w:szCs w:val="24"/>
              </w:rPr>
              <w:t>招商资管中证同业存单AAA指数7天持有期证券投资基金</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基金简称</w:t>
            </w:r>
          </w:p>
        </w:tc>
        <w:tc>
          <w:tcPr>
            <w:tcW w:w="5953" w:type="dxa"/>
          </w:tcPr>
          <w:p w:rsidR="00680DCC" w:rsidRDefault="004C1F2A">
            <w:pPr>
              <w:spacing w:line="360" w:lineRule="auto"/>
              <w:rPr>
                <w:rFonts w:ascii="宋体" w:eastAsia="宋体" w:hAnsi="宋体"/>
                <w:kern w:val="0"/>
                <w:sz w:val="24"/>
                <w:szCs w:val="24"/>
              </w:rPr>
            </w:pPr>
            <w:r w:rsidRPr="004C1F2A">
              <w:rPr>
                <w:rFonts w:ascii="宋体" w:eastAsia="宋体" w:hAnsi="宋体" w:hint="eastAsia"/>
                <w:sz w:val="24"/>
                <w:szCs w:val="24"/>
              </w:rPr>
              <w:t>招商资管中证同业存单AAA指数7天持有期</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基金主代码</w:t>
            </w:r>
          </w:p>
        </w:tc>
        <w:tc>
          <w:tcPr>
            <w:tcW w:w="5953" w:type="dxa"/>
          </w:tcPr>
          <w:p w:rsidR="00680DCC" w:rsidRDefault="004C1F2A">
            <w:pPr>
              <w:spacing w:line="360" w:lineRule="auto"/>
              <w:rPr>
                <w:rFonts w:ascii="宋体" w:eastAsia="宋体" w:hAnsi="宋体"/>
                <w:kern w:val="0"/>
                <w:sz w:val="24"/>
                <w:szCs w:val="24"/>
              </w:rPr>
            </w:pPr>
            <w:r w:rsidRPr="004C1F2A">
              <w:rPr>
                <w:rFonts w:ascii="宋体" w:eastAsia="宋体" w:hAnsi="宋体" w:hint="eastAsia"/>
                <w:kern w:val="0"/>
                <w:sz w:val="24"/>
                <w:szCs w:val="24"/>
              </w:rPr>
              <w:t>026229</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基金运作方式</w:t>
            </w:r>
          </w:p>
        </w:tc>
        <w:tc>
          <w:tcPr>
            <w:tcW w:w="5953" w:type="dxa"/>
          </w:tcPr>
          <w:p w:rsidR="00680DCC" w:rsidRDefault="001158F2">
            <w:pPr>
              <w:spacing w:line="360" w:lineRule="auto"/>
              <w:rPr>
                <w:rFonts w:ascii="宋体" w:eastAsia="宋体" w:hAnsi="宋体"/>
                <w:kern w:val="0"/>
                <w:sz w:val="24"/>
                <w:szCs w:val="24"/>
              </w:rPr>
            </w:pPr>
            <w:r>
              <w:rPr>
                <w:rFonts w:ascii="宋体" w:eastAsia="宋体" w:hAnsi="宋体" w:hint="eastAsia"/>
                <w:bCs/>
                <w:sz w:val="24"/>
                <w:szCs w:val="24"/>
              </w:rPr>
              <w:t>契约型开放式</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基金合同生效日</w:t>
            </w:r>
          </w:p>
        </w:tc>
        <w:tc>
          <w:tcPr>
            <w:tcW w:w="5953" w:type="dxa"/>
          </w:tcPr>
          <w:p w:rsidR="00680DCC" w:rsidRDefault="001158F2">
            <w:pPr>
              <w:spacing w:line="360" w:lineRule="auto"/>
              <w:rPr>
                <w:rFonts w:ascii="宋体" w:eastAsia="宋体" w:hAnsi="宋体"/>
                <w:kern w:val="0"/>
                <w:sz w:val="24"/>
                <w:szCs w:val="24"/>
              </w:rPr>
            </w:pPr>
            <w:r>
              <w:rPr>
                <w:rFonts w:ascii="宋体" w:eastAsia="宋体" w:hAnsi="宋体" w:hint="eastAsia"/>
                <w:kern w:val="0"/>
                <w:sz w:val="24"/>
                <w:szCs w:val="24"/>
              </w:rPr>
              <w:t>2025</w:t>
            </w:r>
            <w:r>
              <w:rPr>
                <w:rFonts w:ascii="宋体" w:eastAsia="宋体" w:hAnsi="宋体" w:hint="eastAsia"/>
                <w:kern w:val="0"/>
                <w:sz w:val="24"/>
                <w:szCs w:val="24"/>
              </w:rPr>
              <w:t>年</w:t>
            </w:r>
            <w:r w:rsidR="00E80519">
              <w:rPr>
                <w:rFonts w:ascii="宋体" w:eastAsia="宋体" w:hAnsi="宋体" w:hint="eastAsia"/>
                <w:kern w:val="0"/>
                <w:sz w:val="24"/>
                <w:szCs w:val="24"/>
              </w:rPr>
              <w:t>12</w:t>
            </w:r>
            <w:r>
              <w:rPr>
                <w:rFonts w:ascii="宋体" w:eastAsia="宋体" w:hAnsi="宋体" w:hint="eastAsia"/>
                <w:kern w:val="0"/>
                <w:sz w:val="24"/>
                <w:szCs w:val="24"/>
              </w:rPr>
              <w:t>月</w:t>
            </w:r>
            <w:r w:rsidR="00E80519">
              <w:rPr>
                <w:rFonts w:ascii="宋体" w:eastAsia="宋体" w:hAnsi="宋体" w:hint="eastAsia"/>
                <w:kern w:val="0"/>
                <w:sz w:val="24"/>
                <w:szCs w:val="24"/>
              </w:rPr>
              <w:t>23</w:t>
            </w:r>
            <w:r>
              <w:rPr>
                <w:rFonts w:ascii="宋体" w:eastAsia="宋体" w:hAnsi="宋体" w:hint="eastAsia"/>
                <w:kern w:val="0"/>
                <w:sz w:val="24"/>
                <w:szCs w:val="24"/>
              </w:rPr>
              <w:t>日</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基金管理人名称</w:t>
            </w:r>
          </w:p>
        </w:tc>
        <w:tc>
          <w:tcPr>
            <w:tcW w:w="5953" w:type="dxa"/>
          </w:tcPr>
          <w:p w:rsidR="00680DCC" w:rsidRDefault="001158F2">
            <w:pPr>
              <w:spacing w:line="360" w:lineRule="auto"/>
              <w:rPr>
                <w:rFonts w:ascii="宋体" w:eastAsia="宋体" w:hAnsi="宋体"/>
                <w:kern w:val="0"/>
                <w:sz w:val="24"/>
                <w:szCs w:val="24"/>
              </w:rPr>
            </w:pPr>
            <w:r>
              <w:rPr>
                <w:rFonts w:ascii="宋体" w:eastAsia="宋体" w:hAnsi="宋体" w:hint="eastAsia"/>
                <w:kern w:val="0"/>
                <w:sz w:val="24"/>
                <w:szCs w:val="24"/>
              </w:rPr>
              <w:t>招商证券资产管理有限公司</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基金托管人名称</w:t>
            </w:r>
          </w:p>
        </w:tc>
        <w:tc>
          <w:tcPr>
            <w:tcW w:w="5953" w:type="dxa"/>
          </w:tcPr>
          <w:p w:rsidR="00680DCC" w:rsidRDefault="004C1F2A">
            <w:pPr>
              <w:spacing w:line="360" w:lineRule="auto"/>
              <w:rPr>
                <w:rFonts w:ascii="宋体" w:eastAsia="宋体" w:hAnsi="宋体"/>
                <w:kern w:val="0"/>
                <w:sz w:val="24"/>
                <w:szCs w:val="24"/>
              </w:rPr>
            </w:pPr>
            <w:r w:rsidRPr="004C1F2A">
              <w:rPr>
                <w:rFonts w:ascii="宋体" w:eastAsia="宋体" w:hAnsi="宋体"/>
                <w:kern w:val="0"/>
                <w:sz w:val="24"/>
                <w:szCs w:val="24"/>
              </w:rPr>
              <w:t>中国建设银行股份有限公司</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基金注册登记机构名称</w:t>
            </w:r>
          </w:p>
        </w:tc>
        <w:tc>
          <w:tcPr>
            <w:tcW w:w="5953" w:type="dxa"/>
          </w:tcPr>
          <w:p w:rsidR="00680DCC" w:rsidRDefault="001158F2">
            <w:pPr>
              <w:spacing w:line="360" w:lineRule="auto"/>
              <w:rPr>
                <w:rFonts w:ascii="宋体" w:eastAsia="宋体" w:hAnsi="宋体"/>
                <w:kern w:val="0"/>
                <w:sz w:val="24"/>
                <w:szCs w:val="24"/>
              </w:rPr>
            </w:pPr>
            <w:r>
              <w:rPr>
                <w:rFonts w:ascii="宋体" w:eastAsia="宋体" w:hAnsi="宋体" w:hint="eastAsia"/>
                <w:kern w:val="0"/>
                <w:sz w:val="24"/>
                <w:szCs w:val="24"/>
              </w:rPr>
              <w:t>招商证券股份有限公司</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公告依据</w:t>
            </w:r>
          </w:p>
        </w:tc>
        <w:tc>
          <w:tcPr>
            <w:tcW w:w="5953" w:type="dxa"/>
          </w:tcPr>
          <w:p w:rsidR="00680DCC" w:rsidRDefault="001158F2">
            <w:pPr>
              <w:spacing w:line="360" w:lineRule="auto"/>
              <w:rPr>
                <w:rFonts w:ascii="宋体" w:eastAsia="宋体" w:hAnsi="宋体"/>
                <w:kern w:val="0"/>
                <w:sz w:val="24"/>
                <w:szCs w:val="24"/>
              </w:rPr>
            </w:pPr>
            <w:r>
              <w:rPr>
                <w:rFonts w:ascii="宋体" w:eastAsia="宋体" w:hAnsi="宋体" w:hint="eastAsia"/>
                <w:sz w:val="24"/>
                <w:szCs w:val="24"/>
              </w:rPr>
              <w:t>《中华人民共和国证券投资基金法》及配套法规、《</w:t>
            </w:r>
            <w:r w:rsidR="004C1F2A">
              <w:rPr>
                <w:rFonts w:ascii="宋体" w:eastAsia="宋体" w:hAnsi="宋体" w:hint="eastAsia"/>
                <w:sz w:val="24"/>
                <w:szCs w:val="24"/>
              </w:rPr>
              <w:t>招商资管中证同业存单AAA指数7天持有期证券投资基金</w:t>
            </w:r>
            <w:r>
              <w:rPr>
                <w:rFonts w:ascii="宋体" w:eastAsia="宋体" w:hAnsi="宋体" w:hint="eastAsia"/>
                <w:sz w:val="24"/>
                <w:szCs w:val="24"/>
              </w:rPr>
              <w:t>基金合同》</w:t>
            </w:r>
            <w:r>
              <w:rPr>
                <w:rFonts w:ascii="宋体" w:eastAsia="宋体" w:hAnsi="宋体" w:hint="eastAsia"/>
                <w:sz w:val="24"/>
                <w:szCs w:val="24"/>
              </w:rPr>
              <w:t xml:space="preserve"> </w:t>
            </w:r>
            <w:r>
              <w:rPr>
                <w:rFonts w:ascii="宋体" w:eastAsia="宋体" w:hAnsi="宋体" w:hint="eastAsia"/>
                <w:sz w:val="24"/>
                <w:szCs w:val="24"/>
              </w:rPr>
              <w:t>《</w:t>
            </w:r>
            <w:r w:rsidR="004C1F2A">
              <w:rPr>
                <w:rFonts w:ascii="宋体" w:eastAsia="宋体" w:hAnsi="宋体" w:hint="eastAsia"/>
                <w:sz w:val="24"/>
                <w:szCs w:val="24"/>
              </w:rPr>
              <w:t>招商资管中证同业存单AAA指数7天持有期证券投资基金</w:t>
            </w:r>
            <w:r>
              <w:rPr>
                <w:rFonts w:ascii="宋体" w:eastAsia="宋体" w:hAnsi="宋体" w:hint="eastAsia"/>
                <w:sz w:val="24"/>
                <w:szCs w:val="24"/>
              </w:rPr>
              <w:t>招募说明书》</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申购起始日</w:t>
            </w:r>
          </w:p>
        </w:tc>
        <w:tc>
          <w:tcPr>
            <w:tcW w:w="5953" w:type="dxa"/>
          </w:tcPr>
          <w:p w:rsidR="00680DCC" w:rsidRPr="00593A18" w:rsidRDefault="00956F12">
            <w:pPr>
              <w:spacing w:line="360" w:lineRule="auto"/>
              <w:rPr>
                <w:rFonts w:ascii="宋体" w:eastAsia="宋体" w:hAnsi="宋体"/>
                <w:kern w:val="0"/>
                <w:sz w:val="24"/>
                <w:szCs w:val="24"/>
              </w:rPr>
            </w:pPr>
            <w:r w:rsidRPr="00593A18">
              <w:rPr>
                <w:rFonts w:ascii="宋体" w:eastAsia="宋体" w:hAnsi="宋体" w:hint="eastAsia"/>
                <w:sz w:val="24"/>
                <w:szCs w:val="24"/>
              </w:rPr>
              <w:t>2026年</w:t>
            </w:r>
            <w:r w:rsidR="00593A18" w:rsidRPr="00593A18">
              <w:rPr>
                <w:rFonts w:ascii="宋体" w:eastAsia="宋体" w:hAnsi="宋体" w:hint="eastAsia"/>
                <w:sz w:val="24"/>
                <w:szCs w:val="24"/>
              </w:rPr>
              <w:t>1</w:t>
            </w:r>
            <w:r w:rsidRPr="00593A18">
              <w:rPr>
                <w:rFonts w:ascii="宋体" w:eastAsia="宋体" w:hAnsi="宋体" w:hint="eastAsia"/>
                <w:sz w:val="24"/>
                <w:szCs w:val="24"/>
              </w:rPr>
              <w:t>月</w:t>
            </w:r>
            <w:r w:rsidR="00593A18" w:rsidRPr="00593A18">
              <w:rPr>
                <w:rFonts w:ascii="宋体" w:eastAsia="宋体" w:hAnsi="宋体" w:hint="eastAsia"/>
                <w:sz w:val="24"/>
                <w:szCs w:val="24"/>
              </w:rPr>
              <w:t>23</w:t>
            </w:r>
            <w:r w:rsidRPr="00593A18">
              <w:rPr>
                <w:rFonts w:ascii="宋体" w:eastAsia="宋体" w:hAnsi="宋体" w:hint="eastAsia"/>
                <w:sz w:val="24"/>
                <w:szCs w:val="24"/>
              </w:rPr>
              <w:t>日</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赎回起始日</w:t>
            </w:r>
          </w:p>
        </w:tc>
        <w:tc>
          <w:tcPr>
            <w:tcW w:w="5953" w:type="dxa"/>
          </w:tcPr>
          <w:p w:rsidR="00680DCC" w:rsidRPr="00593A18" w:rsidRDefault="00956F12">
            <w:pPr>
              <w:spacing w:line="360" w:lineRule="auto"/>
              <w:rPr>
                <w:rFonts w:ascii="宋体" w:eastAsia="宋体" w:hAnsi="宋体"/>
                <w:kern w:val="0"/>
                <w:sz w:val="24"/>
                <w:szCs w:val="24"/>
              </w:rPr>
            </w:pPr>
            <w:r w:rsidRPr="00593A18">
              <w:rPr>
                <w:rFonts w:ascii="宋体" w:eastAsia="宋体" w:hAnsi="宋体" w:hint="eastAsia"/>
                <w:sz w:val="24"/>
                <w:szCs w:val="24"/>
              </w:rPr>
              <w:t>2026年</w:t>
            </w:r>
            <w:r w:rsidR="00593A18" w:rsidRPr="00593A18">
              <w:rPr>
                <w:rFonts w:ascii="宋体" w:eastAsia="宋体" w:hAnsi="宋体" w:hint="eastAsia"/>
                <w:sz w:val="24"/>
                <w:szCs w:val="24"/>
              </w:rPr>
              <w:t>1</w:t>
            </w:r>
            <w:r w:rsidRPr="00593A18">
              <w:rPr>
                <w:rFonts w:ascii="宋体" w:eastAsia="宋体" w:hAnsi="宋体" w:hint="eastAsia"/>
                <w:sz w:val="24"/>
                <w:szCs w:val="24"/>
              </w:rPr>
              <w:t>月</w:t>
            </w:r>
            <w:r w:rsidR="00593A18" w:rsidRPr="00593A18">
              <w:rPr>
                <w:rFonts w:ascii="宋体" w:eastAsia="宋体" w:hAnsi="宋体" w:hint="eastAsia"/>
                <w:sz w:val="24"/>
                <w:szCs w:val="24"/>
              </w:rPr>
              <w:t>23</w:t>
            </w:r>
            <w:r w:rsidRPr="00593A18">
              <w:rPr>
                <w:rFonts w:ascii="宋体" w:eastAsia="宋体" w:hAnsi="宋体" w:hint="eastAsia"/>
                <w:sz w:val="24"/>
                <w:szCs w:val="24"/>
              </w:rPr>
              <w:t>日</w:t>
            </w:r>
          </w:p>
        </w:tc>
      </w:tr>
      <w:tr w:rsidR="00680DCC">
        <w:tc>
          <w:tcPr>
            <w:tcW w:w="2978" w:type="dxa"/>
          </w:tcPr>
          <w:p w:rsidR="00680DCC" w:rsidRDefault="001158F2">
            <w:pPr>
              <w:spacing w:line="360" w:lineRule="auto"/>
              <w:rPr>
                <w:rFonts w:ascii="宋体" w:eastAsia="宋体" w:hAnsi="宋体"/>
                <w:sz w:val="24"/>
                <w:szCs w:val="24"/>
              </w:rPr>
            </w:pPr>
            <w:r>
              <w:rPr>
                <w:rFonts w:ascii="宋体" w:eastAsia="宋体" w:hAnsi="宋体"/>
                <w:sz w:val="24"/>
                <w:szCs w:val="24"/>
              </w:rPr>
              <w:t>定期定额投资起始日</w:t>
            </w:r>
          </w:p>
        </w:tc>
        <w:tc>
          <w:tcPr>
            <w:tcW w:w="5953" w:type="dxa"/>
          </w:tcPr>
          <w:p w:rsidR="00680DCC" w:rsidRPr="00593A18" w:rsidRDefault="00956F12">
            <w:pPr>
              <w:spacing w:line="360" w:lineRule="auto"/>
              <w:rPr>
                <w:rFonts w:ascii="宋体" w:eastAsia="宋体" w:hAnsi="宋体"/>
                <w:kern w:val="0"/>
                <w:sz w:val="24"/>
                <w:szCs w:val="24"/>
              </w:rPr>
            </w:pPr>
            <w:r w:rsidRPr="00593A18">
              <w:rPr>
                <w:rFonts w:ascii="宋体" w:eastAsia="宋体" w:hAnsi="宋体" w:hint="eastAsia"/>
                <w:sz w:val="24"/>
                <w:szCs w:val="24"/>
              </w:rPr>
              <w:t>2026年</w:t>
            </w:r>
            <w:r w:rsidR="00593A18" w:rsidRPr="00593A18">
              <w:rPr>
                <w:rFonts w:ascii="宋体" w:eastAsia="宋体" w:hAnsi="宋体" w:hint="eastAsia"/>
                <w:sz w:val="24"/>
                <w:szCs w:val="24"/>
              </w:rPr>
              <w:t>1</w:t>
            </w:r>
            <w:r w:rsidRPr="00593A18">
              <w:rPr>
                <w:rFonts w:ascii="宋体" w:eastAsia="宋体" w:hAnsi="宋体" w:hint="eastAsia"/>
                <w:sz w:val="24"/>
                <w:szCs w:val="24"/>
              </w:rPr>
              <w:t>月</w:t>
            </w:r>
            <w:r w:rsidR="00593A18" w:rsidRPr="00593A18">
              <w:rPr>
                <w:rFonts w:ascii="宋体" w:eastAsia="宋体" w:hAnsi="宋体" w:hint="eastAsia"/>
                <w:sz w:val="24"/>
                <w:szCs w:val="24"/>
              </w:rPr>
              <w:t>23</w:t>
            </w:r>
            <w:r w:rsidRPr="00593A18">
              <w:rPr>
                <w:rFonts w:ascii="宋体" w:eastAsia="宋体" w:hAnsi="宋体" w:hint="eastAsia"/>
                <w:sz w:val="24"/>
                <w:szCs w:val="24"/>
              </w:rPr>
              <w:t>日</w:t>
            </w:r>
          </w:p>
        </w:tc>
      </w:tr>
    </w:tbl>
    <w:p w:rsidR="00680DCC" w:rsidRDefault="00680DCC">
      <w:pPr>
        <w:spacing w:line="360" w:lineRule="auto"/>
        <w:rPr>
          <w:rFonts w:ascii="宋体" w:eastAsia="宋体" w:hAnsi="宋体"/>
          <w:sz w:val="24"/>
          <w:szCs w:val="24"/>
        </w:rPr>
      </w:pPr>
      <w:bookmarkStart w:id="2" w:name="_Toc275961396"/>
    </w:p>
    <w:p w:rsidR="00680DCC" w:rsidRDefault="001158F2">
      <w:pPr>
        <w:pStyle w:val="a9"/>
        <w:numPr>
          <w:ilvl w:val="0"/>
          <w:numId w:val="1"/>
        </w:numPr>
        <w:spacing w:line="360" w:lineRule="auto"/>
        <w:rPr>
          <w:rFonts w:ascii="宋体" w:eastAsia="宋体" w:hAnsi="宋体"/>
          <w:b/>
          <w:bCs/>
          <w:sz w:val="24"/>
        </w:rPr>
      </w:pPr>
      <w:r>
        <w:rPr>
          <w:rFonts w:ascii="宋体" w:eastAsia="宋体" w:hAnsi="宋体"/>
          <w:b/>
          <w:bCs/>
          <w:sz w:val="24"/>
        </w:rPr>
        <w:t>日常申购、赎回</w:t>
      </w:r>
      <w:r>
        <w:rPr>
          <w:rFonts w:ascii="宋体" w:eastAsia="宋体" w:hAnsi="宋体" w:hint="eastAsia"/>
          <w:b/>
          <w:bCs/>
          <w:sz w:val="24"/>
        </w:rPr>
        <w:t>、</w:t>
      </w:r>
      <w:r>
        <w:rPr>
          <w:rFonts w:ascii="宋体" w:eastAsia="宋体" w:hAnsi="宋体"/>
          <w:b/>
          <w:bCs/>
          <w:sz w:val="24"/>
        </w:rPr>
        <w:t>定期定额投资业务的办理时间</w:t>
      </w:r>
      <w:bookmarkEnd w:id="2"/>
    </w:p>
    <w:p w:rsidR="002D5BFC" w:rsidRPr="002D5BFC" w:rsidRDefault="002D5BFC" w:rsidP="002D5BFC">
      <w:pPr>
        <w:spacing w:line="360" w:lineRule="auto"/>
        <w:ind w:firstLineChars="200" w:firstLine="480"/>
        <w:rPr>
          <w:rFonts w:ascii="宋体" w:eastAsia="宋体" w:hAnsi="宋体"/>
          <w:bCs/>
          <w:sz w:val="24"/>
          <w:szCs w:val="24"/>
        </w:rPr>
      </w:pPr>
      <w:r w:rsidRPr="002D5BFC">
        <w:rPr>
          <w:rFonts w:ascii="宋体" w:eastAsia="宋体" w:hAnsi="宋体" w:hint="eastAsia"/>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D5BFC" w:rsidRDefault="002D5BFC" w:rsidP="002D5BFC">
      <w:pPr>
        <w:spacing w:line="360" w:lineRule="auto"/>
        <w:ind w:firstLineChars="200" w:firstLine="480"/>
        <w:rPr>
          <w:rFonts w:ascii="宋体" w:eastAsia="宋体" w:hAnsi="宋体"/>
          <w:bCs/>
          <w:sz w:val="24"/>
          <w:szCs w:val="24"/>
        </w:rPr>
      </w:pPr>
      <w:r w:rsidRPr="002D5BFC">
        <w:rPr>
          <w:rFonts w:ascii="宋体" w:eastAsia="宋体" w:hAnsi="宋体" w:hint="eastAsia"/>
          <w:bCs/>
          <w:sz w:val="24"/>
          <w:szCs w:val="24"/>
        </w:rPr>
        <w:t>基金合同生效后，若出现新的证券交易市场、证券交易所交易时间变更、其他特殊情况或根据业务需要，基金管理人将视情况对前述开放日及开放时间进行</w:t>
      </w:r>
      <w:r w:rsidRPr="002D5BFC">
        <w:rPr>
          <w:rFonts w:ascii="宋体" w:eastAsia="宋体" w:hAnsi="宋体" w:hint="eastAsia"/>
          <w:bCs/>
          <w:sz w:val="24"/>
          <w:szCs w:val="24"/>
        </w:rPr>
        <w:lastRenderedPageBreak/>
        <w:t>相应的调整，但应在实施前依照</w:t>
      </w:r>
      <w:r>
        <w:rPr>
          <w:rFonts w:ascii="宋体" w:eastAsia="宋体" w:hAnsi="宋体" w:hint="eastAsia"/>
          <w:bCs/>
          <w:sz w:val="24"/>
          <w:szCs w:val="24"/>
        </w:rPr>
        <w:t>《公开募集证券投资基金信息披露管理办法》（以下简称《信息披露办法》）</w:t>
      </w:r>
      <w:r w:rsidRPr="002D5BFC">
        <w:rPr>
          <w:rFonts w:ascii="宋体" w:eastAsia="宋体" w:hAnsi="宋体" w:hint="eastAsia"/>
          <w:bCs/>
          <w:sz w:val="24"/>
          <w:szCs w:val="24"/>
        </w:rPr>
        <w:t>的有关规定在规定媒介上公告。</w:t>
      </w:r>
    </w:p>
    <w:p w:rsidR="00680DCC" w:rsidRDefault="00680DCC">
      <w:pPr>
        <w:spacing w:line="360" w:lineRule="auto"/>
        <w:ind w:firstLineChars="200" w:firstLine="480"/>
        <w:rPr>
          <w:rFonts w:ascii="宋体" w:eastAsia="宋体" w:hAnsi="宋体"/>
          <w:bCs/>
          <w:sz w:val="24"/>
          <w:szCs w:val="24"/>
        </w:rPr>
      </w:pPr>
    </w:p>
    <w:p w:rsidR="00680DCC" w:rsidRDefault="001158F2">
      <w:pPr>
        <w:pStyle w:val="a9"/>
        <w:numPr>
          <w:ilvl w:val="0"/>
          <w:numId w:val="1"/>
        </w:numPr>
        <w:spacing w:line="360" w:lineRule="auto"/>
        <w:ind w:left="357" w:hanging="357"/>
        <w:rPr>
          <w:rFonts w:ascii="宋体" w:eastAsia="宋体" w:hAnsi="宋体"/>
          <w:b/>
          <w:bCs/>
          <w:sz w:val="24"/>
        </w:rPr>
      </w:pPr>
      <w:bookmarkStart w:id="3" w:name="_Toc275961397"/>
      <w:r>
        <w:rPr>
          <w:rFonts w:ascii="宋体" w:eastAsia="宋体" w:hAnsi="宋体"/>
          <w:b/>
          <w:bCs/>
          <w:sz w:val="24"/>
        </w:rPr>
        <w:t>日常申购业务</w:t>
      </w:r>
      <w:bookmarkEnd w:id="3"/>
    </w:p>
    <w:p w:rsidR="00680DCC" w:rsidRDefault="001158F2">
      <w:pPr>
        <w:pStyle w:val="a9"/>
        <w:numPr>
          <w:ilvl w:val="0"/>
          <w:numId w:val="2"/>
        </w:numPr>
        <w:spacing w:after="0" w:line="360" w:lineRule="auto"/>
        <w:rPr>
          <w:rFonts w:ascii="宋体" w:eastAsia="宋体" w:hAnsi="宋体"/>
          <w:bCs/>
          <w:sz w:val="24"/>
        </w:rPr>
      </w:pPr>
      <w:r>
        <w:rPr>
          <w:rFonts w:ascii="宋体" w:eastAsia="宋体" w:hAnsi="宋体"/>
          <w:bCs/>
          <w:sz w:val="24"/>
        </w:rPr>
        <w:t>申购金额</w:t>
      </w:r>
      <w:r>
        <w:rPr>
          <w:rFonts w:ascii="宋体" w:eastAsia="宋体" w:hAnsi="宋体" w:hint="eastAsia"/>
          <w:bCs/>
          <w:sz w:val="24"/>
        </w:rPr>
        <w:t>的</w:t>
      </w:r>
      <w:r>
        <w:rPr>
          <w:rFonts w:ascii="宋体" w:eastAsia="宋体" w:hAnsi="宋体"/>
          <w:bCs/>
          <w:sz w:val="24"/>
        </w:rPr>
        <w:t>限制</w:t>
      </w:r>
    </w:p>
    <w:p w:rsidR="00680DCC" w:rsidRDefault="00112775">
      <w:pPr>
        <w:spacing w:line="360" w:lineRule="auto"/>
        <w:ind w:firstLineChars="200" w:firstLine="480"/>
        <w:rPr>
          <w:rFonts w:ascii="宋体" w:eastAsia="宋体" w:hAnsi="宋体"/>
          <w:bCs/>
          <w:sz w:val="24"/>
          <w:szCs w:val="24"/>
        </w:rPr>
      </w:pPr>
      <w:r w:rsidRPr="00112775">
        <w:rPr>
          <w:rFonts w:ascii="宋体" w:eastAsia="宋体" w:hAnsi="宋体" w:hint="eastAsia"/>
          <w:bCs/>
          <w:sz w:val="24"/>
          <w:szCs w:val="24"/>
        </w:rPr>
        <w:t>通过基金管理人网站或其他销售机构申购本基金的，每个基金账户每次单笔申购金额不得低于1元（含申购费），销售机构另有规定的，从其规定。投资者当期分配的基金收益，通过红利再投资方式转入持有本基金份额的，不受最低申购金额的限制。</w:t>
      </w:r>
    </w:p>
    <w:p w:rsidR="00680DCC" w:rsidRDefault="001158F2">
      <w:pPr>
        <w:pStyle w:val="a9"/>
        <w:numPr>
          <w:ilvl w:val="0"/>
          <w:numId w:val="2"/>
        </w:numPr>
        <w:spacing w:after="0" w:line="360" w:lineRule="auto"/>
        <w:rPr>
          <w:rFonts w:ascii="宋体" w:eastAsia="宋体" w:hAnsi="宋体"/>
          <w:bCs/>
          <w:sz w:val="24"/>
        </w:rPr>
      </w:pPr>
      <w:r>
        <w:rPr>
          <w:rFonts w:ascii="宋体" w:eastAsia="宋体" w:hAnsi="宋体"/>
          <w:bCs/>
          <w:sz w:val="24"/>
        </w:rPr>
        <w:t>申购</w:t>
      </w:r>
      <w:r w:rsidR="00BD0E18">
        <w:rPr>
          <w:rFonts w:ascii="宋体" w:eastAsia="宋体" w:hAnsi="宋体" w:hint="eastAsia"/>
          <w:bCs/>
          <w:sz w:val="24"/>
        </w:rPr>
        <w:t>费用</w:t>
      </w:r>
    </w:p>
    <w:p w:rsidR="0001415B" w:rsidRDefault="002A3DFC" w:rsidP="0001415B">
      <w:pPr>
        <w:spacing w:line="360" w:lineRule="auto"/>
        <w:ind w:firstLineChars="200" w:firstLine="480"/>
        <w:rPr>
          <w:rFonts w:ascii="宋体" w:eastAsia="宋体" w:hAnsi="宋体"/>
          <w:bCs/>
          <w:sz w:val="24"/>
          <w:szCs w:val="24"/>
        </w:rPr>
      </w:pPr>
      <w:r w:rsidRPr="002A3DFC">
        <w:rPr>
          <w:rFonts w:ascii="宋体" w:eastAsia="宋体" w:hAnsi="宋体" w:hint="eastAsia"/>
          <w:bCs/>
          <w:sz w:val="24"/>
          <w:szCs w:val="24"/>
        </w:rPr>
        <w:t>本基金不收取申购费。</w:t>
      </w:r>
    </w:p>
    <w:p w:rsidR="00680DCC" w:rsidRDefault="001158F2">
      <w:pPr>
        <w:pStyle w:val="a9"/>
        <w:numPr>
          <w:ilvl w:val="0"/>
          <w:numId w:val="2"/>
        </w:numPr>
        <w:spacing w:after="0" w:line="360" w:lineRule="auto"/>
        <w:rPr>
          <w:rFonts w:ascii="宋体" w:eastAsia="宋体" w:hAnsi="宋体"/>
          <w:bCs/>
          <w:sz w:val="24"/>
        </w:rPr>
      </w:pPr>
      <w:r>
        <w:rPr>
          <w:rFonts w:ascii="宋体" w:eastAsia="宋体" w:hAnsi="宋体"/>
          <w:bCs/>
          <w:sz w:val="24"/>
        </w:rPr>
        <w:t>其他与申购相关的事项</w:t>
      </w:r>
    </w:p>
    <w:p w:rsidR="00680DCC" w:rsidRPr="007773FE" w:rsidRDefault="007773FE">
      <w:pPr>
        <w:spacing w:line="360" w:lineRule="auto"/>
        <w:ind w:firstLineChars="200" w:firstLine="480"/>
        <w:rPr>
          <w:rFonts w:ascii="宋体" w:eastAsia="宋体" w:hAnsi="宋体"/>
          <w:kern w:val="0"/>
          <w:sz w:val="24"/>
          <w:szCs w:val="24"/>
        </w:rPr>
      </w:pPr>
      <w:r w:rsidRPr="007773FE">
        <w:rPr>
          <w:rFonts w:ascii="宋体" w:eastAsia="宋体" w:hAnsi="宋体" w:hint="eastAsia"/>
          <w:kern w:val="0"/>
          <w:sz w:val="24"/>
          <w:szCs w:val="24"/>
        </w:rPr>
        <w:t>本基金单一投资者单日申购金额不超过1000万元（个人投资者、公募资产管理产品、职业年金、企业年金计划、养老金产品除外）。公募资产管理产品的具体范围以基金管理人认定为准。基金管理人可以调整单一投资者单日申购金额上限，具体规定请参见更新的招募说明书或相关公告。</w:t>
      </w:r>
    </w:p>
    <w:p w:rsidR="00680DCC" w:rsidRDefault="00680DCC">
      <w:pPr>
        <w:spacing w:line="360" w:lineRule="auto"/>
        <w:ind w:firstLineChars="200" w:firstLine="480"/>
        <w:rPr>
          <w:rFonts w:ascii="宋体" w:eastAsia="宋体" w:hAnsi="宋体"/>
          <w:sz w:val="24"/>
          <w:szCs w:val="24"/>
        </w:rPr>
      </w:pPr>
    </w:p>
    <w:p w:rsidR="00680DCC" w:rsidRDefault="001158F2">
      <w:pPr>
        <w:pStyle w:val="a9"/>
        <w:numPr>
          <w:ilvl w:val="0"/>
          <w:numId w:val="1"/>
        </w:numPr>
        <w:spacing w:line="360" w:lineRule="auto"/>
        <w:ind w:left="357" w:hanging="357"/>
        <w:rPr>
          <w:rFonts w:ascii="宋体" w:eastAsia="宋体" w:hAnsi="宋体"/>
          <w:b/>
          <w:bCs/>
          <w:sz w:val="24"/>
        </w:rPr>
      </w:pPr>
      <w:bookmarkStart w:id="4" w:name="_Toc275961398"/>
      <w:r>
        <w:rPr>
          <w:rFonts w:ascii="宋体" w:eastAsia="宋体" w:hAnsi="宋体"/>
          <w:b/>
          <w:bCs/>
          <w:sz w:val="24"/>
        </w:rPr>
        <w:t>日常赎回业务</w:t>
      </w:r>
      <w:bookmarkEnd w:id="4"/>
    </w:p>
    <w:p w:rsidR="00680DCC" w:rsidRDefault="001158F2">
      <w:pPr>
        <w:pStyle w:val="a9"/>
        <w:numPr>
          <w:ilvl w:val="0"/>
          <w:numId w:val="3"/>
        </w:numPr>
        <w:spacing w:after="0" w:line="360" w:lineRule="auto"/>
        <w:rPr>
          <w:rFonts w:ascii="宋体" w:eastAsia="宋体" w:hAnsi="宋体"/>
          <w:bCs/>
          <w:sz w:val="24"/>
        </w:rPr>
      </w:pPr>
      <w:r>
        <w:rPr>
          <w:rFonts w:ascii="宋体" w:eastAsia="宋体" w:hAnsi="宋体"/>
          <w:bCs/>
          <w:sz w:val="24"/>
        </w:rPr>
        <w:t>赎回份额</w:t>
      </w:r>
      <w:r>
        <w:rPr>
          <w:rFonts w:ascii="宋体" w:eastAsia="宋体" w:hAnsi="宋体" w:hint="eastAsia"/>
          <w:bCs/>
          <w:sz w:val="24"/>
        </w:rPr>
        <w:t>的</w:t>
      </w:r>
      <w:r>
        <w:rPr>
          <w:rFonts w:ascii="宋体" w:eastAsia="宋体" w:hAnsi="宋体"/>
          <w:bCs/>
          <w:sz w:val="24"/>
        </w:rPr>
        <w:t>限制</w:t>
      </w:r>
    </w:p>
    <w:p w:rsidR="00680DCC" w:rsidRDefault="006D6D9F">
      <w:pPr>
        <w:spacing w:line="360" w:lineRule="auto"/>
        <w:ind w:firstLineChars="200" w:firstLine="480"/>
        <w:rPr>
          <w:rFonts w:ascii="宋体" w:eastAsia="宋体" w:hAnsi="宋体"/>
          <w:sz w:val="24"/>
          <w:szCs w:val="24"/>
        </w:rPr>
      </w:pPr>
      <w:r w:rsidRPr="006D6D9F">
        <w:rPr>
          <w:rFonts w:ascii="宋体" w:eastAsia="宋体" w:hAnsi="宋体" w:hint="eastAsia"/>
          <w:sz w:val="24"/>
          <w:szCs w:val="24"/>
        </w:rPr>
        <w:t>基金份额持有人可将其全部或部分基金份额赎回。单笔赎回申请最低份额为1份。登记机构或各销售机构对本基金赎回份额有其他规定的，以登记机构或各销售机构的业务规定为准。</w:t>
      </w:r>
    </w:p>
    <w:p w:rsidR="00680DCC" w:rsidRDefault="001158F2">
      <w:pPr>
        <w:pStyle w:val="a9"/>
        <w:numPr>
          <w:ilvl w:val="0"/>
          <w:numId w:val="3"/>
        </w:numPr>
        <w:spacing w:after="0" w:line="360" w:lineRule="auto"/>
        <w:rPr>
          <w:rFonts w:ascii="宋体" w:eastAsia="宋体" w:hAnsi="宋体"/>
          <w:bCs/>
          <w:sz w:val="24"/>
        </w:rPr>
      </w:pPr>
      <w:r>
        <w:rPr>
          <w:rFonts w:ascii="宋体" w:eastAsia="宋体" w:hAnsi="宋体"/>
          <w:bCs/>
          <w:sz w:val="24"/>
        </w:rPr>
        <w:t>赎回</w:t>
      </w:r>
      <w:r w:rsidR="00BD0E18">
        <w:rPr>
          <w:rFonts w:ascii="宋体" w:eastAsia="宋体" w:hAnsi="宋体" w:hint="eastAsia"/>
          <w:bCs/>
          <w:sz w:val="24"/>
        </w:rPr>
        <w:t>费用</w:t>
      </w:r>
    </w:p>
    <w:p w:rsidR="00680DCC" w:rsidRDefault="002C1FCE">
      <w:pPr>
        <w:spacing w:line="360" w:lineRule="auto"/>
        <w:ind w:firstLineChars="200" w:firstLine="480"/>
        <w:rPr>
          <w:rFonts w:ascii="宋体" w:eastAsia="宋体" w:hAnsi="宋体"/>
          <w:sz w:val="24"/>
          <w:szCs w:val="24"/>
        </w:rPr>
      </w:pPr>
      <w:r w:rsidRPr="00B74627">
        <w:rPr>
          <w:rFonts w:ascii="宋体" w:eastAsia="宋体" w:hAnsi="宋体" w:hint="eastAsia"/>
          <w:sz w:val="24"/>
          <w:szCs w:val="24"/>
        </w:rPr>
        <w:t>本基金对投资者认购或申购的每份基金份额设有7天的最短持有期，基金份额持有人在开始开放赎回且满足最短持有期的情况下方可赎回，持有满7天赎回不收取赎回费用。</w:t>
      </w:r>
    </w:p>
    <w:p w:rsidR="00680DCC" w:rsidRDefault="001158F2">
      <w:pPr>
        <w:pStyle w:val="a9"/>
        <w:numPr>
          <w:ilvl w:val="0"/>
          <w:numId w:val="3"/>
        </w:numPr>
        <w:spacing w:after="0" w:line="360" w:lineRule="auto"/>
        <w:rPr>
          <w:rFonts w:ascii="宋体" w:eastAsia="宋体" w:hAnsi="宋体"/>
          <w:sz w:val="24"/>
        </w:rPr>
      </w:pPr>
      <w:r>
        <w:rPr>
          <w:rFonts w:ascii="宋体" w:eastAsia="宋体" w:hAnsi="宋体"/>
          <w:sz w:val="24"/>
        </w:rPr>
        <w:t>其他与赎回相关的事项</w:t>
      </w:r>
    </w:p>
    <w:p w:rsidR="00680DCC" w:rsidRDefault="007773FE">
      <w:pPr>
        <w:spacing w:line="360" w:lineRule="auto"/>
        <w:ind w:firstLineChars="200" w:firstLine="480"/>
        <w:rPr>
          <w:rFonts w:ascii="宋体" w:eastAsia="宋体" w:hAnsi="宋体"/>
          <w:sz w:val="24"/>
          <w:szCs w:val="24"/>
        </w:rPr>
      </w:pPr>
      <w:r w:rsidRPr="007773FE">
        <w:rPr>
          <w:rFonts w:ascii="宋体" w:eastAsia="宋体" w:hAnsi="宋体" w:hint="eastAsia"/>
          <w:sz w:val="24"/>
          <w:szCs w:val="24"/>
        </w:rPr>
        <w:t>每个工作日基金份额持有人在销售机构单个基金交易账户保留的本基金份额余额不足1份时，若当日该账户同时有份额减少类业务（如赎回、转换出等）</w:t>
      </w:r>
      <w:r w:rsidRPr="007773FE">
        <w:rPr>
          <w:rFonts w:ascii="宋体" w:eastAsia="宋体" w:hAnsi="宋体" w:hint="eastAsia"/>
          <w:sz w:val="24"/>
          <w:szCs w:val="24"/>
        </w:rPr>
        <w:lastRenderedPageBreak/>
        <w:t>被确认，则基金管理人有权将基金份额持有人在该账户保留的本基金份额余额一次性同时全部赎回。</w:t>
      </w:r>
    </w:p>
    <w:p w:rsidR="00680DCC" w:rsidRDefault="00680DCC">
      <w:pPr>
        <w:spacing w:line="360" w:lineRule="auto"/>
        <w:rPr>
          <w:rFonts w:ascii="宋体" w:eastAsia="宋体" w:hAnsi="宋体"/>
          <w:sz w:val="24"/>
          <w:szCs w:val="24"/>
        </w:rPr>
      </w:pPr>
    </w:p>
    <w:p w:rsidR="00680DCC" w:rsidRDefault="001158F2">
      <w:pPr>
        <w:pStyle w:val="a9"/>
        <w:numPr>
          <w:ilvl w:val="0"/>
          <w:numId w:val="1"/>
        </w:numPr>
        <w:spacing w:line="360" w:lineRule="auto"/>
        <w:rPr>
          <w:rFonts w:ascii="宋体" w:eastAsia="宋体" w:hAnsi="宋体"/>
          <w:b/>
          <w:bCs/>
          <w:sz w:val="24"/>
        </w:rPr>
      </w:pPr>
      <w:bookmarkStart w:id="5" w:name="_Toc275961399"/>
      <w:r>
        <w:rPr>
          <w:rFonts w:ascii="宋体" w:eastAsia="宋体" w:hAnsi="宋体"/>
          <w:b/>
          <w:bCs/>
          <w:sz w:val="24"/>
        </w:rPr>
        <w:t>日常转换业务</w:t>
      </w:r>
      <w:bookmarkEnd w:id="5"/>
    </w:p>
    <w:p w:rsidR="00680DCC" w:rsidRDefault="00B74627">
      <w:pPr>
        <w:spacing w:line="360" w:lineRule="auto"/>
        <w:ind w:firstLineChars="200" w:firstLine="480"/>
        <w:rPr>
          <w:rFonts w:ascii="宋体" w:eastAsia="宋体" w:hAnsi="宋体"/>
          <w:sz w:val="24"/>
          <w:szCs w:val="24"/>
        </w:rPr>
      </w:pPr>
      <w:r w:rsidRPr="00B74627">
        <w:rPr>
          <w:rFonts w:ascii="宋体" w:eastAsia="宋体" w:hAnsi="宋体"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680DCC" w:rsidRDefault="00680DCC">
      <w:pPr>
        <w:spacing w:line="360" w:lineRule="auto"/>
        <w:rPr>
          <w:rFonts w:ascii="宋体" w:eastAsia="宋体" w:hAnsi="宋体"/>
          <w:b/>
          <w:sz w:val="24"/>
          <w:szCs w:val="24"/>
        </w:rPr>
      </w:pPr>
    </w:p>
    <w:p w:rsidR="00680DCC" w:rsidRDefault="001158F2">
      <w:pPr>
        <w:pStyle w:val="a9"/>
        <w:numPr>
          <w:ilvl w:val="0"/>
          <w:numId w:val="1"/>
        </w:numPr>
        <w:spacing w:line="360" w:lineRule="auto"/>
        <w:rPr>
          <w:rFonts w:ascii="宋体" w:eastAsia="宋体" w:hAnsi="宋体"/>
          <w:b/>
          <w:bCs/>
          <w:sz w:val="24"/>
        </w:rPr>
      </w:pPr>
      <w:bookmarkStart w:id="6" w:name="_Toc275961400"/>
      <w:r>
        <w:rPr>
          <w:rFonts w:ascii="宋体" w:eastAsia="宋体" w:hAnsi="宋体"/>
          <w:b/>
          <w:bCs/>
          <w:sz w:val="24"/>
        </w:rPr>
        <w:t>定期定额投资业务</w:t>
      </w:r>
      <w:bookmarkEnd w:id="6"/>
    </w:p>
    <w:p w:rsidR="00680DCC" w:rsidRDefault="001B07AE">
      <w:pPr>
        <w:spacing w:line="360" w:lineRule="auto"/>
        <w:ind w:firstLineChars="200" w:firstLine="480"/>
        <w:rPr>
          <w:rFonts w:ascii="宋体" w:eastAsia="宋体" w:hAnsi="宋体"/>
          <w:sz w:val="24"/>
          <w:szCs w:val="24"/>
        </w:rPr>
      </w:pPr>
      <w:r w:rsidRPr="001B07AE">
        <w:rPr>
          <w:rFonts w:ascii="宋体" w:eastAsia="宋体" w:hAnsi="宋体"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80DCC" w:rsidRDefault="00680DCC">
      <w:pPr>
        <w:spacing w:line="360" w:lineRule="auto"/>
        <w:rPr>
          <w:rFonts w:ascii="宋体" w:eastAsia="宋体" w:hAnsi="宋体"/>
          <w:sz w:val="24"/>
          <w:szCs w:val="24"/>
        </w:rPr>
      </w:pPr>
    </w:p>
    <w:p w:rsidR="00680DCC" w:rsidRDefault="001158F2">
      <w:pPr>
        <w:pStyle w:val="a9"/>
        <w:numPr>
          <w:ilvl w:val="0"/>
          <w:numId w:val="1"/>
        </w:numPr>
        <w:spacing w:line="360" w:lineRule="auto"/>
        <w:rPr>
          <w:rFonts w:ascii="宋体" w:eastAsia="宋体" w:hAnsi="宋体"/>
          <w:b/>
          <w:bCs/>
          <w:sz w:val="24"/>
        </w:rPr>
      </w:pPr>
      <w:bookmarkStart w:id="7" w:name="_Toc275961401"/>
      <w:r>
        <w:rPr>
          <w:rFonts w:ascii="宋体" w:eastAsia="宋体" w:hAnsi="宋体"/>
          <w:b/>
          <w:bCs/>
          <w:sz w:val="24"/>
        </w:rPr>
        <w:t>基金销售机构</w:t>
      </w:r>
      <w:bookmarkEnd w:id="7"/>
    </w:p>
    <w:p w:rsidR="00680DCC" w:rsidRDefault="001158F2">
      <w:pPr>
        <w:spacing w:line="360" w:lineRule="auto"/>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1</w:t>
      </w:r>
      <w:r>
        <w:rPr>
          <w:rFonts w:ascii="宋体" w:eastAsia="宋体" w:hAnsi="宋体" w:hint="eastAsia"/>
          <w:bCs/>
          <w:sz w:val="24"/>
          <w:szCs w:val="24"/>
        </w:rPr>
        <w:t>）</w:t>
      </w:r>
      <w:r>
        <w:rPr>
          <w:rFonts w:ascii="宋体" w:eastAsia="宋体" w:hAnsi="宋体"/>
          <w:bCs/>
          <w:sz w:val="24"/>
          <w:szCs w:val="24"/>
        </w:rPr>
        <w:t>直销机构</w:t>
      </w:r>
    </w:p>
    <w:p w:rsidR="00680DCC" w:rsidRDefault="001158F2">
      <w:pPr>
        <w:spacing w:line="360" w:lineRule="auto"/>
        <w:ind w:firstLineChars="200" w:firstLine="480"/>
        <w:rPr>
          <w:rFonts w:ascii="宋体" w:eastAsia="宋体" w:hAnsi="宋体"/>
          <w:b/>
          <w:sz w:val="24"/>
          <w:szCs w:val="24"/>
        </w:rPr>
      </w:pPr>
      <w:r>
        <w:rPr>
          <w:rFonts w:ascii="宋体" w:eastAsia="宋体" w:hAnsi="宋体" w:hint="eastAsia"/>
          <w:bCs/>
          <w:sz w:val="24"/>
          <w:szCs w:val="24"/>
        </w:rPr>
        <w:t>招商证券资产管理有限公司</w:t>
      </w:r>
    </w:p>
    <w:p w:rsidR="00680DCC" w:rsidRDefault="001158F2">
      <w:pPr>
        <w:spacing w:line="360" w:lineRule="auto"/>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2</w:t>
      </w:r>
      <w:r>
        <w:rPr>
          <w:rFonts w:ascii="宋体" w:eastAsia="宋体" w:hAnsi="宋体" w:hint="eastAsia"/>
          <w:bCs/>
          <w:sz w:val="24"/>
          <w:szCs w:val="24"/>
        </w:rPr>
        <w:t>）代销</w:t>
      </w:r>
      <w:r>
        <w:rPr>
          <w:rFonts w:ascii="宋体" w:eastAsia="宋体" w:hAnsi="宋体"/>
          <w:bCs/>
          <w:sz w:val="24"/>
          <w:szCs w:val="24"/>
        </w:rPr>
        <w:t>机构</w:t>
      </w:r>
    </w:p>
    <w:p w:rsidR="00680DCC" w:rsidRDefault="001158F2">
      <w:pPr>
        <w:spacing w:line="360" w:lineRule="auto"/>
        <w:ind w:firstLineChars="200" w:firstLine="480"/>
        <w:rPr>
          <w:rFonts w:ascii="宋体" w:eastAsia="宋体" w:hAnsi="宋体"/>
          <w:sz w:val="24"/>
          <w:szCs w:val="24"/>
        </w:rPr>
      </w:pPr>
      <w:r>
        <w:rPr>
          <w:rFonts w:ascii="宋体" w:eastAsia="宋体" w:hAnsi="宋体" w:hint="eastAsia"/>
          <w:sz w:val="24"/>
          <w:szCs w:val="24"/>
        </w:rPr>
        <w:t>本基金代销机构信息详见基金管理人网站公示，敬请投资者留意。</w:t>
      </w:r>
    </w:p>
    <w:p w:rsidR="00680DCC" w:rsidRDefault="001158F2">
      <w:pPr>
        <w:spacing w:line="360" w:lineRule="auto"/>
        <w:ind w:firstLineChars="200" w:firstLine="480"/>
        <w:rPr>
          <w:rFonts w:ascii="宋体" w:eastAsia="宋体" w:hAnsi="宋体"/>
          <w:sz w:val="24"/>
          <w:szCs w:val="24"/>
        </w:rPr>
      </w:pPr>
      <w:r>
        <w:rPr>
          <w:rFonts w:ascii="宋体" w:eastAsia="宋体" w:hAnsi="宋体" w:hint="eastAsia"/>
          <w:sz w:val="24"/>
          <w:szCs w:val="24"/>
        </w:rPr>
        <w:t>基金管理人可依据实际情况增加或减少代销机构，并在基金管理人网站列示。</w:t>
      </w:r>
      <w:r>
        <w:rPr>
          <w:rFonts w:ascii="宋体" w:eastAsia="宋体" w:hAnsi="宋体"/>
          <w:sz w:val="24"/>
          <w:szCs w:val="24"/>
        </w:rPr>
        <w:t>投资者在各代销机构办理本基金认购业务请遵循各代销机构的业务规则与操作流程。</w:t>
      </w:r>
    </w:p>
    <w:p w:rsidR="00680DCC" w:rsidRDefault="00680DCC">
      <w:pPr>
        <w:spacing w:line="360" w:lineRule="auto"/>
        <w:rPr>
          <w:rFonts w:ascii="宋体" w:eastAsia="宋体" w:hAnsi="宋体"/>
          <w:sz w:val="24"/>
          <w:szCs w:val="24"/>
        </w:rPr>
      </w:pPr>
    </w:p>
    <w:p w:rsidR="00680DCC" w:rsidRDefault="001158F2">
      <w:pPr>
        <w:pStyle w:val="a9"/>
        <w:numPr>
          <w:ilvl w:val="0"/>
          <w:numId w:val="1"/>
        </w:numPr>
        <w:spacing w:line="360" w:lineRule="auto"/>
        <w:rPr>
          <w:bCs/>
        </w:rPr>
      </w:pPr>
      <w:bookmarkStart w:id="8" w:name="_Toc275961402"/>
      <w:r>
        <w:rPr>
          <w:rFonts w:ascii="宋体" w:eastAsia="宋体" w:hAnsi="宋体"/>
          <w:b/>
          <w:bCs/>
          <w:sz w:val="24"/>
        </w:rPr>
        <w:t>基金份额净值公告的披露安排</w:t>
      </w:r>
      <w:bookmarkEnd w:id="8"/>
    </w:p>
    <w:p w:rsidR="00680DCC" w:rsidRDefault="001158F2">
      <w:pPr>
        <w:pStyle w:val="a9"/>
        <w:numPr>
          <w:ilvl w:val="0"/>
          <w:numId w:val="4"/>
        </w:numPr>
        <w:spacing w:after="0" w:line="360" w:lineRule="auto"/>
        <w:jc w:val="both"/>
        <w:rPr>
          <w:rFonts w:ascii="宋体" w:eastAsia="宋体" w:hAnsi="宋体"/>
          <w:kern w:val="0"/>
          <w:sz w:val="24"/>
        </w:rPr>
      </w:pPr>
      <w:r>
        <w:rPr>
          <w:rFonts w:ascii="宋体" w:eastAsia="宋体" w:hAnsi="宋体"/>
          <w:kern w:val="0"/>
          <w:sz w:val="24"/>
        </w:rPr>
        <w:t>自</w:t>
      </w:r>
      <w:r w:rsidR="00011322">
        <w:rPr>
          <w:rFonts w:ascii="宋体" w:eastAsia="宋体" w:hAnsi="宋体" w:hint="eastAsia"/>
          <w:kern w:val="0"/>
          <w:sz w:val="24"/>
        </w:rPr>
        <w:t>2026年</w:t>
      </w:r>
      <w:r w:rsidR="00593A18" w:rsidRPr="00593A18">
        <w:rPr>
          <w:rFonts w:ascii="宋体" w:eastAsia="宋体" w:hAnsi="宋体" w:hint="eastAsia"/>
          <w:kern w:val="0"/>
          <w:sz w:val="24"/>
        </w:rPr>
        <w:t>1</w:t>
      </w:r>
      <w:r w:rsidR="00011322" w:rsidRPr="00593A18">
        <w:rPr>
          <w:rFonts w:ascii="宋体" w:eastAsia="宋体" w:hAnsi="宋体" w:hint="eastAsia"/>
          <w:kern w:val="0"/>
          <w:sz w:val="24"/>
        </w:rPr>
        <w:t>月</w:t>
      </w:r>
      <w:r w:rsidR="00593A18" w:rsidRPr="00593A18">
        <w:rPr>
          <w:rFonts w:ascii="宋体" w:eastAsia="宋体" w:hAnsi="宋体" w:hint="eastAsia"/>
          <w:kern w:val="0"/>
          <w:sz w:val="24"/>
        </w:rPr>
        <w:t>23</w:t>
      </w:r>
      <w:r w:rsidR="00011322" w:rsidRPr="00593A18">
        <w:rPr>
          <w:rFonts w:ascii="宋体" w:eastAsia="宋体" w:hAnsi="宋体" w:hint="eastAsia"/>
          <w:kern w:val="0"/>
          <w:sz w:val="24"/>
        </w:rPr>
        <w:t>日</w:t>
      </w:r>
      <w:r>
        <w:rPr>
          <w:rFonts w:ascii="宋体" w:eastAsia="宋体" w:hAnsi="宋体"/>
          <w:kern w:val="0"/>
          <w:sz w:val="24"/>
        </w:rPr>
        <w:t>起基金管理人应当在不晚于每个开放日的次日，通过规定网站、基金销售机构网站或者营业网点披露开放日各类基金份额的基金份额净值和基金份额累计净值。</w:t>
      </w:r>
    </w:p>
    <w:p w:rsidR="00680DCC" w:rsidRDefault="001158F2">
      <w:pPr>
        <w:pStyle w:val="a9"/>
        <w:numPr>
          <w:ilvl w:val="0"/>
          <w:numId w:val="4"/>
        </w:numPr>
        <w:spacing w:after="0" w:line="360" w:lineRule="auto"/>
        <w:jc w:val="both"/>
        <w:rPr>
          <w:rFonts w:ascii="宋体" w:eastAsia="宋体" w:hAnsi="宋体"/>
          <w:kern w:val="0"/>
          <w:sz w:val="24"/>
        </w:rPr>
      </w:pPr>
      <w:r>
        <w:rPr>
          <w:rFonts w:ascii="宋体" w:eastAsia="宋体" w:hAnsi="宋体"/>
          <w:kern w:val="0"/>
          <w:sz w:val="24"/>
        </w:rPr>
        <w:t>基金管理人应当在不晚于半年度和年度最后一日的次日，在规定网站披露半年度和年度最后一日各类基金份额的基金份额净值和基金份额累计净值。</w:t>
      </w:r>
    </w:p>
    <w:p w:rsidR="00680DCC" w:rsidRDefault="00680DCC">
      <w:pPr>
        <w:spacing w:line="360" w:lineRule="auto"/>
        <w:rPr>
          <w:rFonts w:ascii="宋体" w:eastAsia="宋体" w:hAnsi="宋体"/>
          <w:sz w:val="24"/>
        </w:rPr>
      </w:pPr>
    </w:p>
    <w:p w:rsidR="00680DCC" w:rsidRDefault="001158F2">
      <w:pPr>
        <w:pStyle w:val="a9"/>
        <w:numPr>
          <w:ilvl w:val="0"/>
          <w:numId w:val="1"/>
        </w:numPr>
        <w:spacing w:line="360" w:lineRule="auto"/>
        <w:rPr>
          <w:rFonts w:ascii="宋体" w:eastAsia="宋体" w:hAnsi="宋体"/>
          <w:b/>
          <w:bCs/>
          <w:sz w:val="24"/>
        </w:rPr>
      </w:pPr>
      <w:bookmarkStart w:id="9" w:name="_Toc275961403"/>
      <w:r>
        <w:rPr>
          <w:rFonts w:ascii="宋体" w:eastAsia="宋体" w:hAnsi="宋体"/>
          <w:b/>
          <w:bCs/>
          <w:sz w:val="24"/>
        </w:rPr>
        <w:t>其他需要提示的事项</w:t>
      </w:r>
      <w:bookmarkEnd w:id="9"/>
    </w:p>
    <w:p w:rsidR="00680DCC" w:rsidRDefault="001158F2">
      <w:pPr>
        <w:pStyle w:val="a9"/>
        <w:numPr>
          <w:ilvl w:val="0"/>
          <w:numId w:val="5"/>
        </w:numPr>
        <w:spacing w:line="360" w:lineRule="auto"/>
        <w:jc w:val="both"/>
        <w:rPr>
          <w:rFonts w:ascii="宋体" w:eastAsia="宋体" w:hAnsi="宋体"/>
          <w:kern w:val="0"/>
          <w:sz w:val="24"/>
        </w:rPr>
      </w:pPr>
      <w:r>
        <w:rPr>
          <w:rFonts w:ascii="宋体" w:eastAsia="宋体" w:hAnsi="宋体" w:hint="eastAsia"/>
          <w:kern w:val="0"/>
          <w:sz w:val="24"/>
        </w:rPr>
        <w:t>基金管理人可以规定本基金的总规模限额、单日申购金额限制和单日净申购比例上限、单一投资者单日或单笔申购金额上限，具体规定请参见更新的招募说明书或相关公告。</w:t>
      </w:r>
    </w:p>
    <w:p w:rsidR="00680DCC" w:rsidRDefault="001158F2">
      <w:pPr>
        <w:pStyle w:val="a9"/>
        <w:numPr>
          <w:ilvl w:val="0"/>
          <w:numId w:val="5"/>
        </w:numPr>
        <w:spacing w:line="360" w:lineRule="auto"/>
        <w:jc w:val="both"/>
        <w:rPr>
          <w:rFonts w:ascii="宋体" w:eastAsia="宋体" w:hAnsi="宋体"/>
          <w:kern w:val="0"/>
          <w:sz w:val="24"/>
        </w:rPr>
      </w:pPr>
      <w:r>
        <w:rPr>
          <w:rFonts w:ascii="宋体" w:eastAsia="宋体" w:hAnsi="宋体"/>
          <w:kern w:val="0"/>
          <w:sz w:val="24"/>
        </w:rPr>
        <w:t>本公告仅对本</w:t>
      </w:r>
      <w:r>
        <w:rPr>
          <w:rFonts w:ascii="宋体" w:eastAsia="宋体" w:hAnsi="宋体"/>
          <w:kern w:val="0"/>
          <w:sz w:val="24"/>
        </w:rPr>
        <w:t>基金开放申购、赎回等有关事项予以说明。投资者欲了解本基金的详细情况，请详细阅读</w:t>
      </w:r>
      <w:r w:rsidR="00AA37C8">
        <w:rPr>
          <w:rFonts w:ascii="宋体" w:eastAsia="宋体" w:hAnsi="宋体" w:hint="eastAsia"/>
          <w:kern w:val="0"/>
          <w:sz w:val="24"/>
        </w:rPr>
        <w:t>2025年</w:t>
      </w:r>
      <w:r w:rsidR="00637EE1">
        <w:rPr>
          <w:rFonts w:ascii="宋体" w:eastAsia="宋体" w:hAnsi="宋体" w:hint="eastAsia"/>
          <w:kern w:val="0"/>
          <w:sz w:val="24"/>
        </w:rPr>
        <w:t>12</w:t>
      </w:r>
      <w:r w:rsidR="00AA37C8">
        <w:rPr>
          <w:rFonts w:ascii="宋体" w:eastAsia="宋体" w:hAnsi="宋体" w:hint="eastAsia"/>
          <w:kern w:val="0"/>
          <w:sz w:val="24"/>
        </w:rPr>
        <w:t>月</w:t>
      </w:r>
      <w:r w:rsidR="00637EE1">
        <w:rPr>
          <w:rFonts w:ascii="宋体" w:eastAsia="宋体" w:hAnsi="宋体" w:hint="eastAsia"/>
          <w:kern w:val="0"/>
          <w:sz w:val="24"/>
        </w:rPr>
        <w:t>5</w:t>
      </w:r>
      <w:r w:rsidR="00AA37C8">
        <w:rPr>
          <w:rFonts w:ascii="宋体" w:eastAsia="宋体" w:hAnsi="宋体" w:hint="eastAsia"/>
          <w:kern w:val="0"/>
          <w:sz w:val="24"/>
        </w:rPr>
        <w:t>日</w:t>
      </w:r>
      <w:r>
        <w:rPr>
          <w:rFonts w:ascii="宋体" w:eastAsia="宋体" w:hAnsi="宋体"/>
          <w:kern w:val="0"/>
          <w:sz w:val="24"/>
        </w:rPr>
        <w:t>发布在中国证监会基金电子披露网站（</w:t>
      </w:r>
      <w:r>
        <w:rPr>
          <w:rFonts w:ascii="宋体" w:eastAsia="宋体" w:hAnsi="宋体"/>
          <w:kern w:val="0"/>
          <w:sz w:val="24"/>
        </w:rPr>
        <w:t>http://eid.csrc.gov.cn/fund</w:t>
      </w:r>
      <w:r>
        <w:rPr>
          <w:rFonts w:ascii="宋体" w:eastAsia="宋体" w:hAnsi="宋体"/>
          <w:kern w:val="0"/>
          <w:sz w:val="24"/>
        </w:rPr>
        <w:t>）和本公司网站（</w:t>
      </w:r>
      <w:r>
        <w:rPr>
          <w:rFonts w:ascii="宋体" w:eastAsia="宋体" w:hAnsi="宋体"/>
          <w:kern w:val="0"/>
          <w:sz w:val="24"/>
        </w:rPr>
        <w:t>https://amc.cmschina.com</w:t>
      </w:r>
      <w:r>
        <w:rPr>
          <w:rFonts w:ascii="宋体" w:eastAsia="宋体" w:hAnsi="宋体"/>
          <w:kern w:val="0"/>
          <w:sz w:val="24"/>
        </w:rPr>
        <w:t>）上的《</w:t>
      </w:r>
      <w:r w:rsidR="004C1F2A">
        <w:rPr>
          <w:rFonts w:ascii="宋体" w:eastAsia="宋体" w:hAnsi="宋体" w:hint="eastAsia"/>
          <w:sz w:val="24"/>
        </w:rPr>
        <w:t>招商资管中证同业存单AAA指数7天持有期证券投资基金</w:t>
      </w:r>
      <w:r>
        <w:rPr>
          <w:rFonts w:ascii="宋体" w:eastAsia="宋体" w:hAnsi="宋体" w:hint="eastAsia"/>
          <w:sz w:val="24"/>
        </w:rPr>
        <w:t>基金合同</w:t>
      </w: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kern w:val="0"/>
          <w:sz w:val="24"/>
        </w:rPr>
        <w:t>《</w:t>
      </w:r>
      <w:r w:rsidR="004C1F2A">
        <w:rPr>
          <w:rFonts w:ascii="宋体" w:eastAsia="宋体" w:hAnsi="宋体" w:hint="eastAsia"/>
          <w:sz w:val="24"/>
        </w:rPr>
        <w:t>招商资管中证同业存单AAA指数7天持有期证券投资基金</w:t>
      </w:r>
      <w:r>
        <w:rPr>
          <w:rFonts w:ascii="宋体" w:eastAsia="宋体" w:hAnsi="宋体" w:hint="eastAsia"/>
          <w:sz w:val="24"/>
        </w:rPr>
        <w:t>招募说明书</w:t>
      </w:r>
      <w:r>
        <w:rPr>
          <w:rFonts w:ascii="宋体" w:eastAsia="宋体" w:hAnsi="宋体"/>
          <w:kern w:val="0"/>
          <w:sz w:val="24"/>
        </w:rPr>
        <w:t>》和《</w:t>
      </w:r>
      <w:r w:rsidR="004C1F2A">
        <w:rPr>
          <w:rFonts w:ascii="宋体" w:eastAsia="宋体" w:hAnsi="宋体" w:hint="eastAsia"/>
          <w:sz w:val="24"/>
        </w:rPr>
        <w:t>招商资管中证同业存单AAA指数7天持有期证券投资基金</w:t>
      </w:r>
      <w:r>
        <w:rPr>
          <w:rFonts w:ascii="宋体" w:eastAsia="宋体" w:hAnsi="宋体"/>
          <w:kern w:val="0"/>
          <w:sz w:val="24"/>
        </w:rPr>
        <w:t>产品资料概要》</w:t>
      </w:r>
      <w:r>
        <w:rPr>
          <w:rFonts w:ascii="宋体" w:eastAsia="宋体" w:hAnsi="宋体" w:hint="eastAsia"/>
          <w:kern w:val="0"/>
          <w:sz w:val="24"/>
        </w:rPr>
        <w:t>等相关资料</w:t>
      </w:r>
      <w:r>
        <w:rPr>
          <w:rFonts w:ascii="宋体" w:eastAsia="宋体" w:hAnsi="宋体"/>
          <w:kern w:val="0"/>
          <w:sz w:val="24"/>
        </w:rPr>
        <w:t>。</w:t>
      </w:r>
    </w:p>
    <w:p w:rsidR="00680DCC" w:rsidRDefault="001158F2">
      <w:pPr>
        <w:pStyle w:val="a9"/>
        <w:numPr>
          <w:ilvl w:val="0"/>
          <w:numId w:val="5"/>
        </w:numPr>
        <w:spacing w:line="360" w:lineRule="auto"/>
        <w:jc w:val="both"/>
        <w:rPr>
          <w:rFonts w:ascii="宋体" w:eastAsia="宋体" w:hAnsi="宋体"/>
          <w:kern w:val="0"/>
          <w:sz w:val="24"/>
        </w:rPr>
      </w:pPr>
      <w:r>
        <w:rPr>
          <w:rFonts w:ascii="宋体" w:eastAsia="宋体" w:hAnsi="宋体"/>
          <w:kern w:val="0"/>
          <w:sz w:val="24"/>
        </w:rPr>
        <w:t>投资者在本基金代销机构办理基金业务，具体办理规则及程序请遵循各代销机构的规定。</w:t>
      </w:r>
    </w:p>
    <w:p w:rsidR="00680DCC" w:rsidRDefault="001158F2">
      <w:pPr>
        <w:pStyle w:val="a9"/>
        <w:numPr>
          <w:ilvl w:val="0"/>
          <w:numId w:val="5"/>
        </w:numPr>
        <w:spacing w:line="360" w:lineRule="auto"/>
        <w:jc w:val="both"/>
        <w:rPr>
          <w:rFonts w:ascii="宋体" w:eastAsia="宋体" w:hAnsi="宋体"/>
          <w:kern w:val="0"/>
          <w:sz w:val="24"/>
        </w:rPr>
      </w:pPr>
      <w:r>
        <w:rPr>
          <w:rFonts w:ascii="宋体" w:eastAsia="宋体" w:hAnsi="宋体"/>
          <w:kern w:val="0"/>
          <w:sz w:val="24"/>
        </w:rPr>
        <w:t>投资者可以登陆</w:t>
      </w:r>
      <w:r>
        <w:rPr>
          <w:rFonts w:ascii="宋体" w:eastAsia="宋体" w:hAnsi="宋体" w:hint="eastAsia"/>
          <w:kern w:val="0"/>
          <w:sz w:val="24"/>
        </w:rPr>
        <w:t>招商证券资产管理有限公司</w:t>
      </w:r>
      <w:r>
        <w:rPr>
          <w:rFonts w:ascii="宋体" w:eastAsia="宋体" w:hAnsi="宋体"/>
          <w:kern w:val="0"/>
          <w:sz w:val="24"/>
        </w:rPr>
        <w:t>网站</w:t>
      </w:r>
      <w:r>
        <w:rPr>
          <w:rFonts w:ascii="宋体" w:eastAsia="宋体" w:hAnsi="宋体" w:hint="eastAsia"/>
          <w:kern w:val="0"/>
          <w:sz w:val="24"/>
        </w:rPr>
        <w:t>（</w:t>
      </w:r>
      <w:r>
        <w:rPr>
          <w:rFonts w:ascii="宋体" w:eastAsia="宋体" w:hAnsi="宋体"/>
          <w:kern w:val="0"/>
          <w:sz w:val="24"/>
        </w:rPr>
        <w:t>https://amc.cmschina.com</w:t>
      </w:r>
      <w:r>
        <w:rPr>
          <w:rFonts w:ascii="宋体" w:eastAsia="宋体" w:hAnsi="宋体" w:hint="eastAsia"/>
          <w:kern w:val="0"/>
          <w:sz w:val="24"/>
        </w:rPr>
        <w:t>）</w:t>
      </w:r>
      <w:r>
        <w:rPr>
          <w:rFonts w:ascii="宋体" w:eastAsia="宋体" w:hAnsi="宋体"/>
          <w:kern w:val="0"/>
          <w:sz w:val="24"/>
        </w:rPr>
        <w:t>或</w:t>
      </w:r>
      <w:r>
        <w:rPr>
          <w:rFonts w:ascii="宋体" w:eastAsia="宋体" w:hAnsi="宋体" w:hint="eastAsia"/>
          <w:kern w:val="0"/>
          <w:sz w:val="24"/>
        </w:rPr>
        <w:t>拨打指定</w:t>
      </w:r>
      <w:r>
        <w:rPr>
          <w:rFonts w:ascii="宋体" w:eastAsia="宋体" w:hAnsi="宋体"/>
          <w:kern w:val="0"/>
          <w:sz w:val="24"/>
        </w:rPr>
        <w:t>客户服务热线</w:t>
      </w:r>
      <w:r>
        <w:rPr>
          <w:rFonts w:ascii="宋体" w:eastAsia="宋体" w:hAnsi="宋体" w:hint="eastAsia"/>
          <w:kern w:val="0"/>
          <w:sz w:val="24"/>
        </w:rPr>
        <w:t>95565</w:t>
      </w:r>
      <w:r>
        <w:rPr>
          <w:rFonts w:ascii="宋体" w:eastAsia="宋体" w:hAnsi="宋体"/>
          <w:kern w:val="0"/>
          <w:sz w:val="24"/>
        </w:rPr>
        <w:t>进行相关咨询。</w:t>
      </w:r>
    </w:p>
    <w:p w:rsidR="00680DCC" w:rsidRDefault="00680DCC">
      <w:pPr>
        <w:spacing w:line="360" w:lineRule="auto"/>
        <w:rPr>
          <w:rFonts w:ascii="宋体" w:eastAsia="宋体" w:hAnsi="宋体"/>
          <w:bCs/>
          <w:sz w:val="24"/>
          <w:szCs w:val="24"/>
        </w:rPr>
      </w:pPr>
    </w:p>
    <w:p w:rsidR="00680DCC" w:rsidRDefault="001158F2">
      <w:pPr>
        <w:spacing w:line="360" w:lineRule="auto"/>
        <w:rPr>
          <w:rFonts w:ascii="宋体" w:eastAsia="宋体" w:hAnsi="宋体"/>
          <w:bCs/>
          <w:sz w:val="24"/>
          <w:szCs w:val="24"/>
        </w:rPr>
      </w:pPr>
      <w:r>
        <w:rPr>
          <w:rFonts w:ascii="宋体" w:eastAsia="宋体" w:hAnsi="宋体" w:hint="eastAsia"/>
          <w:bCs/>
          <w:sz w:val="24"/>
          <w:szCs w:val="24"/>
        </w:rPr>
        <w:t>风险提示：</w:t>
      </w:r>
    </w:p>
    <w:p w:rsidR="00680DCC" w:rsidRDefault="001158F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基金管理人承诺以诚实信用、勤勉尽责的原则管理和运用基金资产，基金管理人不保证基金一定盈利，也不保证最低收益。基金的过往业绩及其净值高低并不预示其未来业绩表现。投资有风险，敬请投资者在投资基金前认真阅读基金合同、招募说明书和基金产品资料概要等基金法律文件，全面认识基金产品的风险</w:t>
      </w:r>
      <w:r>
        <w:rPr>
          <w:rFonts w:ascii="宋体" w:eastAsia="宋体" w:hAnsi="宋体" w:cs="宋体" w:hint="eastAsia"/>
          <w:sz w:val="24"/>
          <w:szCs w:val="24"/>
        </w:rPr>
        <w:t>收益特征，在了解产品情况及听取销售机构适当性意见的基础上，根据自身的风险承受能力、投资期限和投资目标，对基金投资作出独立决策，选择合适的基金产品。敬请投资者在购买基金前认真考虑、谨慎决策。</w:t>
      </w:r>
    </w:p>
    <w:p w:rsidR="00680DCC" w:rsidRDefault="00680DCC">
      <w:pPr>
        <w:spacing w:line="360" w:lineRule="auto"/>
        <w:rPr>
          <w:rFonts w:ascii="宋体" w:eastAsia="宋体" w:hAnsi="宋体" w:cs="宋体"/>
          <w:sz w:val="24"/>
          <w:szCs w:val="24"/>
          <w:shd w:val="clear" w:color="auto" w:fill="FFFFFF"/>
        </w:rPr>
      </w:pPr>
    </w:p>
    <w:p w:rsidR="00680DCC" w:rsidRDefault="001158F2" w:rsidP="001158F2">
      <w:pPr>
        <w:spacing w:beforeLines="50" w:line="360" w:lineRule="auto"/>
        <w:ind w:left="425"/>
        <w:rPr>
          <w:rFonts w:ascii="宋体" w:eastAsia="宋体" w:hAnsi="宋体"/>
          <w:sz w:val="24"/>
          <w:szCs w:val="24"/>
        </w:rPr>
      </w:pPr>
      <w:r>
        <w:rPr>
          <w:rFonts w:ascii="宋体" w:eastAsia="宋体" w:hAnsi="宋体" w:hint="eastAsia"/>
          <w:sz w:val="24"/>
          <w:szCs w:val="24"/>
        </w:rPr>
        <w:t>特此公告</w:t>
      </w:r>
    </w:p>
    <w:p w:rsidR="00680DCC" w:rsidRDefault="00680DCC" w:rsidP="001158F2">
      <w:pPr>
        <w:spacing w:beforeLines="50" w:line="360" w:lineRule="auto"/>
        <w:rPr>
          <w:rFonts w:ascii="宋体" w:eastAsia="宋体" w:hAnsi="宋体"/>
          <w:sz w:val="24"/>
          <w:szCs w:val="24"/>
        </w:rPr>
      </w:pPr>
    </w:p>
    <w:p w:rsidR="00680DCC" w:rsidRDefault="001158F2" w:rsidP="001158F2">
      <w:pPr>
        <w:spacing w:beforeLines="50" w:line="360" w:lineRule="auto"/>
        <w:jc w:val="right"/>
        <w:rPr>
          <w:rFonts w:ascii="宋体" w:eastAsia="宋体" w:hAnsi="宋体"/>
          <w:sz w:val="24"/>
          <w:szCs w:val="24"/>
        </w:rPr>
      </w:pPr>
      <w:r>
        <w:rPr>
          <w:rFonts w:ascii="宋体" w:eastAsia="宋体" w:hAnsi="宋体" w:hint="eastAsia"/>
          <w:sz w:val="24"/>
          <w:szCs w:val="24"/>
        </w:rPr>
        <w:t>招商证券资产管理有限公司</w:t>
      </w:r>
    </w:p>
    <w:p w:rsidR="00680DCC" w:rsidRDefault="003C5240" w:rsidP="00BF76B3">
      <w:pPr>
        <w:spacing w:beforeLines="50" w:line="360" w:lineRule="auto"/>
        <w:jc w:val="right"/>
        <w:rPr>
          <w:rFonts w:ascii="宋体" w:eastAsia="宋体" w:hAnsi="宋体"/>
          <w:sz w:val="24"/>
          <w:szCs w:val="24"/>
        </w:rPr>
      </w:pPr>
      <w:r w:rsidRPr="00593A18">
        <w:rPr>
          <w:rFonts w:ascii="宋体" w:eastAsia="宋体" w:hAnsi="宋体" w:hint="eastAsia"/>
          <w:sz w:val="24"/>
          <w:szCs w:val="24"/>
        </w:rPr>
        <w:t>2026年</w:t>
      </w:r>
      <w:r w:rsidR="00593A18" w:rsidRPr="00593A18">
        <w:rPr>
          <w:rFonts w:ascii="宋体" w:eastAsia="宋体" w:hAnsi="宋体" w:hint="eastAsia"/>
          <w:sz w:val="24"/>
          <w:szCs w:val="24"/>
        </w:rPr>
        <w:t>1</w:t>
      </w:r>
      <w:r w:rsidRPr="00593A18">
        <w:rPr>
          <w:rFonts w:ascii="宋体" w:eastAsia="宋体" w:hAnsi="宋体" w:hint="eastAsia"/>
          <w:sz w:val="24"/>
          <w:szCs w:val="24"/>
        </w:rPr>
        <w:t>月</w:t>
      </w:r>
      <w:r w:rsidR="00593A18" w:rsidRPr="00593A18">
        <w:rPr>
          <w:rFonts w:ascii="宋体" w:eastAsia="宋体" w:hAnsi="宋体" w:hint="eastAsia"/>
          <w:sz w:val="24"/>
          <w:szCs w:val="24"/>
        </w:rPr>
        <w:t>23</w:t>
      </w:r>
      <w:r w:rsidRPr="00593A18">
        <w:rPr>
          <w:rFonts w:ascii="宋体" w:eastAsia="宋体" w:hAnsi="宋体" w:hint="eastAsia"/>
          <w:sz w:val="24"/>
          <w:szCs w:val="24"/>
        </w:rPr>
        <w:t>日</w:t>
      </w:r>
    </w:p>
    <w:sectPr w:rsidR="00680DCC" w:rsidSect="00BF76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733E"/>
    <w:multiLevelType w:val="multilevel"/>
    <w:tmpl w:val="0820733E"/>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A99664E"/>
    <w:multiLevelType w:val="multilevel"/>
    <w:tmpl w:val="2A99664E"/>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57053227"/>
    <w:multiLevelType w:val="multilevel"/>
    <w:tmpl w:val="57053227"/>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1DE5173"/>
    <w:multiLevelType w:val="multilevel"/>
    <w:tmpl w:val="61DE5173"/>
    <w:lvl w:ilvl="0">
      <w:start w:val="1"/>
      <w:numFmt w:val="decimal"/>
      <w:lvlText w:val="%1."/>
      <w:lvlJc w:val="left"/>
      <w:pPr>
        <w:ind w:left="360" w:hanging="360"/>
      </w:pPr>
      <w:rPr>
        <w:rFonts w:ascii="宋体" w:eastAsia="宋体" w:hAnsi="宋体" w:hint="default"/>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70140FA6"/>
    <w:multiLevelType w:val="multilevel"/>
    <w:tmpl w:val="70140FA6"/>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WNmZTcyMzgwY2ZkMzdmM2Y1M2QzZjJlZmU3M2E5MjcifQ=="/>
  </w:docVars>
  <w:rsids>
    <w:rsidRoot w:val="00D42397"/>
    <w:rsid w:val="00011322"/>
    <w:rsid w:val="0001415B"/>
    <w:rsid w:val="00014E1B"/>
    <w:rsid w:val="0003349F"/>
    <w:rsid w:val="000354ED"/>
    <w:rsid w:val="00062100"/>
    <w:rsid w:val="00070D75"/>
    <w:rsid w:val="00080B2D"/>
    <w:rsid w:val="000A302F"/>
    <w:rsid w:val="000C0836"/>
    <w:rsid w:val="000C6D65"/>
    <w:rsid w:val="000C7EB5"/>
    <w:rsid w:val="00100685"/>
    <w:rsid w:val="00112775"/>
    <w:rsid w:val="001158F2"/>
    <w:rsid w:val="0015070C"/>
    <w:rsid w:val="0016294C"/>
    <w:rsid w:val="00184560"/>
    <w:rsid w:val="001955C0"/>
    <w:rsid w:val="001A6090"/>
    <w:rsid w:val="001B04FC"/>
    <w:rsid w:val="001B07AE"/>
    <w:rsid w:val="001C7517"/>
    <w:rsid w:val="001E5B4E"/>
    <w:rsid w:val="001F1CC0"/>
    <w:rsid w:val="001F551E"/>
    <w:rsid w:val="0023101E"/>
    <w:rsid w:val="00274696"/>
    <w:rsid w:val="00286497"/>
    <w:rsid w:val="00286AA3"/>
    <w:rsid w:val="00290BBB"/>
    <w:rsid w:val="002A3DFC"/>
    <w:rsid w:val="002A46F4"/>
    <w:rsid w:val="002A7E64"/>
    <w:rsid w:val="002C1FCE"/>
    <w:rsid w:val="002D2BBF"/>
    <w:rsid w:val="002D5BFC"/>
    <w:rsid w:val="003021B5"/>
    <w:rsid w:val="00302335"/>
    <w:rsid w:val="00303D08"/>
    <w:rsid w:val="003175FD"/>
    <w:rsid w:val="00346624"/>
    <w:rsid w:val="00352AB3"/>
    <w:rsid w:val="003538A7"/>
    <w:rsid w:val="003777F5"/>
    <w:rsid w:val="003A438C"/>
    <w:rsid w:val="003B7B5F"/>
    <w:rsid w:val="003C5240"/>
    <w:rsid w:val="003F3F4C"/>
    <w:rsid w:val="00421051"/>
    <w:rsid w:val="004310BE"/>
    <w:rsid w:val="004464E6"/>
    <w:rsid w:val="00473C7A"/>
    <w:rsid w:val="0048502F"/>
    <w:rsid w:val="00487D55"/>
    <w:rsid w:val="004938FA"/>
    <w:rsid w:val="004A2A46"/>
    <w:rsid w:val="004B2DBD"/>
    <w:rsid w:val="004B63D5"/>
    <w:rsid w:val="004C1F2A"/>
    <w:rsid w:val="004D0200"/>
    <w:rsid w:val="004D6F01"/>
    <w:rsid w:val="004F61EE"/>
    <w:rsid w:val="00502601"/>
    <w:rsid w:val="00512964"/>
    <w:rsid w:val="00521F59"/>
    <w:rsid w:val="00523753"/>
    <w:rsid w:val="005254C6"/>
    <w:rsid w:val="005263A7"/>
    <w:rsid w:val="00526F20"/>
    <w:rsid w:val="00546D2A"/>
    <w:rsid w:val="00571C96"/>
    <w:rsid w:val="00572DF9"/>
    <w:rsid w:val="005767FC"/>
    <w:rsid w:val="00580B8E"/>
    <w:rsid w:val="005855BE"/>
    <w:rsid w:val="00593A18"/>
    <w:rsid w:val="00595AEC"/>
    <w:rsid w:val="005A581F"/>
    <w:rsid w:val="005A674A"/>
    <w:rsid w:val="005B36B0"/>
    <w:rsid w:val="005B3D72"/>
    <w:rsid w:val="005C5E1B"/>
    <w:rsid w:val="005D61CA"/>
    <w:rsid w:val="005E0ADA"/>
    <w:rsid w:val="005E72EC"/>
    <w:rsid w:val="00623A13"/>
    <w:rsid w:val="0063126A"/>
    <w:rsid w:val="00637EE1"/>
    <w:rsid w:val="00663806"/>
    <w:rsid w:val="00675CED"/>
    <w:rsid w:val="00680DCC"/>
    <w:rsid w:val="006A4F7D"/>
    <w:rsid w:val="006C2C90"/>
    <w:rsid w:val="006D6D9F"/>
    <w:rsid w:val="006F6E35"/>
    <w:rsid w:val="006F75A7"/>
    <w:rsid w:val="00733BD0"/>
    <w:rsid w:val="00775720"/>
    <w:rsid w:val="007773FE"/>
    <w:rsid w:val="00784DE6"/>
    <w:rsid w:val="007A0DD2"/>
    <w:rsid w:val="007A28DA"/>
    <w:rsid w:val="007A699F"/>
    <w:rsid w:val="007B4652"/>
    <w:rsid w:val="007F4B04"/>
    <w:rsid w:val="007F6DA7"/>
    <w:rsid w:val="008139BE"/>
    <w:rsid w:val="00825F36"/>
    <w:rsid w:val="008320C9"/>
    <w:rsid w:val="0088342D"/>
    <w:rsid w:val="00887EBD"/>
    <w:rsid w:val="008A7240"/>
    <w:rsid w:val="008B00B1"/>
    <w:rsid w:val="008E05C3"/>
    <w:rsid w:val="008F030F"/>
    <w:rsid w:val="008F7788"/>
    <w:rsid w:val="009052E4"/>
    <w:rsid w:val="00914C1B"/>
    <w:rsid w:val="00915BBD"/>
    <w:rsid w:val="0092004E"/>
    <w:rsid w:val="00926E4F"/>
    <w:rsid w:val="00956F12"/>
    <w:rsid w:val="00957050"/>
    <w:rsid w:val="009603BB"/>
    <w:rsid w:val="0097426F"/>
    <w:rsid w:val="00974360"/>
    <w:rsid w:val="009813C3"/>
    <w:rsid w:val="00990592"/>
    <w:rsid w:val="00993122"/>
    <w:rsid w:val="009B3279"/>
    <w:rsid w:val="009B425B"/>
    <w:rsid w:val="009B6BB5"/>
    <w:rsid w:val="009C14A9"/>
    <w:rsid w:val="009D0A4C"/>
    <w:rsid w:val="009D2D3C"/>
    <w:rsid w:val="009F14F8"/>
    <w:rsid w:val="009F5537"/>
    <w:rsid w:val="00A11622"/>
    <w:rsid w:val="00A17049"/>
    <w:rsid w:val="00A37B79"/>
    <w:rsid w:val="00A733DE"/>
    <w:rsid w:val="00A80C71"/>
    <w:rsid w:val="00A85276"/>
    <w:rsid w:val="00AA37C8"/>
    <w:rsid w:val="00AC703B"/>
    <w:rsid w:val="00AC7B97"/>
    <w:rsid w:val="00AD31E4"/>
    <w:rsid w:val="00AD51C5"/>
    <w:rsid w:val="00AE37DE"/>
    <w:rsid w:val="00AE523A"/>
    <w:rsid w:val="00B00B69"/>
    <w:rsid w:val="00B34E75"/>
    <w:rsid w:val="00B73935"/>
    <w:rsid w:val="00B74627"/>
    <w:rsid w:val="00B844DB"/>
    <w:rsid w:val="00BA302D"/>
    <w:rsid w:val="00BA679A"/>
    <w:rsid w:val="00BD0E18"/>
    <w:rsid w:val="00BE4949"/>
    <w:rsid w:val="00BE5DE3"/>
    <w:rsid w:val="00BF44CA"/>
    <w:rsid w:val="00BF76B3"/>
    <w:rsid w:val="00C41EAA"/>
    <w:rsid w:val="00C43E24"/>
    <w:rsid w:val="00C45177"/>
    <w:rsid w:val="00C51C4D"/>
    <w:rsid w:val="00C57532"/>
    <w:rsid w:val="00C611C6"/>
    <w:rsid w:val="00C640CF"/>
    <w:rsid w:val="00C6570B"/>
    <w:rsid w:val="00C730F0"/>
    <w:rsid w:val="00C8431A"/>
    <w:rsid w:val="00C90F0C"/>
    <w:rsid w:val="00CA39BA"/>
    <w:rsid w:val="00CC7ADA"/>
    <w:rsid w:val="00CE4706"/>
    <w:rsid w:val="00CE529D"/>
    <w:rsid w:val="00D119E4"/>
    <w:rsid w:val="00D42397"/>
    <w:rsid w:val="00D427FB"/>
    <w:rsid w:val="00D47299"/>
    <w:rsid w:val="00D55046"/>
    <w:rsid w:val="00D623D5"/>
    <w:rsid w:val="00D81B9D"/>
    <w:rsid w:val="00D9450C"/>
    <w:rsid w:val="00DA0A15"/>
    <w:rsid w:val="00DA263C"/>
    <w:rsid w:val="00DB290D"/>
    <w:rsid w:val="00DB54A9"/>
    <w:rsid w:val="00DC5A66"/>
    <w:rsid w:val="00DE2D9B"/>
    <w:rsid w:val="00DE472E"/>
    <w:rsid w:val="00DF3116"/>
    <w:rsid w:val="00DF57CF"/>
    <w:rsid w:val="00E04393"/>
    <w:rsid w:val="00E22245"/>
    <w:rsid w:val="00E45413"/>
    <w:rsid w:val="00E46068"/>
    <w:rsid w:val="00E67328"/>
    <w:rsid w:val="00E7281E"/>
    <w:rsid w:val="00E80519"/>
    <w:rsid w:val="00EA0589"/>
    <w:rsid w:val="00EA094E"/>
    <w:rsid w:val="00EA096D"/>
    <w:rsid w:val="00EB5D23"/>
    <w:rsid w:val="00EC3B3E"/>
    <w:rsid w:val="00ED0643"/>
    <w:rsid w:val="00F012CC"/>
    <w:rsid w:val="00F04DE3"/>
    <w:rsid w:val="00F13674"/>
    <w:rsid w:val="00F223AF"/>
    <w:rsid w:val="00F50311"/>
    <w:rsid w:val="00F53027"/>
    <w:rsid w:val="00F55C25"/>
    <w:rsid w:val="00F71F4F"/>
    <w:rsid w:val="00FA6853"/>
    <w:rsid w:val="00FA7789"/>
    <w:rsid w:val="00FC0F09"/>
    <w:rsid w:val="00FC6DFB"/>
    <w:rsid w:val="00FF0D20"/>
    <w:rsid w:val="00FF6D8B"/>
    <w:rsid w:val="341B3E07"/>
    <w:rsid w:val="376D2CCE"/>
    <w:rsid w:val="50733B43"/>
    <w:rsid w:val="5275103A"/>
    <w:rsid w:val="70B054D2"/>
    <w:rsid w:val="77A63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F76B3"/>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BF76B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1"/>
    <w:autoRedefine/>
    <w:unhideWhenUsed/>
    <w:qFormat/>
    <w:rsid w:val="00BF76B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autoRedefine/>
    <w:uiPriority w:val="9"/>
    <w:semiHidden/>
    <w:unhideWhenUsed/>
    <w:qFormat/>
    <w:rsid w:val="00BF76B3"/>
    <w:pPr>
      <w:keepNext/>
      <w:keepLines/>
      <w:spacing w:before="160" w:after="80" w:line="278" w:lineRule="auto"/>
      <w:jc w:val="left"/>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autoRedefine/>
    <w:uiPriority w:val="9"/>
    <w:semiHidden/>
    <w:unhideWhenUsed/>
    <w:qFormat/>
    <w:rsid w:val="00BF76B3"/>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autoRedefine/>
    <w:uiPriority w:val="9"/>
    <w:semiHidden/>
    <w:unhideWhenUsed/>
    <w:qFormat/>
    <w:rsid w:val="00BF76B3"/>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autoRedefine/>
    <w:uiPriority w:val="9"/>
    <w:semiHidden/>
    <w:unhideWhenUsed/>
    <w:qFormat/>
    <w:rsid w:val="00BF76B3"/>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rPr>
  </w:style>
  <w:style w:type="paragraph" w:styleId="7">
    <w:name w:val="heading 7"/>
    <w:basedOn w:val="a"/>
    <w:next w:val="a"/>
    <w:link w:val="7Char"/>
    <w:uiPriority w:val="9"/>
    <w:semiHidden/>
    <w:unhideWhenUsed/>
    <w:qFormat/>
    <w:rsid w:val="00BF76B3"/>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rPr>
  </w:style>
  <w:style w:type="paragraph" w:styleId="8">
    <w:name w:val="heading 8"/>
    <w:basedOn w:val="a"/>
    <w:next w:val="a"/>
    <w:link w:val="8Char"/>
    <w:autoRedefine/>
    <w:uiPriority w:val="9"/>
    <w:semiHidden/>
    <w:unhideWhenUsed/>
    <w:qFormat/>
    <w:rsid w:val="00BF76B3"/>
    <w:pPr>
      <w:keepNext/>
      <w:keepLines/>
      <w:spacing w:line="278" w:lineRule="auto"/>
      <w:jc w:val="left"/>
      <w:outlineLvl w:val="7"/>
    </w:pPr>
    <w:rPr>
      <w:rFonts w:asciiTheme="minorHAnsi" w:eastAsiaTheme="minorEastAsia" w:hAnsiTheme="minorHAnsi" w:cstheme="majorBidi"/>
      <w:color w:val="595959" w:themeColor="text1" w:themeTint="A6"/>
      <w:sz w:val="22"/>
      <w:szCs w:val="24"/>
    </w:rPr>
  </w:style>
  <w:style w:type="paragraph" w:styleId="9">
    <w:name w:val="heading 9"/>
    <w:basedOn w:val="a"/>
    <w:next w:val="a"/>
    <w:link w:val="9Char"/>
    <w:uiPriority w:val="9"/>
    <w:semiHidden/>
    <w:unhideWhenUsed/>
    <w:qFormat/>
    <w:rsid w:val="00BF76B3"/>
    <w:pPr>
      <w:keepNext/>
      <w:keepLines/>
      <w:spacing w:line="278" w:lineRule="auto"/>
      <w:jc w:val="left"/>
      <w:outlineLvl w:val="8"/>
    </w:pPr>
    <w:rPr>
      <w:rFonts w:asciiTheme="minorHAnsi" w:eastAsiaTheme="majorEastAsia" w:hAnsiTheme="minorHAnsi"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autoRedefine/>
    <w:uiPriority w:val="11"/>
    <w:qFormat/>
    <w:rsid w:val="00BF76B3"/>
    <w:p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paragraph" w:styleId="a4">
    <w:name w:val="footnote text"/>
    <w:basedOn w:val="a"/>
    <w:link w:val="Char0"/>
    <w:qFormat/>
    <w:rsid w:val="00BF76B3"/>
    <w:pPr>
      <w:snapToGrid w:val="0"/>
      <w:jc w:val="left"/>
    </w:pPr>
    <w:rPr>
      <w:rFonts w:eastAsia="宋体"/>
      <w:sz w:val="18"/>
    </w:rPr>
  </w:style>
  <w:style w:type="paragraph" w:styleId="a5">
    <w:name w:val="Title"/>
    <w:basedOn w:val="a"/>
    <w:next w:val="a"/>
    <w:link w:val="Char1"/>
    <w:autoRedefine/>
    <w:qFormat/>
    <w:rsid w:val="00BF76B3"/>
    <w:pPr>
      <w:spacing w:after="80"/>
      <w:contextualSpacing/>
      <w:jc w:val="center"/>
    </w:pPr>
    <w:rPr>
      <w:rFonts w:asciiTheme="majorHAnsi" w:eastAsiaTheme="majorEastAsia" w:hAnsiTheme="majorHAnsi" w:cstheme="majorBidi"/>
      <w:spacing w:val="-10"/>
      <w:kern w:val="28"/>
      <w:sz w:val="56"/>
      <w:szCs w:val="56"/>
    </w:rPr>
  </w:style>
  <w:style w:type="character" w:styleId="a6">
    <w:name w:val="Hyperlink"/>
    <w:basedOn w:val="a0"/>
    <w:autoRedefine/>
    <w:uiPriority w:val="99"/>
    <w:unhideWhenUsed/>
    <w:qFormat/>
    <w:rsid w:val="00BF76B3"/>
    <w:rPr>
      <w:color w:val="467886" w:themeColor="hyperlink"/>
      <w:u w:val="single"/>
    </w:rPr>
  </w:style>
  <w:style w:type="character" w:styleId="a7">
    <w:name w:val="footnote reference"/>
    <w:qFormat/>
    <w:rsid w:val="00BF76B3"/>
    <w:rPr>
      <w:vertAlign w:val="superscript"/>
    </w:rPr>
  </w:style>
  <w:style w:type="character" w:customStyle="1" w:styleId="1Char">
    <w:name w:val="标题 1 Char"/>
    <w:basedOn w:val="a0"/>
    <w:link w:val="1"/>
    <w:uiPriority w:val="9"/>
    <w:qFormat/>
    <w:rsid w:val="00BF76B3"/>
    <w:rPr>
      <w:rFonts w:asciiTheme="majorHAnsi" w:eastAsiaTheme="majorEastAsia" w:hAnsiTheme="majorHAnsi" w:cstheme="majorBidi"/>
      <w:color w:val="0F4761" w:themeColor="accent1" w:themeShade="BF"/>
      <w:sz w:val="48"/>
      <w:szCs w:val="48"/>
    </w:rPr>
  </w:style>
  <w:style w:type="character" w:customStyle="1" w:styleId="2Char1">
    <w:name w:val="标题 2 Char1"/>
    <w:basedOn w:val="a0"/>
    <w:link w:val="2"/>
    <w:autoRedefine/>
    <w:uiPriority w:val="9"/>
    <w:semiHidden/>
    <w:qFormat/>
    <w:rsid w:val="00BF76B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autoRedefine/>
    <w:uiPriority w:val="9"/>
    <w:semiHidden/>
    <w:qFormat/>
    <w:rsid w:val="00BF76B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autoRedefine/>
    <w:uiPriority w:val="9"/>
    <w:semiHidden/>
    <w:qFormat/>
    <w:rsid w:val="00BF76B3"/>
    <w:rPr>
      <w:rFonts w:cstheme="majorBidi"/>
      <w:color w:val="0F4761" w:themeColor="accent1" w:themeShade="BF"/>
      <w:sz w:val="28"/>
      <w:szCs w:val="28"/>
    </w:rPr>
  </w:style>
  <w:style w:type="character" w:customStyle="1" w:styleId="5Char">
    <w:name w:val="标题 5 Char"/>
    <w:basedOn w:val="a0"/>
    <w:link w:val="5"/>
    <w:autoRedefine/>
    <w:uiPriority w:val="9"/>
    <w:semiHidden/>
    <w:qFormat/>
    <w:rsid w:val="00BF76B3"/>
    <w:rPr>
      <w:rFonts w:cstheme="majorBidi"/>
      <w:color w:val="0F4761" w:themeColor="accent1" w:themeShade="BF"/>
      <w:sz w:val="24"/>
    </w:rPr>
  </w:style>
  <w:style w:type="character" w:customStyle="1" w:styleId="6Char">
    <w:name w:val="标题 6 Char"/>
    <w:basedOn w:val="a0"/>
    <w:link w:val="6"/>
    <w:uiPriority w:val="9"/>
    <w:semiHidden/>
    <w:qFormat/>
    <w:rsid w:val="00BF76B3"/>
    <w:rPr>
      <w:rFonts w:cstheme="majorBidi"/>
      <w:b/>
      <w:bCs/>
      <w:color w:val="0F4761" w:themeColor="accent1" w:themeShade="BF"/>
    </w:rPr>
  </w:style>
  <w:style w:type="character" w:customStyle="1" w:styleId="7Char">
    <w:name w:val="标题 7 Char"/>
    <w:basedOn w:val="a0"/>
    <w:link w:val="7"/>
    <w:autoRedefine/>
    <w:uiPriority w:val="9"/>
    <w:semiHidden/>
    <w:qFormat/>
    <w:rsid w:val="00BF76B3"/>
    <w:rPr>
      <w:rFonts w:cstheme="majorBidi"/>
      <w:b/>
      <w:bCs/>
      <w:color w:val="595959" w:themeColor="text1" w:themeTint="A6"/>
    </w:rPr>
  </w:style>
  <w:style w:type="character" w:customStyle="1" w:styleId="8Char">
    <w:name w:val="标题 8 Char"/>
    <w:basedOn w:val="a0"/>
    <w:link w:val="8"/>
    <w:autoRedefine/>
    <w:uiPriority w:val="9"/>
    <w:semiHidden/>
    <w:qFormat/>
    <w:rsid w:val="00BF76B3"/>
    <w:rPr>
      <w:rFonts w:cstheme="majorBidi"/>
      <w:color w:val="595959" w:themeColor="text1" w:themeTint="A6"/>
    </w:rPr>
  </w:style>
  <w:style w:type="character" w:customStyle="1" w:styleId="9Char">
    <w:name w:val="标题 9 Char"/>
    <w:basedOn w:val="a0"/>
    <w:link w:val="9"/>
    <w:autoRedefine/>
    <w:uiPriority w:val="9"/>
    <w:semiHidden/>
    <w:qFormat/>
    <w:rsid w:val="00BF76B3"/>
    <w:rPr>
      <w:rFonts w:eastAsiaTheme="majorEastAsia" w:cstheme="majorBidi"/>
      <w:color w:val="595959" w:themeColor="text1" w:themeTint="A6"/>
    </w:rPr>
  </w:style>
  <w:style w:type="character" w:customStyle="1" w:styleId="Char1">
    <w:name w:val="标题 Char"/>
    <w:basedOn w:val="a0"/>
    <w:link w:val="a5"/>
    <w:autoRedefine/>
    <w:qFormat/>
    <w:rsid w:val="00BF76B3"/>
    <w:rPr>
      <w:rFonts w:asciiTheme="majorHAnsi" w:eastAsiaTheme="majorEastAsia" w:hAnsiTheme="majorHAnsi" w:cstheme="majorBidi"/>
      <w:spacing w:val="-10"/>
      <w:kern w:val="28"/>
      <w:sz w:val="56"/>
      <w:szCs w:val="56"/>
    </w:rPr>
  </w:style>
  <w:style w:type="character" w:customStyle="1" w:styleId="Char">
    <w:name w:val="副标题 Char"/>
    <w:basedOn w:val="a0"/>
    <w:link w:val="a3"/>
    <w:autoRedefine/>
    <w:uiPriority w:val="11"/>
    <w:qFormat/>
    <w:rsid w:val="00BF76B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2"/>
    <w:autoRedefine/>
    <w:uiPriority w:val="29"/>
    <w:qFormat/>
    <w:rsid w:val="00BF76B3"/>
    <w:pPr>
      <w:spacing w:before="160" w:after="160" w:line="278" w:lineRule="auto"/>
      <w:jc w:val="center"/>
    </w:pPr>
    <w:rPr>
      <w:rFonts w:asciiTheme="minorHAnsi" w:eastAsiaTheme="minorEastAsia" w:hAnsiTheme="minorHAnsi" w:cstheme="minorBidi"/>
      <w:i/>
      <w:iCs/>
      <w:color w:val="404040" w:themeColor="text1" w:themeTint="BF"/>
      <w:sz w:val="22"/>
      <w:szCs w:val="24"/>
    </w:rPr>
  </w:style>
  <w:style w:type="character" w:customStyle="1" w:styleId="Char2">
    <w:name w:val="引用 Char"/>
    <w:basedOn w:val="a0"/>
    <w:link w:val="a8"/>
    <w:autoRedefine/>
    <w:uiPriority w:val="29"/>
    <w:qFormat/>
    <w:rsid w:val="00BF76B3"/>
    <w:rPr>
      <w:i/>
      <w:iCs/>
      <w:color w:val="404040" w:themeColor="text1" w:themeTint="BF"/>
    </w:rPr>
  </w:style>
  <w:style w:type="paragraph" w:styleId="a9">
    <w:name w:val="List Paragraph"/>
    <w:basedOn w:val="a"/>
    <w:autoRedefine/>
    <w:uiPriority w:val="34"/>
    <w:qFormat/>
    <w:rsid w:val="00BF76B3"/>
    <w:pPr>
      <w:spacing w:after="160" w:line="278" w:lineRule="auto"/>
      <w:ind w:left="720"/>
      <w:contextualSpacing/>
      <w:jc w:val="left"/>
    </w:pPr>
    <w:rPr>
      <w:rFonts w:asciiTheme="minorHAnsi" w:eastAsiaTheme="minorEastAsia" w:hAnsiTheme="minorHAnsi" w:cstheme="minorBidi"/>
      <w:sz w:val="22"/>
      <w:szCs w:val="24"/>
    </w:rPr>
  </w:style>
  <w:style w:type="character" w:customStyle="1" w:styleId="10">
    <w:name w:val="明显强调1"/>
    <w:basedOn w:val="a0"/>
    <w:autoRedefine/>
    <w:uiPriority w:val="21"/>
    <w:qFormat/>
    <w:rsid w:val="00BF76B3"/>
    <w:rPr>
      <w:i/>
      <w:iCs/>
      <w:color w:val="0F4761" w:themeColor="accent1" w:themeShade="BF"/>
    </w:rPr>
  </w:style>
  <w:style w:type="paragraph" w:styleId="aa">
    <w:name w:val="Intense Quote"/>
    <w:basedOn w:val="a"/>
    <w:next w:val="a"/>
    <w:link w:val="Char3"/>
    <w:autoRedefine/>
    <w:uiPriority w:val="30"/>
    <w:qFormat/>
    <w:rsid w:val="00BF76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rPr>
  </w:style>
  <w:style w:type="character" w:customStyle="1" w:styleId="Char3">
    <w:name w:val="明显引用 Char"/>
    <w:basedOn w:val="a0"/>
    <w:link w:val="aa"/>
    <w:autoRedefine/>
    <w:uiPriority w:val="30"/>
    <w:qFormat/>
    <w:rsid w:val="00BF76B3"/>
    <w:rPr>
      <w:i/>
      <w:iCs/>
      <w:color w:val="0F4761" w:themeColor="accent1" w:themeShade="BF"/>
    </w:rPr>
  </w:style>
  <w:style w:type="character" w:customStyle="1" w:styleId="11">
    <w:name w:val="明显参考1"/>
    <w:basedOn w:val="a0"/>
    <w:autoRedefine/>
    <w:uiPriority w:val="32"/>
    <w:qFormat/>
    <w:rsid w:val="00BF76B3"/>
    <w:rPr>
      <w:b/>
      <w:bCs/>
      <w:smallCaps/>
      <w:color w:val="0F4761" w:themeColor="accent1" w:themeShade="BF"/>
      <w:spacing w:val="5"/>
    </w:rPr>
  </w:style>
  <w:style w:type="character" w:customStyle="1" w:styleId="2Char">
    <w:name w:val="标题 2 Char"/>
    <w:autoRedefine/>
    <w:qFormat/>
    <w:rsid w:val="00BF76B3"/>
    <w:rPr>
      <w:rFonts w:ascii="Arial" w:eastAsia="黑体" w:hAnsi="Arial"/>
      <w:b/>
      <w:bCs/>
      <w:kern w:val="2"/>
      <w:sz w:val="32"/>
      <w:szCs w:val="32"/>
      <w:lang w:val="en-US" w:eastAsia="zh-CN" w:bidi="ar-SA"/>
    </w:rPr>
  </w:style>
  <w:style w:type="character" w:customStyle="1" w:styleId="Char0">
    <w:name w:val="脚注文本 Char"/>
    <w:basedOn w:val="a0"/>
    <w:link w:val="a4"/>
    <w:autoRedefine/>
    <w:qFormat/>
    <w:rsid w:val="00BF76B3"/>
    <w:rPr>
      <w:rFonts w:ascii="Times New Roman" w:eastAsia="宋体" w:hAnsi="Times New Roman" w:cs="Times New Roman"/>
      <w:sz w:val="18"/>
      <w:szCs w:val="20"/>
    </w:rPr>
  </w:style>
  <w:style w:type="character" w:customStyle="1" w:styleId="12">
    <w:name w:val="未处理的提及1"/>
    <w:basedOn w:val="a0"/>
    <w:autoRedefine/>
    <w:uiPriority w:val="99"/>
    <w:semiHidden/>
    <w:unhideWhenUsed/>
    <w:qFormat/>
    <w:rsid w:val="00BF76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2131</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黎仕杰</dc:creator>
  <cp:lastModifiedBy>ZHONGM</cp:lastModifiedBy>
  <cp:revision>2</cp:revision>
  <cp:lastPrinted>2025-05-26T01:39:00Z</cp:lastPrinted>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7065A094B9ED46B1AFFDB6179123EC5A</vt:lpwstr>
  </property>
  <property fmtid="{D5CDD505-2E9C-101B-9397-08002B2CF9AE}" pid="4" name="_KSOProductBuildMID">
    <vt:lpwstr>CQWMD6B779VA00TGRVR80L0C7ZQMO7VR9X0XXJDWXGPRTQLTZRBJICJTFS6TPC8RXFMXLOLYZH078PNJRSFTQF8Q89D0WHLBASOOIHB3F1CE973773F5E350F2269B0BC8C4D2B0</vt:lpwstr>
  </property>
  <property fmtid="{D5CDD505-2E9C-101B-9397-08002B2CF9AE}" pid="5" name="_KSOProductBuildSID">
    <vt:lpwstr>SYWM86BA796A0VHGQVRNDL0C7NLMOSVREJ0XBJDWXGH8TDLTNRBR6CJAFSUTPB6RBFM6COLSZIWD8PXJRNFTRF8P89Q0WH5B8OODDHB3CEEFF91543B94115C1F3C862A75A176C</vt:lpwstr>
  </property>
</Properties>
</file>