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99" w:rsidRPr="00270EE2" w:rsidRDefault="00C53299" w:rsidP="00296D3A">
      <w:pPr>
        <w:pStyle w:val="a6"/>
        <w:adjustRightInd w:val="0"/>
        <w:snapToGrid w:val="0"/>
        <w:spacing w:line="500" w:lineRule="exact"/>
        <w:jc w:val="center"/>
        <w:rPr>
          <w:rFonts w:ascii="黑体" w:eastAsia="黑体" w:hAnsi="黑体"/>
          <w:b/>
          <w:sz w:val="30"/>
          <w:szCs w:val="30"/>
        </w:rPr>
      </w:pPr>
      <w:bookmarkStart w:id="0" w:name="_GoBack"/>
      <w:bookmarkEnd w:id="0"/>
      <w:r w:rsidRPr="00270EE2">
        <w:rPr>
          <w:rFonts w:ascii="黑体" w:eastAsia="黑体" w:hAnsi="黑体" w:hint="eastAsia"/>
          <w:b/>
          <w:sz w:val="30"/>
          <w:szCs w:val="30"/>
        </w:rPr>
        <w:t>天弘</w:t>
      </w:r>
      <w:r w:rsidRPr="00270EE2">
        <w:rPr>
          <w:rFonts w:ascii="黑体" w:eastAsia="黑体" w:hAnsi="黑体"/>
          <w:b/>
          <w:sz w:val="30"/>
          <w:szCs w:val="30"/>
        </w:rPr>
        <w:t>基金管理有限公司</w:t>
      </w:r>
      <w:r>
        <w:rPr>
          <w:rFonts w:ascii="黑体" w:eastAsia="黑体" w:hAnsi="黑体" w:hint="eastAsia"/>
          <w:b/>
          <w:sz w:val="30"/>
          <w:szCs w:val="30"/>
        </w:rPr>
        <w:t>关于旗下基金关联交易事项的</w:t>
      </w:r>
      <w:r w:rsidRPr="00270EE2">
        <w:rPr>
          <w:rFonts w:ascii="黑体" w:eastAsia="黑体" w:hAnsi="黑体"/>
          <w:b/>
          <w:sz w:val="30"/>
          <w:szCs w:val="30"/>
        </w:rPr>
        <w:t>公告</w:t>
      </w: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根据《</w:t>
      </w:r>
      <w:r w:rsidRPr="002867A0">
        <w:rPr>
          <w:rFonts w:ascii="仿宋_GB2312" w:eastAsia="仿宋_GB2312" w:hAnsiTheme="minorEastAsia" w:hint="eastAsia"/>
          <w:kern w:val="0"/>
          <w:sz w:val="24"/>
          <w:szCs w:val="24"/>
        </w:rPr>
        <w:t>中华人民共和国证券投资基金法</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公开</w:t>
      </w:r>
      <w:r>
        <w:rPr>
          <w:rFonts w:ascii="仿宋_GB2312" w:eastAsia="仿宋_GB2312" w:hAnsiTheme="minorEastAsia"/>
          <w:kern w:val="0"/>
          <w:sz w:val="24"/>
          <w:szCs w:val="24"/>
        </w:rPr>
        <w:t>募集证券投资基金运作管理办法》</w:t>
      </w:r>
      <w:r>
        <w:rPr>
          <w:rFonts w:ascii="仿宋_GB2312" w:eastAsia="仿宋_GB2312" w:hAnsiTheme="minorEastAsia" w:hint="eastAsia"/>
          <w:kern w:val="0"/>
          <w:sz w:val="24"/>
          <w:szCs w:val="24"/>
        </w:rPr>
        <w:t>、</w:t>
      </w:r>
      <w:r w:rsidRPr="00E41072">
        <w:rPr>
          <w:rFonts w:ascii="仿宋_GB2312" w:eastAsia="仿宋_GB2312" w:hAnsiTheme="minorEastAsia" w:hint="eastAsia"/>
          <w:kern w:val="0"/>
          <w:sz w:val="24"/>
          <w:szCs w:val="24"/>
        </w:rPr>
        <w:t>《公开募集证券投资基金信息披露管理办法》等有关规定，</w:t>
      </w:r>
      <w:r w:rsidRPr="006F2D4F">
        <w:rPr>
          <w:rFonts w:ascii="仿宋_GB2312" w:eastAsia="仿宋_GB2312" w:hAnsiTheme="minorEastAsia" w:hint="eastAsia"/>
          <w:kern w:val="0"/>
          <w:sz w:val="24"/>
          <w:szCs w:val="24"/>
        </w:rPr>
        <w:t>在履行规定审批程序并经基金托管人同意后，</w:t>
      </w:r>
      <w:r w:rsidRPr="00E41072">
        <w:rPr>
          <w:rFonts w:ascii="仿宋_GB2312" w:eastAsia="仿宋_GB2312" w:hAnsiTheme="minorEastAsia" w:hint="eastAsia"/>
          <w:kern w:val="0"/>
          <w:sz w:val="24"/>
          <w:szCs w:val="24"/>
        </w:rPr>
        <w:t>天弘基金管理有限公司</w:t>
      </w:r>
      <w:r w:rsidRPr="006F2D4F">
        <w:rPr>
          <w:rFonts w:ascii="仿宋_GB2312" w:eastAsia="仿宋_GB2312" w:hAnsiTheme="minorEastAsia" w:hint="eastAsia"/>
          <w:kern w:val="0"/>
          <w:sz w:val="24"/>
          <w:szCs w:val="24"/>
        </w:rPr>
        <w:t>（以下简称“本公司”）旗下</w:t>
      </w:r>
      <w:bookmarkStart w:id="1" w:name="PO_flagFund"/>
      <w:r w:rsidR="001F4F16">
        <w:rPr>
          <w:rFonts w:ascii="仿宋_GB2312" w:eastAsia="仿宋_GB2312" w:hAnsiTheme="minorEastAsia" w:hint="eastAsia"/>
          <w:kern w:val="0"/>
          <w:sz w:val="24"/>
          <w:szCs w:val="24"/>
        </w:rPr>
        <w:t>部分基金</w:t>
      </w:r>
      <w:bookmarkEnd w:id="1"/>
      <w:r w:rsidRPr="006F2D4F">
        <w:rPr>
          <w:rFonts w:ascii="仿宋_GB2312" w:eastAsia="仿宋_GB2312" w:hAnsiTheme="minorEastAsia" w:hint="eastAsia"/>
          <w:kern w:val="0"/>
          <w:sz w:val="24"/>
          <w:szCs w:val="24"/>
        </w:rPr>
        <w:t>参加了</w:t>
      </w:r>
      <w:bookmarkStart w:id="2" w:name="PO_addSubscriptionSituation"/>
      <w:r w:rsidR="001F4F16">
        <w:rPr>
          <w:rFonts w:ascii="仿宋_GB2312" w:eastAsia="仿宋_GB2312" w:hAnsiTheme="minorEastAsia" w:hint="eastAsia"/>
          <w:kern w:val="0"/>
          <w:sz w:val="24"/>
          <w:szCs w:val="24"/>
        </w:rPr>
        <w:t>深圳市恒运昌真空技术股份有限公司（以下简称“恒运昌”）首次公开发行股票的网下申购</w:t>
      </w:r>
      <w:bookmarkEnd w:id="2"/>
      <w:r w:rsidR="000F620F">
        <w:rPr>
          <w:rFonts w:ascii="仿宋_GB2312" w:eastAsia="仿宋_GB2312" w:hAnsiTheme="minorEastAsia" w:hint="eastAsia"/>
          <w:kern w:val="0"/>
          <w:sz w:val="24"/>
          <w:szCs w:val="24"/>
        </w:rPr>
        <w:t>，</w:t>
      </w:r>
      <w:bookmarkStart w:id="3" w:name="PO_addAgencyFundRelation"/>
      <w:r w:rsidR="001F4F16">
        <w:rPr>
          <w:rFonts w:ascii="仿宋_GB2312" w:eastAsia="仿宋_GB2312" w:hAnsiTheme="minorEastAsia" w:hint="eastAsia"/>
          <w:kern w:val="0"/>
          <w:sz w:val="24"/>
          <w:szCs w:val="24"/>
        </w:rPr>
        <w:t>本次发行的主承销商中信证券股份有限公司为上述基金的托管人或托管人的重要关联方</w:t>
      </w:r>
      <w:bookmarkEnd w:id="3"/>
      <w:r w:rsidRPr="00093B9B">
        <w:rPr>
          <w:rFonts w:ascii="仿宋_GB2312" w:eastAsia="仿宋_GB2312" w:hAnsiTheme="minorEastAsia" w:hint="eastAsia"/>
          <w:kern w:val="0"/>
          <w:sz w:val="24"/>
          <w:szCs w:val="24"/>
        </w:rPr>
        <w:t>。</w:t>
      </w:r>
      <w:bookmarkStart w:id="4" w:name="PO_securitiesName"/>
      <w:r w:rsidR="001F4F16">
        <w:rPr>
          <w:rFonts w:ascii="仿宋_GB2312" w:eastAsia="仿宋_GB2312" w:hAnsiTheme="minorEastAsia" w:hint="eastAsia"/>
          <w:kern w:val="0"/>
          <w:sz w:val="24"/>
          <w:szCs w:val="24"/>
        </w:rPr>
        <w:t>恒运昌</w:t>
      </w:r>
      <w:bookmarkEnd w:id="4"/>
      <w:r w:rsidRPr="00F3344F">
        <w:rPr>
          <w:rFonts w:ascii="仿宋_GB2312" w:eastAsia="仿宋_GB2312" w:hAnsiTheme="minorEastAsia" w:hint="eastAsia"/>
          <w:kern w:val="0"/>
          <w:sz w:val="24"/>
          <w:szCs w:val="24"/>
        </w:rPr>
        <w:t>发行价格为</w:t>
      </w:r>
      <w:bookmarkStart w:id="5" w:name="PO_unitPrice"/>
      <w:r w:rsidR="001F4F16">
        <w:rPr>
          <w:rFonts w:ascii="仿宋_GB2312" w:eastAsia="仿宋_GB2312" w:hAnsiTheme="minorEastAsia"/>
          <w:kern w:val="0"/>
          <w:sz w:val="24"/>
          <w:szCs w:val="24"/>
        </w:rPr>
        <w:t>92.18</w:t>
      </w:r>
      <w:bookmarkEnd w:id="5"/>
      <w:r w:rsidRPr="00F3344F">
        <w:rPr>
          <w:rFonts w:ascii="仿宋_GB2312" w:eastAsia="仿宋_GB2312" w:hAnsiTheme="minorEastAsia" w:hint="eastAsia"/>
          <w:kern w:val="0"/>
          <w:sz w:val="24"/>
          <w:szCs w:val="24"/>
        </w:rPr>
        <w:t>元/股，</w:t>
      </w:r>
      <w:bookmarkStart w:id="6" w:name="PO_priceBasis"/>
      <w:r w:rsidR="001F4F16">
        <w:rPr>
          <w:rFonts w:ascii="仿宋_GB2312" w:eastAsia="仿宋_GB2312" w:hAnsiTheme="minorEastAsia" w:hint="eastAsia"/>
          <w:kern w:val="0"/>
          <w:sz w:val="24"/>
          <w:szCs w:val="24"/>
        </w:rPr>
        <w:t>发行人和保荐人（主承销商）综合考虑剔除最高报价部分后的初步询价数据、公司盈利能力、未来成长性及可比公司估值水平等因素协商确定。</w:t>
      </w:r>
      <w:bookmarkEnd w:id="6"/>
    </w:p>
    <w:p w:rsidR="00C53299" w:rsidRPr="00F3344F"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现将获配结果披露如下</w:t>
      </w:r>
      <w:r w:rsidRPr="00EB688F">
        <w:rPr>
          <w:rFonts w:ascii="仿宋_GB2312" w:eastAsia="仿宋_GB2312" w:hAnsiTheme="minorEastAsia" w:hint="eastAsia"/>
          <w:kern w:val="0"/>
          <w:sz w:val="24"/>
          <w:szCs w:val="24"/>
        </w:rPr>
        <w:t>：</w:t>
      </w:r>
    </w:p>
    <w:tbl>
      <w:tblPr>
        <w:tblStyle w:val="a7"/>
        <w:tblW w:w="5000" w:type="pct"/>
        <w:jc w:val="center"/>
        <w:tblLook w:val="04A0"/>
      </w:tblPr>
      <w:tblGrid>
        <w:gridCol w:w="992"/>
        <w:gridCol w:w="3617"/>
        <w:gridCol w:w="1290"/>
        <w:gridCol w:w="1327"/>
        <w:gridCol w:w="1296"/>
      </w:tblGrid>
      <w:tr w:rsidR="000B344C" w:rsidRPr="00D85D1A" w:rsidTr="00AD6EA0">
        <w:trPr>
          <w:jc w:val="center"/>
        </w:trPr>
        <w:tc>
          <w:tcPr>
            <w:tcW w:w="595" w:type="pct"/>
            <w:vAlign w:val="center"/>
          </w:tcPr>
          <w:p w:rsidR="000B344C" w:rsidRPr="0037372F" w:rsidRDefault="000B344C" w:rsidP="00BD7F19">
            <w:pPr>
              <w:jc w:val="center"/>
              <w:rPr>
                <w:rFonts w:ascii="仿宋_GB2312" w:eastAsia="仿宋_GB2312" w:hAnsiTheme="minorEastAsia"/>
                <w:sz w:val="24"/>
                <w:szCs w:val="28"/>
              </w:rPr>
            </w:pPr>
            <w:r>
              <w:rPr>
                <w:rFonts w:ascii="仿宋_GB2312" w:eastAsia="仿宋_GB2312" w:hAnsiTheme="minorEastAsia" w:hint="eastAsia"/>
                <w:sz w:val="24"/>
                <w:szCs w:val="28"/>
              </w:rPr>
              <w:t>基金</w:t>
            </w:r>
            <w:r w:rsidR="00BD7F19">
              <w:rPr>
                <w:rFonts w:ascii="仿宋_GB2312" w:eastAsia="仿宋_GB2312" w:hAnsiTheme="minorEastAsia" w:hint="eastAsia"/>
                <w:sz w:val="24"/>
                <w:szCs w:val="28"/>
              </w:rPr>
              <w:t>主</w:t>
            </w:r>
            <w:r>
              <w:rPr>
                <w:rFonts w:ascii="仿宋_GB2312" w:eastAsia="仿宋_GB2312" w:hAnsiTheme="minorEastAsia" w:hint="eastAsia"/>
                <w:sz w:val="24"/>
                <w:szCs w:val="28"/>
              </w:rPr>
              <w:t>代码</w:t>
            </w:r>
          </w:p>
        </w:tc>
        <w:tc>
          <w:tcPr>
            <w:tcW w:w="2135" w:type="pct"/>
            <w:vAlign w:val="center"/>
          </w:tcPr>
          <w:p w:rsidR="000B344C" w:rsidRPr="0037372F" w:rsidRDefault="000B344C" w:rsidP="0024674B">
            <w:pPr>
              <w:jc w:val="center"/>
              <w:rPr>
                <w:rFonts w:ascii="仿宋_GB2312" w:eastAsia="仿宋_GB2312" w:hAnsiTheme="minorEastAsia"/>
                <w:sz w:val="24"/>
                <w:szCs w:val="28"/>
              </w:rPr>
            </w:pPr>
            <w:bookmarkStart w:id="7" w:name="PO_relatedTradeStockTable"/>
            <w:r w:rsidRPr="0037372F">
              <w:rPr>
                <w:rFonts w:ascii="仿宋_GB2312" w:eastAsia="仿宋_GB2312" w:hAnsiTheme="minorEastAsia" w:hint="eastAsia"/>
                <w:sz w:val="24"/>
                <w:szCs w:val="28"/>
              </w:rPr>
              <w:t>基金名称</w:t>
            </w:r>
          </w:p>
        </w:tc>
        <w:tc>
          <w:tcPr>
            <w:tcW w:w="770" w:type="pct"/>
            <w:vAlign w:val="center"/>
          </w:tcPr>
          <w:p w:rsidR="000B344C" w:rsidRPr="0037372F" w:rsidRDefault="000B344C" w:rsidP="0024674B">
            <w:pPr>
              <w:jc w:val="center"/>
              <w:rPr>
                <w:rFonts w:ascii="仿宋_GB2312" w:eastAsia="仿宋_GB2312" w:hAnsiTheme="minorEastAsia"/>
                <w:sz w:val="24"/>
                <w:szCs w:val="28"/>
              </w:rPr>
            </w:pPr>
            <w:r w:rsidRPr="0037372F">
              <w:rPr>
                <w:rFonts w:ascii="仿宋_GB2312" w:eastAsia="仿宋_GB2312" w:hAnsiTheme="minorEastAsia" w:hint="eastAsia"/>
                <w:sz w:val="24"/>
                <w:szCs w:val="28"/>
              </w:rPr>
              <w:t>获配证券名称</w:t>
            </w:r>
          </w:p>
        </w:tc>
        <w:tc>
          <w:tcPr>
            <w:tcW w:w="791"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sidRPr="00014F9B">
              <w:rPr>
                <w:rFonts w:ascii="仿宋_GB2312" w:eastAsia="仿宋_GB2312" w:hAnsiTheme="minorEastAsia" w:hint="eastAsia"/>
                <w:sz w:val="24"/>
                <w:szCs w:val="28"/>
              </w:rPr>
              <w:t>获配数量（股）</w:t>
            </w:r>
          </w:p>
        </w:tc>
        <w:tc>
          <w:tcPr>
            <w:tcW w:w="709"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Pr>
                <w:rFonts w:ascii="仿宋_GB2312" w:eastAsia="仿宋_GB2312" w:hAnsiTheme="minorEastAsia" w:hint="eastAsia"/>
                <w:sz w:val="24"/>
                <w:szCs w:val="28"/>
              </w:rPr>
              <w:t>获配</w:t>
            </w:r>
            <w:r>
              <w:rPr>
                <w:rFonts w:ascii="仿宋_GB2312" w:eastAsia="仿宋_GB2312" w:hAnsiTheme="minorEastAsia"/>
                <w:sz w:val="24"/>
                <w:szCs w:val="28"/>
              </w:rPr>
              <w:t>金额</w:t>
            </w:r>
          </w:p>
          <w:p w:rsidR="000B344C" w:rsidRPr="000B344C" w:rsidDel="00014F9B" w:rsidRDefault="000B344C" w:rsidP="000B344C">
            <w:pPr>
              <w:ind w:firstLineChars="100" w:firstLine="240"/>
              <w:rPr>
                <w:rFonts w:ascii="仿宋_GB2312" w:eastAsia="仿宋_GB2312" w:hAnsiTheme="minorEastAsia"/>
                <w:sz w:val="24"/>
                <w:szCs w:val="28"/>
              </w:rPr>
            </w:pPr>
            <w:r w:rsidRPr="000B344C">
              <w:rPr>
                <w:rFonts w:ascii="仿宋_GB2312" w:eastAsia="仿宋_GB2312" w:hAnsiTheme="minorEastAsia" w:hint="eastAsia"/>
                <w:sz w:val="24"/>
                <w:szCs w:val="28"/>
              </w:rPr>
              <w:t>(元)</w:t>
            </w:r>
          </w:p>
        </w:tc>
      </w:tr>
      <w:tr w:rsidR="000B344C" w:rsidRPr="00D85D1A" w:rsidTr="00AD6EA0">
        <w:trPr>
          <w:jc w:val="center"/>
        </w:trPr>
        <w:tc>
          <w:tcPr>
            <w:tcW w:w="595" w:type="pct"/>
            <w:vAlign w:val="center"/>
          </w:tcPr>
          <w:p w:rsidR="000B344C" w:rsidRPr="00750BE9" w:rsidRDefault="001F4F16" w:rsidP="00750BE9">
            <w:pPr>
              <w:rPr>
                <w:rFonts w:ascii="仿宋_GB2312" w:eastAsia="仿宋_GB2312" w:hAnsiTheme="minorEastAsia"/>
                <w:sz w:val="24"/>
                <w:szCs w:val="28"/>
              </w:rPr>
            </w:pPr>
            <w:r>
              <w:rPr>
                <w:rFonts w:ascii="仿宋_GB2312" w:eastAsia="仿宋_GB2312" w:hAnsiTheme="minorEastAsia"/>
                <w:sz w:val="24"/>
                <w:szCs w:val="28"/>
              </w:rPr>
              <w:t>008592</w:t>
            </w:r>
          </w:p>
        </w:tc>
        <w:tc>
          <w:tcPr>
            <w:tcW w:w="2135" w:type="pct"/>
            <w:vAlign w:val="center"/>
          </w:tcPr>
          <w:p w:rsidR="000B344C" w:rsidRPr="00750BE9"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天弘沪深</w:t>
            </w:r>
            <w:r>
              <w:rPr>
                <w:rFonts w:ascii="仿宋_GB2312" w:eastAsia="仿宋_GB2312" w:hAnsiTheme="minorEastAsia"/>
                <w:sz w:val="24"/>
                <w:szCs w:val="28"/>
              </w:rPr>
              <w:t>300指数增强型发起式证券投资基金</w:t>
            </w:r>
          </w:p>
        </w:tc>
        <w:tc>
          <w:tcPr>
            <w:tcW w:w="770" w:type="pct"/>
            <w:vAlign w:val="center"/>
          </w:tcPr>
          <w:p w:rsidR="000B344C" w:rsidRPr="00750BE9"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0B344C" w:rsidRPr="00750BE9"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0B344C" w:rsidRPr="00750BE9" w:rsidDel="00014F9B"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011102</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天弘中证光伏产业指数型发起式证券投资基金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011839</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天弘中证人工智能主题指数型发起式证券投资基金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017192</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天弘中证工业有色金属主题指数型发起式证券投资基金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159133</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天弘中证细分化工产业主题交易型开放式指数证券投资基金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159241</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天弘国证航天航空行业交易型开放式指数证券投资基金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159736</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天弘中证食品饮料交易型开放式指数证券投资基金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159857</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天弘中证光伏产业交易型开放式指数证券投资基金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159859</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天弘国证生物医药交易型开放式指数证券投资基金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159998</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天弘中证计算机主题交易型开放式指数证券投资基金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1155</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106467.90</w:t>
            </w:r>
          </w:p>
        </w:tc>
      </w:tr>
      <w:tr w:rsidR="001F4F16" w:rsidRPr="00D85D1A" w:rsidTr="00AD6EA0">
        <w:trPr>
          <w:jc w:val="center"/>
        </w:trPr>
        <w:tc>
          <w:tcPr>
            <w:tcW w:w="59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589860</w:t>
            </w:r>
          </w:p>
        </w:tc>
        <w:tc>
          <w:tcPr>
            <w:tcW w:w="2135"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天弘上证科创板综合交易型开放式指数证券投资基金</w:t>
            </w:r>
          </w:p>
        </w:tc>
        <w:tc>
          <w:tcPr>
            <w:tcW w:w="770"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hint="eastAsia"/>
                <w:sz w:val="24"/>
                <w:szCs w:val="28"/>
              </w:rPr>
              <w:t>恒运昌</w:t>
            </w:r>
          </w:p>
        </w:tc>
        <w:tc>
          <w:tcPr>
            <w:tcW w:w="791"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718</w:t>
            </w:r>
          </w:p>
        </w:tc>
        <w:tc>
          <w:tcPr>
            <w:tcW w:w="709" w:type="pct"/>
            <w:vAlign w:val="center"/>
          </w:tcPr>
          <w:p w:rsidR="001F4F16" w:rsidRDefault="001F4F16" w:rsidP="00750BE9">
            <w:pPr>
              <w:rPr>
                <w:rFonts w:ascii="仿宋_GB2312" w:eastAsia="仿宋_GB2312" w:hAnsiTheme="minorEastAsia"/>
                <w:sz w:val="24"/>
                <w:szCs w:val="28"/>
              </w:rPr>
            </w:pPr>
            <w:r>
              <w:rPr>
                <w:rFonts w:ascii="仿宋_GB2312" w:eastAsia="仿宋_GB2312" w:hAnsiTheme="minorEastAsia"/>
                <w:sz w:val="24"/>
                <w:szCs w:val="28"/>
              </w:rPr>
              <w:t>66185.24</w:t>
            </w:r>
          </w:p>
        </w:tc>
      </w:tr>
    </w:tbl>
    <w:bookmarkEnd w:id="7"/>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投资者可登录我公司官方网站（www.thfund.com.cn）或拨打我公司客户服</w:t>
      </w:r>
      <w:r w:rsidRPr="00804185">
        <w:rPr>
          <w:rFonts w:ascii="仿宋_GB2312" w:eastAsia="仿宋_GB2312" w:hAnsiTheme="minorEastAsia" w:hint="eastAsia"/>
          <w:kern w:val="0"/>
          <w:sz w:val="24"/>
          <w:szCs w:val="24"/>
        </w:rPr>
        <w:lastRenderedPageBreak/>
        <w:t>务热线（</w:t>
      </w:r>
      <w:r w:rsidR="00DF320B" w:rsidRPr="00DF320B">
        <w:rPr>
          <w:rFonts w:ascii="仿宋_GB2312" w:eastAsia="仿宋_GB2312" w:hAnsiTheme="minorEastAsia"/>
          <w:kern w:val="0"/>
          <w:sz w:val="24"/>
          <w:szCs w:val="24"/>
        </w:rPr>
        <w:t>400-986-8888</w:t>
      </w:r>
      <w:r w:rsidRPr="00804185">
        <w:rPr>
          <w:rFonts w:ascii="仿宋_GB2312" w:eastAsia="仿宋_GB2312" w:hAnsiTheme="minorEastAsia" w:hint="eastAsia"/>
          <w:kern w:val="0"/>
          <w:sz w:val="24"/>
          <w:szCs w:val="24"/>
        </w:rPr>
        <w:t>）了解本基金的相关事宜。</w:t>
      </w:r>
    </w:p>
    <w:p w:rsidR="00C53299" w:rsidRPr="00804185" w:rsidRDefault="00C53299" w:rsidP="00C53299">
      <w:pPr>
        <w:spacing w:line="360" w:lineRule="auto"/>
        <w:rPr>
          <w:rFonts w:ascii="仿宋_GB2312" w:eastAsia="仿宋_GB2312" w:hAnsiTheme="minorEastAsia"/>
          <w:kern w:val="0"/>
          <w:sz w:val="24"/>
          <w:szCs w:val="24"/>
        </w:rPr>
      </w:pP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风险提示</w:t>
      </w: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C53299" w:rsidRPr="00DB2D3B" w:rsidRDefault="00C53299" w:rsidP="00C53299">
      <w:pPr>
        <w:pStyle w:val="a5"/>
        <w:spacing w:line="360" w:lineRule="auto"/>
        <w:ind w:left="420" w:firstLineChars="0" w:firstLine="0"/>
        <w:rPr>
          <w:rFonts w:ascii="仿宋_GB2312" w:eastAsia="仿宋_GB2312" w:hAnsiTheme="minorEastAsia"/>
          <w:kern w:val="0"/>
          <w:sz w:val="24"/>
          <w:szCs w:val="24"/>
        </w:rPr>
      </w:pPr>
    </w:p>
    <w:p w:rsidR="00C53299" w:rsidRDefault="00C53299" w:rsidP="00C53299">
      <w:pPr>
        <w:pStyle w:val="a5"/>
        <w:spacing w:line="360" w:lineRule="auto"/>
        <w:ind w:left="420" w:firstLineChars="0" w:firstLine="0"/>
        <w:rPr>
          <w:rFonts w:ascii="仿宋_GB2312" w:eastAsia="仿宋_GB2312" w:hAnsiTheme="minorEastAsia"/>
          <w:kern w:val="0"/>
          <w:sz w:val="24"/>
          <w:szCs w:val="24"/>
        </w:rPr>
      </w:pPr>
      <w:r w:rsidRPr="00174352">
        <w:rPr>
          <w:rFonts w:ascii="仿宋_GB2312" w:eastAsia="仿宋_GB2312" w:hAnsiTheme="minorEastAsia" w:hint="eastAsia"/>
          <w:kern w:val="0"/>
          <w:sz w:val="24"/>
          <w:szCs w:val="24"/>
        </w:rPr>
        <w:t>特此</w:t>
      </w:r>
      <w:r w:rsidRPr="00174352">
        <w:rPr>
          <w:rFonts w:ascii="仿宋_GB2312" w:eastAsia="仿宋_GB2312" w:hAnsiTheme="minorEastAsia"/>
          <w:kern w:val="0"/>
          <w:sz w:val="24"/>
          <w:szCs w:val="24"/>
        </w:rPr>
        <w:t>公告</w:t>
      </w:r>
      <w:r>
        <w:rPr>
          <w:rFonts w:ascii="仿宋_GB2312" w:eastAsia="仿宋_GB2312" w:hAnsiTheme="minorEastAsia" w:hint="eastAsia"/>
          <w:kern w:val="0"/>
          <w:sz w:val="24"/>
          <w:szCs w:val="24"/>
        </w:rPr>
        <w:t>。</w:t>
      </w:r>
    </w:p>
    <w:p w:rsidR="00BA182F" w:rsidRDefault="00BA182F" w:rsidP="00C53299">
      <w:pPr>
        <w:pStyle w:val="a5"/>
        <w:spacing w:line="360" w:lineRule="auto"/>
        <w:ind w:left="420" w:firstLineChars="0" w:firstLine="0"/>
        <w:rPr>
          <w:rFonts w:ascii="仿宋_GB2312" w:eastAsia="仿宋_GB2312" w:hAnsiTheme="minorEastAsia"/>
          <w:kern w:val="0"/>
          <w:sz w:val="24"/>
          <w:szCs w:val="24"/>
        </w:rPr>
      </w:pPr>
    </w:p>
    <w:p w:rsidR="00BA182F" w:rsidRPr="00C53299" w:rsidRDefault="00BA182F" w:rsidP="00C53299">
      <w:pPr>
        <w:pStyle w:val="a5"/>
        <w:spacing w:line="360" w:lineRule="auto"/>
        <w:ind w:left="420" w:firstLineChars="0" w:firstLine="0"/>
        <w:rPr>
          <w:rFonts w:ascii="仿宋_GB2312" w:eastAsia="仿宋_GB2312" w:hAnsiTheme="minorEastAsia"/>
          <w:kern w:val="0"/>
          <w:sz w:val="24"/>
          <w:szCs w:val="24"/>
        </w:rPr>
      </w:pPr>
    </w:p>
    <w:p w:rsidR="00C53299" w:rsidRPr="004E4BA7" w:rsidRDefault="00C53299" w:rsidP="00C53299">
      <w:pPr>
        <w:spacing w:line="500" w:lineRule="exact"/>
        <w:jc w:val="right"/>
        <w:rPr>
          <w:rFonts w:ascii="仿宋_GB2312" w:eastAsia="仿宋_GB2312"/>
          <w:sz w:val="24"/>
          <w:szCs w:val="24"/>
        </w:rPr>
      </w:pPr>
      <w:r w:rsidRPr="004E4BA7">
        <w:rPr>
          <w:rFonts w:ascii="仿宋_GB2312" w:eastAsia="仿宋_GB2312" w:hint="eastAsia"/>
          <w:sz w:val="24"/>
          <w:szCs w:val="24"/>
        </w:rPr>
        <w:t xml:space="preserve">  天弘基金管理有限公司</w:t>
      </w:r>
    </w:p>
    <w:p w:rsidR="003E055C" w:rsidRPr="0076613D" w:rsidRDefault="001F4F16" w:rsidP="0076613D">
      <w:pPr>
        <w:wordWrap w:val="0"/>
        <w:spacing w:line="500" w:lineRule="exact"/>
        <w:jc w:val="right"/>
        <w:rPr>
          <w:rFonts w:ascii="仿宋_GB2312" w:eastAsia="仿宋_GB2312"/>
          <w:sz w:val="24"/>
          <w:szCs w:val="24"/>
        </w:rPr>
      </w:pPr>
      <w:bookmarkStart w:id="8" w:name="PO_disclosureDate"/>
      <w:r>
        <w:rPr>
          <w:rFonts w:ascii="仿宋_GB2312" w:eastAsia="仿宋_GB2312" w:hint="eastAsia"/>
          <w:sz w:val="24"/>
          <w:szCs w:val="24"/>
        </w:rPr>
        <w:t>二〇二六年一月二十二日</w:t>
      </w:r>
      <w:bookmarkEnd w:id="8"/>
    </w:p>
    <w:sectPr w:rsidR="003E055C" w:rsidRPr="0076613D" w:rsidSect="005355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720" w:rsidRDefault="00D75720" w:rsidP="00E2582B">
      <w:r>
        <w:separator/>
      </w:r>
    </w:p>
  </w:endnote>
  <w:endnote w:type="continuationSeparator" w:id="0">
    <w:p w:rsidR="00D75720" w:rsidRDefault="00D75720" w:rsidP="00E25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720" w:rsidRDefault="00D75720" w:rsidP="00E2582B">
      <w:r>
        <w:separator/>
      </w:r>
    </w:p>
  </w:footnote>
  <w:footnote w:type="continuationSeparator" w:id="0">
    <w:p w:rsidR="00D75720" w:rsidRDefault="00D75720" w:rsidP="00E25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537C"/>
    <w:multiLevelType w:val="hybridMultilevel"/>
    <w:tmpl w:val="65B89A5E"/>
    <w:lvl w:ilvl="0" w:tplc="CD2488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C6D"/>
    <w:rsid w:val="000B344C"/>
    <w:rsid w:val="000B4EAD"/>
    <w:rsid w:val="000C7F18"/>
    <w:rsid w:val="000D5173"/>
    <w:rsid w:val="000F620F"/>
    <w:rsid w:val="00177566"/>
    <w:rsid w:val="001B5A7D"/>
    <w:rsid w:val="001F4F16"/>
    <w:rsid w:val="00204203"/>
    <w:rsid w:val="00296D3A"/>
    <w:rsid w:val="00325CC7"/>
    <w:rsid w:val="003D1CC9"/>
    <w:rsid w:val="0041161E"/>
    <w:rsid w:val="00456D98"/>
    <w:rsid w:val="004914BC"/>
    <w:rsid w:val="004B4ACF"/>
    <w:rsid w:val="004E783C"/>
    <w:rsid w:val="005355B6"/>
    <w:rsid w:val="00595AC1"/>
    <w:rsid w:val="005E7030"/>
    <w:rsid w:val="00750BE9"/>
    <w:rsid w:val="0076613D"/>
    <w:rsid w:val="007E3DD2"/>
    <w:rsid w:val="007F005C"/>
    <w:rsid w:val="008269E9"/>
    <w:rsid w:val="00915C6D"/>
    <w:rsid w:val="00930385"/>
    <w:rsid w:val="00975B02"/>
    <w:rsid w:val="009A0ABF"/>
    <w:rsid w:val="009B0C32"/>
    <w:rsid w:val="00A92D37"/>
    <w:rsid w:val="00AD6EA0"/>
    <w:rsid w:val="00B63C4A"/>
    <w:rsid w:val="00B73793"/>
    <w:rsid w:val="00BA182F"/>
    <w:rsid w:val="00BB6E05"/>
    <w:rsid w:val="00BD7F19"/>
    <w:rsid w:val="00C23D77"/>
    <w:rsid w:val="00C32432"/>
    <w:rsid w:val="00C53299"/>
    <w:rsid w:val="00D40487"/>
    <w:rsid w:val="00D75720"/>
    <w:rsid w:val="00D83A68"/>
    <w:rsid w:val="00DA605E"/>
    <w:rsid w:val="00DF320B"/>
    <w:rsid w:val="00E15582"/>
    <w:rsid w:val="00E2582B"/>
    <w:rsid w:val="00F2492A"/>
    <w:rsid w:val="00F27BBD"/>
    <w:rsid w:val="00F97DD9"/>
    <w:rsid w:val="00FA668F"/>
    <w:rsid w:val="00FC42BD"/>
    <w:rsid w:val="00FF6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5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82B"/>
    <w:rPr>
      <w:sz w:val="18"/>
      <w:szCs w:val="18"/>
    </w:rPr>
  </w:style>
  <w:style w:type="paragraph" w:styleId="a4">
    <w:name w:val="footer"/>
    <w:basedOn w:val="a"/>
    <w:link w:val="Char0"/>
    <w:uiPriority w:val="99"/>
    <w:unhideWhenUsed/>
    <w:rsid w:val="00E2582B"/>
    <w:pPr>
      <w:tabs>
        <w:tab w:val="center" w:pos="4153"/>
        <w:tab w:val="right" w:pos="8306"/>
      </w:tabs>
      <w:snapToGrid w:val="0"/>
      <w:jc w:val="left"/>
    </w:pPr>
    <w:rPr>
      <w:sz w:val="18"/>
      <w:szCs w:val="18"/>
    </w:rPr>
  </w:style>
  <w:style w:type="character" w:customStyle="1" w:styleId="Char0">
    <w:name w:val="页脚 Char"/>
    <w:basedOn w:val="a0"/>
    <w:link w:val="a4"/>
    <w:uiPriority w:val="99"/>
    <w:rsid w:val="00E2582B"/>
    <w:rPr>
      <w:sz w:val="18"/>
      <w:szCs w:val="18"/>
    </w:rPr>
  </w:style>
  <w:style w:type="paragraph" w:styleId="a5">
    <w:name w:val="List Paragraph"/>
    <w:basedOn w:val="a"/>
    <w:uiPriority w:val="34"/>
    <w:qFormat/>
    <w:rsid w:val="00E2582B"/>
    <w:pPr>
      <w:ind w:firstLineChars="200" w:firstLine="420"/>
    </w:pPr>
  </w:style>
  <w:style w:type="paragraph" w:styleId="a6">
    <w:name w:val="No Spacing"/>
    <w:uiPriority w:val="1"/>
    <w:qFormat/>
    <w:rsid w:val="00E2582B"/>
    <w:pPr>
      <w:widowControl w:val="0"/>
      <w:jc w:val="both"/>
    </w:pPr>
  </w:style>
  <w:style w:type="table" w:styleId="a7">
    <w:name w:val="Table Grid"/>
    <w:basedOn w:val="a1"/>
    <w:uiPriority w:val="39"/>
    <w:rsid w:val="00E2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2582B"/>
    <w:rPr>
      <w:sz w:val="21"/>
      <w:szCs w:val="21"/>
    </w:rPr>
  </w:style>
  <w:style w:type="paragraph" w:styleId="a9">
    <w:name w:val="annotation text"/>
    <w:basedOn w:val="a"/>
    <w:link w:val="Char1"/>
    <w:uiPriority w:val="99"/>
    <w:unhideWhenUsed/>
    <w:rsid w:val="00E2582B"/>
    <w:pPr>
      <w:jc w:val="left"/>
    </w:pPr>
  </w:style>
  <w:style w:type="character" w:customStyle="1" w:styleId="Char1">
    <w:name w:val="批注文字 Char"/>
    <w:basedOn w:val="a0"/>
    <w:link w:val="a9"/>
    <w:uiPriority w:val="99"/>
    <w:rsid w:val="00E2582B"/>
  </w:style>
  <w:style w:type="paragraph" w:styleId="aa">
    <w:name w:val="Balloon Text"/>
    <w:basedOn w:val="a"/>
    <w:link w:val="Char2"/>
    <w:uiPriority w:val="99"/>
    <w:semiHidden/>
    <w:unhideWhenUsed/>
    <w:rsid w:val="00E2582B"/>
    <w:rPr>
      <w:sz w:val="18"/>
      <w:szCs w:val="18"/>
    </w:rPr>
  </w:style>
  <w:style w:type="character" w:customStyle="1" w:styleId="Char2">
    <w:name w:val="批注框文本 Char"/>
    <w:basedOn w:val="a0"/>
    <w:link w:val="aa"/>
    <w:uiPriority w:val="99"/>
    <w:semiHidden/>
    <w:rsid w:val="00E2582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E27A-FF40-4952-B0EF-F9A03275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942</Characters>
  <Application>Microsoft Office Word</Application>
  <DocSecurity>4</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2026-01-21T16:01:00Z</dcterms:created>
  <dcterms:modified xsi:type="dcterms:W3CDTF">2026-01-21T16:01:00Z</dcterms:modified>
</cp:coreProperties>
</file>