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64E" w:rsidRDefault="003232A7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浙江浙商证券资产管理有限公司旗下基金</w:t>
      </w:r>
      <w:r>
        <w:rPr>
          <w:rFonts w:ascii="华文中宋" w:eastAsia="华文中宋" w:hAnsi="华文中宋" w:hint="eastAsia"/>
          <w:sz w:val="36"/>
          <w:szCs w:val="36"/>
        </w:rPr>
        <w:t>2025</w:t>
      </w:r>
      <w:r>
        <w:rPr>
          <w:rFonts w:ascii="华文中宋" w:eastAsia="华文中宋" w:hAnsi="华文中宋" w:hint="eastAsia"/>
          <w:sz w:val="36"/>
          <w:szCs w:val="36"/>
        </w:rPr>
        <w:t>年第四季度报告</w:t>
      </w:r>
      <w:r>
        <w:rPr>
          <w:rFonts w:ascii="华文中宋" w:eastAsia="华文中宋" w:hAnsi="华文中宋"/>
          <w:sz w:val="36"/>
          <w:szCs w:val="36"/>
        </w:rPr>
        <w:t>提示性公告</w:t>
      </w:r>
    </w:p>
    <w:p w:rsidR="0047564E" w:rsidRDefault="0047564E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47564E" w:rsidRDefault="003232A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本公司董事会及董事保证基金年度报告所载资料不存在虚假记载、误导性陈述或重大遗漏，并对其内容的真实性、准确性和完整性承担个别及连带责任。</w:t>
      </w:r>
    </w:p>
    <w:p w:rsidR="0047564E" w:rsidRDefault="003232A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浙江浙商证券资产管理有限公司旗下披露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年第四季度报告</w:t>
      </w:r>
      <w:r>
        <w:rPr>
          <w:rFonts w:ascii="仿宋_GB2312" w:eastAsia="仿宋_GB2312" w:hint="eastAsia"/>
          <w:sz w:val="32"/>
          <w:szCs w:val="32"/>
        </w:rPr>
        <w:t>的基金如下：</w:t>
      </w:r>
    </w:p>
    <w:p w:rsidR="0047564E" w:rsidRDefault="003232A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浙商汇金转型成长混合型证券投资基金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47564E" w:rsidRDefault="003232A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浙商汇金转型驱动灵活配置混合型证券投资基金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47564E" w:rsidRDefault="003232A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浙商汇金转型升级灵活配置混合型证券投资基金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47564E" w:rsidRDefault="003232A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浙商汇金聚利一年定期开放债券型证券投资基金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47564E" w:rsidRDefault="003232A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浙商汇金鼎盈事件驱动灵活配置混合型证券投资基金（</w:t>
      </w:r>
      <w:r>
        <w:rPr>
          <w:rFonts w:ascii="仿宋_GB2312" w:eastAsia="仿宋_GB2312" w:hint="eastAsia"/>
          <w:sz w:val="32"/>
          <w:szCs w:val="32"/>
        </w:rPr>
        <w:t>LOF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47564E" w:rsidRDefault="003232A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浙商汇金短债债券型证券投资基金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47564E" w:rsidRDefault="003232A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浙商汇金量化精选灵活配置混合型证券投资基金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47564E" w:rsidRDefault="003232A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8</w:t>
      </w:r>
      <w:r>
        <w:rPr>
          <w:rFonts w:ascii="仿宋_GB2312" w:eastAsia="仿宋_GB2312" w:hint="eastAsia"/>
          <w:sz w:val="32"/>
          <w:szCs w:val="32"/>
        </w:rPr>
        <w:t>浙商汇金聚鑫定期开放债券型发起式证券投资基金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47564E" w:rsidRDefault="003232A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浙商汇金中高等级三个月定期开放债券型证券投资基金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47564E" w:rsidRDefault="003232A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浙商汇金聚盈中短债债券型证券投资基金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47564E" w:rsidRDefault="003232A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浙商汇金中证浙江凤凰行动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交易型开放式指数证券投资基金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47564E" w:rsidRDefault="003232A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浙商汇金中证浙江凤凰行动</w:t>
      </w:r>
      <w:r>
        <w:rPr>
          <w:rFonts w:ascii="仿宋_GB2312" w:eastAsia="仿宋_GB2312" w:hint="eastAsia"/>
          <w:sz w:val="32"/>
          <w:szCs w:val="32"/>
        </w:rPr>
        <w:t>50</w:t>
      </w:r>
      <w:r>
        <w:rPr>
          <w:rFonts w:ascii="仿宋_GB2312" w:eastAsia="仿宋_GB2312" w:hint="eastAsia"/>
          <w:sz w:val="32"/>
          <w:szCs w:val="32"/>
        </w:rPr>
        <w:t>交易型开放式指数证券投资基金联接基金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47564E" w:rsidRDefault="003232A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浙商汇金新兴消费灵活配置混合型证券投资基金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47564E" w:rsidRDefault="003232A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浙商汇金安享</w:t>
      </w:r>
      <w:r>
        <w:rPr>
          <w:rFonts w:ascii="仿宋_GB2312" w:eastAsia="仿宋_GB2312" w:hint="eastAsia"/>
          <w:sz w:val="32"/>
          <w:szCs w:val="32"/>
        </w:rPr>
        <w:t>66</w:t>
      </w:r>
      <w:r>
        <w:rPr>
          <w:rFonts w:ascii="仿宋_GB2312" w:eastAsia="仿宋_GB2312" w:hint="eastAsia"/>
          <w:sz w:val="32"/>
          <w:szCs w:val="32"/>
        </w:rPr>
        <w:t>个月定期开放债券型证券投资基金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47564E" w:rsidRDefault="003232A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浙商汇金聚泓两年定期开放债券型发起式证券投资基金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47564E" w:rsidRDefault="003232A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16</w:t>
      </w:r>
      <w:r>
        <w:rPr>
          <w:rFonts w:ascii="仿宋_GB2312" w:eastAsia="仿宋_GB2312" w:hint="eastAsia"/>
          <w:sz w:val="32"/>
          <w:szCs w:val="32"/>
        </w:rPr>
        <w:t>浙商汇金量化臻选股票型证券投资基金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47564E" w:rsidRDefault="003232A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浙商证券沪杭甬杭徽高速封闭式基础设施证券投资基金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47564E" w:rsidRDefault="003232A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浙商</w:t>
      </w:r>
      <w:r>
        <w:rPr>
          <w:rFonts w:ascii="仿宋_GB2312" w:eastAsia="仿宋_GB2312" w:hint="eastAsia"/>
          <w:sz w:val="32"/>
          <w:szCs w:val="32"/>
        </w:rPr>
        <w:t>汇金先进制造混合型证券投资基金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47564E" w:rsidRDefault="003232A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19</w:t>
      </w:r>
      <w:r>
        <w:rPr>
          <w:rFonts w:ascii="仿宋_GB2312" w:eastAsia="仿宋_GB2312" w:hint="eastAsia"/>
          <w:sz w:val="32"/>
          <w:szCs w:val="32"/>
        </w:rPr>
        <w:t>浙商汇金卓越配置一年持有期混合型基金中基金（</w:t>
      </w:r>
      <w:r>
        <w:rPr>
          <w:rFonts w:ascii="仿宋_GB2312" w:eastAsia="仿宋_GB2312" w:hint="eastAsia"/>
          <w:sz w:val="32"/>
          <w:szCs w:val="32"/>
        </w:rPr>
        <w:t>FOF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47564E" w:rsidRDefault="003232A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浙商汇金月享</w:t>
      </w:r>
      <w:r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天滚动持有中短债债券型证券投资基金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47564E" w:rsidRDefault="003232A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浙商汇金兴利增强债券型证券投资基金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47564E" w:rsidRDefault="003232A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浙商汇金双月鑫</w:t>
      </w:r>
      <w:r>
        <w:rPr>
          <w:rFonts w:ascii="仿宋_GB2312" w:eastAsia="仿宋_GB2312" w:hint="eastAsia"/>
          <w:sz w:val="32"/>
          <w:szCs w:val="32"/>
        </w:rPr>
        <w:t>60</w:t>
      </w:r>
      <w:r>
        <w:rPr>
          <w:rFonts w:ascii="仿宋_GB2312" w:eastAsia="仿宋_GB2312" w:hint="eastAsia"/>
          <w:sz w:val="32"/>
          <w:szCs w:val="32"/>
        </w:rPr>
        <w:t>天滚动持有中短债债券型证券投资基金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47564E" w:rsidRDefault="003232A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23</w:t>
      </w:r>
      <w:r>
        <w:rPr>
          <w:rFonts w:ascii="仿宋_GB2312" w:eastAsia="仿宋_GB2312" w:hint="eastAsia"/>
          <w:sz w:val="32"/>
          <w:szCs w:val="32"/>
        </w:rPr>
        <w:t>浙商汇金金算盘货币市场基金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47564E" w:rsidRDefault="003232A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浙商汇金聚瑞债券型证券投资基金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47564E" w:rsidRDefault="003232A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25</w:t>
      </w:r>
      <w:r>
        <w:rPr>
          <w:rFonts w:ascii="仿宋_GB2312" w:eastAsia="仿宋_GB2312" w:hint="eastAsia"/>
          <w:sz w:val="32"/>
          <w:szCs w:val="32"/>
        </w:rPr>
        <w:t>浙商汇金平稳增长一年持有期混合型证券投资基金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47564E" w:rsidRDefault="003232A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26</w:t>
      </w:r>
      <w:r>
        <w:rPr>
          <w:rFonts w:ascii="仿宋_GB2312" w:eastAsia="仿宋_GB2312" w:hint="eastAsia"/>
          <w:sz w:val="32"/>
          <w:szCs w:val="32"/>
        </w:rPr>
        <w:t>浙商汇金聚兴一年定期开放债券型发起式证券投资基金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47564E" w:rsidRDefault="003232A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浙商汇金卓越稳健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个月持有期混合型发起式基金中基金（</w:t>
      </w:r>
      <w:r>
        <w:rPr>
          <w:rFonts w:ascii="仿宋_GB2312" w:eastAsia="仿宋_GB2312" w:hint="eastAsia"/>
          <w:sz w:val="32"/>
          <w:szCs w:val="32"/>
        </w:rPr>
        <w:t>FOF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47564E" w:rsidRDefault="003232A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浙商汇金中证同业存单</w:t>
      </w:r>
      <w:r>
        <w:rPr>
          <w:rFonts w:ascii="仿宋_GB2312" w:eastAsia="仿宋_GB2312" w:hint="eastAsia"/>
          <w:sz w:val="32"/>
          <w:szCs w:val="32"/>
        </w:rPr>
        <w:t>AAA</w:t>
      </w:r>
      <w:r>
        <w:rPr>
          <w:rFonts w:ascii="仿宋_GB2312" w:eastAsia="仿宋_GB2312" w:hint="eastAsia"/>
          <w:sz w:val="32"/>
          <w:szCs w:val="32"/>
        </w:rPr>
        <w:t>指数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天持有期证券投资基金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47564E" w:rsidRDefault="003232A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29</w:t>
      </w:r>
      <w:r>
        <w:rPr>
          <w:rFonts w:ascii="仿宋_GB2312" w:eastAsia="仿宋_GB2312" w:hint="eastAsia"/>
          <w:sz w:val="32"/>
          <w:szCs w:val="32"/>
        </w:rPr>
        <w:t>浙商汇金中债</w:t>
      </w:r>
      <w:r>
        <w:rPr>
          <w:rFonts w:ascii="仿宋_GB2312" w:eastAsia="仿宋_GB2312"/>
          <w:sz w:val="32"/>
          <w:szCs w:val="32"/>
        </w:rPr>
        <w:t>0-3</w:t>
      </w:r>
      <w:r>
        <w:rPr>
          <w:rFonts w:ascii="仿宋_GB2312" w:eastAsia="仿宋_GB2312" w:hint="eastAsia"/>
          <w:sz w:val="32"/>
          <w:szCs w:val="32"/>
        </w:rPr>
        <w:t>年政策性金融债指数证券投资基金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47564E" w:rsidRDefault="003232A7">
      <w:pPr>
        <w:pStyle w:val="dazhangjie"/>
        <w:spacing w:before="0" w:line="240" w:lineRule="auto"/>
        <w:ind w:leftChars="7" w:firstLineChars="200" w:firstLine="640"/>
        <w:jc w:val="left"/>
        <w:outlineLvl w:val="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Theme="minorHAnsi" w:cstheme="minorBidi" w:hint="eastAsia"/>
          <w:kern w:val="2"/>
          <w:sz w:val="32"/>
          <w:szCs w:val="32"/>
        </w:rPr>
        <w:t>30</w:t>
      </w:r>
      <w:r>
        <w:rPr>
          <w:rFonts w:ascii="仿宋_GB2312" w:eastAsia="仿宋_GB2312" w:hAnsiTheme="minorHAnsi" w:cstheme="minorBidi" w:hint="eastAsia"/>
          <w:kern w:val="2"/>
          <w:sz w:val="32"/>
          <w:szCs w:val="32"/>
        </w:rPr>
        <w:t>浙商汇金聚悦利率债债券型证券投资基金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47564E" w:rsidRDefault="003232A7">
      <w:pPr>
        <w:pStyle w:val="dazhangjie"/>
        <w:spacing w:before="0" w:line="240" w:lineRule="auto"/>
        <w:ind w:leftChars="7" w:firstLineChars="200" w:firstLine="640"/>
        <w:jc w:val="left"/>
        <w:outlineLvl w:val="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Theme="minorHAnsi" w:cstheme="minorBidi" w:hint="eastAsia"/>
          <w:kern w:val="2"/>
          <w:sz w:val="32"/>
          <w:szCs w:val="32"/>
        </w:rPr>
        <w:t>31</w:t>
      </w:r>
      <w:r>
        <w:rPr>
          <w:rFonts w:ascii="仿宋_GB2312" w:eastAsia="仿宋_GB2312" w:hAnsiTheme="minorHAnsi" w:cstheme="minorBidi" w:hint="eastAsia"/>
          <w:kern w:val="2"/>
          <w:sz w:val="32"/>
          <w:szCs w:val="32"/>
        </w:rPr>
        <w:t>浙商汇金红利精选混合型发起式证券投资基金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 w:hint="eastAsia"/>
          <w:sz w:val="32"/>
          <w:szCs w:val="32"/>
        </w:rPr>
        <w:t>四季度报告</w:t>
      </w:r>
    </w:p>
    <w:p w:rsidR="0047564E" w:rsidRDefault="003232A7">
      <w:pPr>
        <w:pStyle w:val="dazhangjie"/>
        <w:spacing w:before="0" w:line="240" w:lineRule="auto"/>
        <w:ind w:leftChars="7" w:firstLineChars="200" w:firstLine="640"/>
        <w:jc w:val="left"/>
        <w:outlineLvl w:val="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32</w:t>
      </w:r>
      <w:r>
        <w:rPr>
          <w:rFonts w:ascii="仿宋_GB2312" w:eastAsia="仿宋_GB2312" w:hint="eastAsia"/>
          <w:sz w:val="32"/>
          <w:szCs w:val="32"/>
        </w:rPr>
        <w:t>浙商汇金红利机遇混合型证券投资基金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47564E" w:rsidRDefault="003232A7">
      <w:pPr>
        <w:pStyle w:val="dazhangjie"/>
        <w:spacing w:before="0" w:line="240" w:lineRule="auto"/>
        <w:ind w:leftChars="7" w:firstLineChars="200" w:firstLine="640"/>
        <w:jc w:val="left"/>
        <w:outlineLvl w:val="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33</w:t>
      </w:r>
      <w:r>
        <w:rPr>
          <w:rFonts w:ascii="仿宋_GB2312" w:eastAsia="仿宋_GB2312" w:hint="eastAsia"/>
          <w:sz w:val="32"/>
          <w:szCs w:val="32"/>
        </w:rPr>
        <w:t>浙商汇金聚沣</w:t>
      </w:r>
      <w:r>
        <w:rPr>
          <w:rFonts w:ascii="仿宋_GB2312" w:eastAsia="仿宋_GB2312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天持有期高等级债券型证券投资基金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47564E" w:rsidRDefault="003232A7">
      <w:pPr>
        <w:pStyle w:val="dazhangjie"/>
        <w:spacing w:before="0" w:line="240" w:lineRule="auto"/>
        <w:ind w:leftChars="7" w:firstLineChars="200" w:firstLine="640"/>
        <w:jc w:val="left"/>
        <w:outlineLvl w:val="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34</w:t>
      </w:r>
      <w:r>
        <w:rPr>
          <w:rFonts w:ascii="仿宋_GB2312" w:eastAsia="仿宋_GB2312" w:hint="eastAsia"/>
          <w:sz w:val="32"/>
          <w:szCs w:val="32"/>
        </w:rPr>
        <w:t>浙商汇金中证</w:t>
      </w:r>
      <w:r>
        <w:rPr>
          <w:rFonts w:ascii="仿宋_GB2312" w:eastAsia="仿宋_GB2312"/>
          <w:sz w:val="32"/>
          <w:szCs w:val="32"/>
        </w:rPr>
        <w:t>A500</w:t>
      </w:r>
      <w:r>
        <w:rPr>
          <w:rFonts w:ascii="仿宋_GB2312" w:eastAsia="仿宋_GB2312" w:hint="eastAsia"/>
          <w:sz w:val="32"/>
          <w:szCs w:val="32"/>
        </w:rPr>
        <w:t>指数型证券投资基金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47564E" w:rsidRDefault="003232A7">
      <w:pPr>
        <w:pStyle w:val="dazhangjie"/>
        <w:spacing w:before="0" w:line="240" w:lineRule="auto"/>
        <w:ind w:leftChars="7" w:firstLineChars="200" w:firstLine="640"/>
        <w:jc w:val="left"/>
        <w:outlineLvl w:val="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35</w:t>
      </w:r>
      <w:r>
        <w:rPr>
          <w:rFonts w:ascii="仿宋_GB2312" w:eastAsia="仿宋_GB2312" w:hint="eastAsia"/>
          <w:sz w:val="32"/>
          <w:szCs w:val="32"/>
        </w:rPr>
        <w:t>浙商汇金锦利增强</w:t>
      </w:r>
      <w:r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天持有期债券型证券投资基金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47564E" w:rsidRDefault="003232A7">
      <w:pPr>
        <w:pStyle w:val="dazhangjie"/>
        <w:spacing w:before="0" w:line="240" w:lineRule="auto"/>
        <w:ind w:leftChars="7" w:firstLineChars="200" w:firstLine="640"/>
        <w:jc w:val="left"/>
        <w:outlineLvl w:val="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36</w:t>
      </w:r>
      <w:r>
        <w:rPr>
          <w:rFonts w:ascii="仿宋_GB2312" w:eastAsia="仿宋_GB2312" w:hint="eastAsia"/>
          <w:sz w:val="32"/>
          <w:szCs w:val="32"/>
        </w:rPr>
        <w:t>浙商汇金上证科创板综合指数型证券投资基金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年第四季度报告</w:t>
      </w:r>
    </w:p>
    <w:p w:rsidR="0047564E" w:rsidRDefault="0047564E">
      <w:pPr>
        <w:pStyle w:val="dazhangjie"/>
        <w:spacing w:before="0" w:line="240" w:lineRule="auto"/>
        <w:ind w:leftChars="7" w:firstLineChars="200" w:firstLine="640"/>
        <w:jc w:val="left"/>
        <w:outlineLvl w:val="9"/>
        <w:rPr>
          <w:rFonts w:ascii="仿宋_GB2312" w:eastAsia="仿宋_GB2312"/>
          <w:sz w:val="32"/>
          <w:szCs w:val="32"/>
        </w:rPr>
      </w:pPr>
    </w:p>
    <w:p w:rsidR="0047564E" w:rsidRDefault="003232A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上述基金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年第四季度报告</w:t>
      </w:r>
      <w:r>
        <w:rPr>
          <w:rFonts w:ascii="仿宋_GB2312" w:eastAsia="仿宋_GB2312" w:hint="eastAsia"/>
          <w:sz w:val="32"/>
          <w:szCs w:val="32"/>
        </w:rPr>
        <w:t>全文于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日在本公司网站（</w:t>
      </w:r>
      <w:hyperlink r:id="rId5" w:history="1">
        <w:r>
          <w:rPr>
            <w:rStyle w:val="a9"/>
            <w:rFonts w:ascii="仿宋_GB2312" w:eastAsia="仿宋_GB2312" w:hint="eastAsia"/>
            <w:color w:val="auto"/>
            <w:sz w:val="32"/>
            <w:szCs w:val="32"/>
            <w:u w:val="none"/>
          </w:rPr>
          <w:t>www.stocke.com.cn</w:t>
        </w:r>
      </w:hyperlink>
      <w:r>
        <w:rPr>
          <w:rFonts w:ascii="仿宋_GB2312" w:eastAsia="仿宋_GB2312" w:hint="eastAsia"/>
          <w:sz w:val="32"/>
          <w:szCs w:val="32"/>
        </w:rPr>
        <w:t>）和中国证监会基金电子披露网站（</w:t>
      </w:r>
      <w:r>
        <w:rPr>
          <w:rFonts w:ascii="仿宋_GB2312" w:eastAsia="仿宋_GB2312" w:hint="eastAsia"/>
          <w:sz w:val="32"/>
          <w:szCs w:val="32"/>
        </w:rPr>
        <w:t>http://eid.csrc.gov.cn/fund</w:t>
      </w:r>
      <w:r>
        <w:rPr>
          <w:rFonts w:ascii="仿宋_GB2312" w:eastAsia="仿宋_GB2312" w:hint="eastAsia"/>
          <w:sz w:val="32"/>
          <w:szCs w:val="32"/>
        </w:rPr>
        <w:t>）披露，供投资者查阅。如有疑问可拨打本公司客服电话（</w:t>
      </w:r>
      <w:r>
        <w:rPr>
          <w:rFonts w:ascii="仿宋_GB2312" w:eastAsia="仿宋_GB2312" w:hint="eastAsia"/>
          <w:sz w:val="32"/>
          <w:szCs w:val="32"/>
        </w:rPr>
        <w:t>95345</w:t>
      </w:r>
      <w:r>
        <w:rPr>
          <w:rFonts w:ascii="仿宋_GB2312" w:eastAsia="仿宋_GB2312" w:hint="eastAsia"/>
          <w:sz w:val="32"/>
          <w:szCs w:val="32"/>
        </w:rPr>
        <w:t>）咨询。</w:t>
      </w:r>
    </w:p>
    <w:p w:rsidR="0047564E" w:rsidRDefault="0047564E">
      <w:pPr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47564E" w:rsidRDefault="003232A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本基金管理人承诺以诚实信用、勤勉尽责的原则管理和运用基金资产，但不保证上述基金一定盈利，也不保证最低收益。请充分了解上述基金的风险收益特征，审慎做出投资决定。</w:t>
      </w:r>
    </w:p>
    <w:p w:rsidR="0047564E" w:rsidRDefault="003232A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特此公告。</w:t>
      </w:r>
    </w:p>
    <w:p w:rsidR="0047564E" w:rsidRDefault="003232A7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</w:t>
      </w:r>
      <w:r>
        <w:rPr>
          <w:rFonts w:ascii="仿宋_GB2312" w:eastAsia="仿宋_GB2312" w:hint="eastAsia"/>
          <w:sz w:val="32"/>
          <w:szCs w:val="32"/>
        </w:rPr>
        <w:t>浙江浙商证券资产管理有限公司</w:t>
      </w:r>
    </w:p>
    <w:p w:rsidR="0047564E" w:rsidRDefault="003232A7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47564E" w:rsidSect="00475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011C1"/>
    <w:rsid w:val="00073B4D"/>
    <w:rsid w:val="000E2A5D"/>
    <w:rsid w:val="000F0ACE"/>
    <w:rsid w:val="00100936"/>
    <w:rsid w:val="00130460"/>
    <w:rsid w:val="00130725"/>
    <w:rsid w:val="001A7F57"/>
    <w:rsid w:val="001C6507"/>
    <w:rsid w:val="002519A0"/>
    <w:rsid w:val="003232A7"/>
    <w:rsid w:val="003A1F8F"/>
    <w:rsid w:val="003E1D1E"/>
    <w:rsid w:val="00445AB8"/>
    <w:rsid w:val="0047564E"/>
    <w:rsid w:val="004F6231"/>
    <w:rsid w:val="00540EED"/>
    <w:rsid w:val="005443B2"/>
    <w:rsid w:val="00620C69"/>
    <w:rsid w:val="00634B0A"/>
    <w:rsid w:val="006E15DC"/>
    <w:rsid w:val="00732019"/>
    <w:rsid w:val="007509EC"/>
    <w:rsid w:val="00776265"/>
    <w:rsid w:val="0078126A"/>
    <w:rsid w:val="008B2A7B"/>
    <w:rsid w:val="008C7B57"/>
    <w:rsid w:val="009249B6"/>
    <w:rsid w:val="00927F75"/>
    <w:rsid w:val="00974F9B"/>
    <w:rsid w:val="009A0488"/>
    <w:rsid w:val="009F0E7A"/>
    <w:rsid w:val="00B22B20"/>
    <w:rsid w:val="00B251B6"/>
    <w:rsid w:val="00B300C9"/>
    <w:rsid w:val="00BD3146"/>
    <w:rsid w:val="00C953AE"/>
    <w:rsid w:val="00CA6700"/>
    <w:rsid w:val="00CE52DB"/>
    <w:rsid w:val="00CE5676"/>
    <w:rsid w:val="00E011C1"/>
    <w:rsid w:val="00FA78C0"/>
    <w:rsid w:val="00FC183F"/>
    <w:rsid w:val="06712FDB"/>
    <w:rsid w:val="09A669A7"/>
    <w:rsid w:val="0E8502C3"/>
    <w:rsid w:val="11E9385C"/>
    <w:rsid w:val="15BE750C"/>
    <w:rsid w:val="1A856E17"/>
    <w:rsid w:val="1DD7639B"/>
    <w:rsid w:val="20D023E5"/>
    <w:rsid w:val="215C7B3A"/>
    <w:rsid w:val="222D2492"/>
    <w:rsid w:val="2B374F93"/>
    <w:rsid w:val="2CFE525A"/>
    <w:rsid w:val="35C05BD3"/>
    <w:rsid w:val="3B204685"/>
    <w:rsid w:val="4361516E"/>
    <w:rsid w:val="497D6348"/>
    <w:rsid w:val="4FFA3385"/>
    <w:rsid w:val="50CD7D7E"/>
    <w:rsid w:val="51D406EE"/>
    <w:rsid w:val="526633BC"/>
    <w:rsid w:val="59B9171B"/>
    <w:rsid w:val="601B2386"/>
    <w:rsid w:val="64BF2C1A"/>
    <w:rsid w:val="68A32777"/>
    <w:rsid w:val="68C15785"/>
    <w:rsid w:val="6AED6C1C"/>
    <w:rsid w:val="6C3D4EEE"/>
    <w:rsid w:val="6D2F5CDA"/>
    <w:rsid w:val="6D976AA2"/>
    <w:rsid w:val="707A36E2"/>
    <w:rsid w:val="757627FF"/>
    <w:rsid w:val="7A5C0F35"/>
    <w:rsid w:val="7C1E4109"/>
    <w:rsid w:val="7C925059"/>
    <w:rsid w:val="7E2D22FE"/>
    <w:rsid w:val="7F791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64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756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75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4756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7564E"/>
  </w:style>
  <w:style w:type="character" w:styleId="a7">
    <w:name w:val="FollowedHyperlink"/>
    <w:basedOn w:val="a0"/>
    <w:uiPriority w:val="99"/>
    <w:semiHidden/>
    <w:unhideWhenUsed/>
    <w:qFormat/>
    <w:rsid w:val="0047564E"/>
    <w:rPr>
      <w:color w:val="800080"/>
      <w:u w:val="none"/>
    </w:rPr>
  </w:style>
  <w:style w:type="character" w:styleId="a8">
    <w:name w:val="Emphasis"/>
    <w:basedOn w:val="a0"/>
    <w:uiPriority w:val="20"/>
    <w:qFormat/>
    <w:rsid w:val="0047564E"/>
  </w:style>
  <w:style w:type="character" w:styleId="a9">
    <w:name w:val="Hyperlink"/>
    <w:basedOn w:val="a0"/>
    <w:uiPriority w:val="99"/>
    <w:unhideWhenUsed/>
    <w:qFormat/>
    <w:rsid w:val="0047564E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47564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7564E"/>
    <w:rPr>
      <w:sz w:val="18"/>
      <w:szCs w:val="18"/>
    </w:rPr>
  </w:style>
  <w:style w:type="character" w:customStyle="1" w:styleId="dothide">
    <w:name w:val="dot_hide"/>
    <w:basedOn w:val="a0"/>
    <w:qFormat/>
    <w:rsid w:val="0047564E"/>
    <w:rPr>
      <w:vanish/>
    </w:rPr>
  </w:style>
  <w:style w:type="character" w:customStyle="1" w:styleId="on">
    <w:name w:val="on"/>
    <w:basedOn w:val="a0"/>
    <w:qFormat/>
    <w:rsid w:val="0047564E"/>
    <w:rPr>
      <w:color w:val="D70E19"/>
    </w:rPr>
  </w:style>
  <w:style w:type="character" w:customStyle="1" w:styleId="on1">
    <w:name w:val="on1"/>
    <w:basedOn w:val="a0"/>
    <w:qFormat/>
    <w:rsid w:val="0047564E"/>
    <w:rPr>
      <w:color w:val="FFFFFF"/>
      <w:shd w:val="clear" w:color="auto" w:fill="D70E19"/>
    </w:rPr>
  </w:style>
  <w:style w:type="character" w:customStyle="1" w:styleId="on2">
    <w:name w:val="on2"/>
    <w:basedOn w:val="a0"/>
    <w:qFormat/>
    <w:rsid w:val="0047564E"/>
    <w:rPr>
      <w:color w:val="D70E19"/>
      <w:shd w:val="clear" w:color="auto" w:fill="FFFFFF"/>
    </w:rPr>
  </w:style>
  <w:style w:type="character" w:customStyle="1" w:styleId="on3">
    <w:name w:val="on3"/>
    <w:basedOn w:val="a0"/>
    <w:qFormat/>
    <w:rsid w:val="0047564E"/>
    <w:rPr>
      <w:color w:val="FFFFFF"/>
      <w:shd w:val="clear" w:color="auto" w:fill="D70E19"/>
    </w:rPr>
  </w:style>
  <w:style w:type="character" w:customStyle="1" w:styleId="dotshow">
    <w:name w:val="dot_show"/>
    <w:basedOn w:val="a0"/>
    <w:qFormat/>
    <w:rsid w:val="0047564E"/>
  </w:style>
  <w:style w:type="character" w:customStyle="1" w:styleId="on4">
    <w:name w:val="on4"/>
    <w:basedOn w:val="a0"/>
    <w:qFormat/>
    <w:rsid w:val="0047564E"/>
    <w:rPr>
      <w:color w:val="D70E19"/>
      <w:shd w:val="clear" w:color="auto" w:fill="FFFFFF"/>
    </w:rPr>
  </w:style>
  <w:style w:type="paragraph" w:customStyle="1" w:styleId="dazhangjie">
    <w:name w:val="dazhangjie"/>
    <w:basedOn w:val="a"/>
    <w:rsid w:val="0047564E"/>
    <w:pPr>
      <w:widowControl/>
      <w:autoSpaceDE w:val="0"/>
      <w:autoSpaceDN w:val="0"/>
      <w:adjustRightInd w:val="0"/>
      <w:spacing w:before="30" w:line="288" w:lineRule="auto"/>
      <w:ind w:left="15"/>
      <w:jc w:val="center"/>
      <w:outlineLvl w:val="0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tocke.com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C370A-A302-438E-BFFD-07FD7B1CE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261</Words>
  <Characters>1488</Characters>
  <Application>Microsoft Office Word</Application>
  <DocSecurity>4</DocSecurity>
  <Lines>12</Lines>
  <Paragraphs>3</Paragraphs>
  <ScaleCrop>false</ScaleCrop>
  <Company>CNSTOCK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郑渊勤</dc:creator>
  <cp:lastModifiedBy>ZHONGM</cp:lastModifiedBy>
  <cp:revision>2</cp:revision>
  <dcterms:created xsi:type="dcterms:W3CDTF">2026-01-21T16:02:00Z</dcterms:created>
  <dcterms:modified xsi:type="dcterms:W3CDTF">2026-01-21T16:02:00Z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627131816B1840BCBF49044D9AE2FE2B</vt:lpwstr>
  </property>
  <property fmtid="{D5CDD505-2E9C-101B-9397-08002B2CF9AE}" pid="4" name="fileWhereFroms">
    <vt:lpwstr>PpjeLB1gRN0lwrPqMaCTkv/89CNbHOyNRnp3vHXR5VApbImZB6YWgt4YKZ5wkDdG0mNo7iQcTpQuXgp2YsgaDNA9Zcc0qWEwSDUgOVHSUPCL1Kex5PfDuKQOg5o6epURyAbSwJ04vE1fHkppSrnpJglEBdVdsGgQcT4cj5iwp8qIhK0bjhRO8rl7+C9ZX93O2McSnodtyBkrqntfosxQlZxY8Avz/ZJN2fRb9E36OzZ+jedQQFnuTnbJ28mSEWf</vt:lpwstr>
  </property>
</Properties>
</file>