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3B" w:rsidRPr="001F12D1" w:rsidRDefault="00CC7F42" w:rsidP="00177B3B">
      <w:pPr>
        <w:pStyle w:val="font14"/>
        <w:jc w:val="center"/>
        <w:rPr>
          <w:rFonts w:asciiTheme="majorEastAsia" w:eastAsiaTheme="majorEastAsia" w:hAnsiTheme="majorEastAsia"/>
        </w:rPr>
      </w:pPr>
      <w:r w:rsidRPr="001F12D1">
        <w:rPr>
          <w:rStyle w:val="a8"/>
          <w:rFonts w:asciiTheme="majorEastAsia" w:eastAsiaTheme="majorEastAsia" w:hAnsiTheme="majorEastAsia" w:hint="eastAsia"/>
          <w:sz w:val="24"/>
          <w:szCs w:val="24"/>
        </w:rPr>
        <w:t>易方达基金管理有限公司</w:t>
      </w:r>
      <w:r w:rsidR="002B36C1">
        <w:rPr>
          <w:rStyle w:val="a8"/>
          <w:rFonts w:asciiTheme="majorEastAsia" w:eastAsiaTheme="majorEastAsia" w:hAnsiTheme="majorEastAsia" w:hint="eastAsia"/>
          <w:sz w:val="24"/>
          <w:szCs w:val="24"/>
        </w:rPr>
        <w:t>关于旗下基金</w:t>
      </w:r>
      <w:r w:rsidRPr="00C251FE">
        <w:rPr>
          <w:rStyle w:val="a8"/>
          <w:rFonts w:asciiTheme="majorEastAsia" w:eastAsiaTheme="majorEastAsia" w:hAnsiTheme="majorEastAsia" w:hint="eastAsia"/>
          <w:sz w:val="24"/>
          <w:szCs w:val="24"/>
        </w:rPr>
        <w:t>关联交易事项的公告</w:t>
      </w:r>
    </w:p>
    <w:p w:rsidR="00177B3B" w:rsidRPr="001F12D1" w:rsidRDefault="00CC7F42" w:rsidP="00FC1244">
      <w:pPr>
        <w:pStyle w:val="Default"/>
        <w:spacing w:line="360" w:lineRule="auto"/>
        <w:ind w:firstLineChars="210" w:firstLine="504"/>
        <w:rPr>
          <w:rFonts w:asciiTheme="majorEastAsia" w:eastAsiaTheme="majorEastAsia" w:hAnsiTheme="majorEastAsia"/>
        </w:rPr>
      </w:pPr>
      <w:r w:rsidRPr="006B6352">
        <w:rPr>
          <w:rFonts w:asciiTheme="majorEastAsia" w:eastAsiaTheme="majorEastAsia" w:hAnsiTheme="majorEastAsia" w:hint="eastAsia"/>
        </w:rPr>
        <w:t>根据《公开募集证券投资基金运作管理办法》《公开募集证券投资基金信息披露管理办法》及相关法律法规、基金合同及招募说明书等规定，在履行规定审批程序并经基金托管人同意后，</w:t>
      </w:r>
      <w:r w:rsidR="00D75442" w:rsidRPr="00D75442">
        <w:rPr>
          <w:rFonts w:asciiTheme="majorEastAsia" w:eastAsiaTheme="majorEastAsia" w:hAnsiTheme="majorEastAsia" w:hint="eastAsia"/>
        </w:rPr>
        <w:t>易方达基金管理有限公司旗下部分公募基金</w:t>
      </w:r>
      <w:r w:rsidR="00DB7585">
        <w:rPr>
          <w:rFonts w:asciiTheme="majorEastAsia" w:eastAsiaTheme="majorEastAsia" w:hAnsiTheme="majorEastAsia" w:hint="eastAsia"/>
        </w:rPr>
        <w:t>参加了</w:t>
      </w:r>
      <w:r w:rsidR="006960AC" w:rsidRPr="006960AC">
        <w:rPr>
          <w:rFonts w:asciiTheme="majorEastAsia" w:eastAsiaTheme="majorEastAsia" w:hAnsiTheme="majorEastAsia" w:hint="eastAsia"/>
          <w:bCs/>
        </w:rPr>
        <w:t>深圳市恒运昌真空技术股份有限公司</w:t>
      </w:r>
      <w:r w:rsidR="002A359B">
        <w:rPr>
          <w:rFonts w:asciiTheme="majorEastAsia" w:eastAsiaTheme="majorEastAsia" w:hAnsiTheme="majorEastAsia" w:hint="eastAsia"/>
          <w:bCs/>
        </w:rPr>
        <w:t>（以下简称“</w:t>
      </w:r>
      <w:r w:rsidR="006960AC" w:rsidRPr="006960AC">
        <w:rPr>
          <w:rFonts w:asciiTheme="majorEastAsia" w:eastAsiaTheme="majorEastAsia" w:hAnsiTheme="majorEastAsia" w:hint="eastAsia"/>
          <w:bCs/>
        </w:rPr>
        <w:t>恒运昌</w:t>
      </w:r>
      <w:r w:rsidR="002A359B">
        <w:rPr>
          <w:rFonts w:asciiTheme="majorEastAsia" w:eastAsiaTheme="majorEastAsia" w:hAnsiTheme="majorEastAsia" w:hint="eastAsia"/>
          <w:bCs/>
        </w:rPr>
        <w:t>”）</w:t>
      </w:r>
      <w:r w:rsidR="00DB7585">
        <w:rPr>
          <w:rFonts w:asciiTheme="majorEastAsia" w:eastAsiaTheme="majorEastAsia" w:hAnsiTheme="majorEastAsia" w:hint="eastAsia"/>
        </w:rPr>
        <w:t>首次公开发行股票的</w:t>
      </w:r>
      <w:r w:rsidR="00CA6AE8">
        <w:rPr>
          <w:rFonts w:asciiTheme="majorEastAsia" w:eastAsiaTheme="majorEastAsia" w:hAnsiTheme="majorEastAsia" w:hint="eastAsia"/>
        </w:rPr>
        <w:t>网下</w:t>
      </w:r>
      <w:r w:rsidR="00DB7585">
        <w:rPr>
          <w:rFonts w:asciiTheme="majorEastAsia" w:eastAsiaTheme="majorEastAsia" w:hAnsiTheme="majorEastAsia" w:hint="eastAsia"/>
        </w:rPr>
        <w:t>申购</w:t>
      </w:r>
      <w:r w:rsidRPr="001F12D1">
        <w:rPr>
          <w:rFonts w:asciiTheme="majorEastAsia" w:eastAsiaTheme="majorEastAsia" w:hAnsiTheme="majorEastAsia" w:hint="eastAsia"/>
        </w:rPr>
        <w:t>，</w:t>
      </w:r>
      <w:r w:rsidR="006960AC" w:rsidRPr="006960AC">
        <w:rPr>
          <w:rFonts w:asciiTheme="majorEastAsia" w:eastAsiaTheme="majorEastAsia" w:hAnsiTheme="majorEastAsia" w:hint="eastAsia"/>
          <w:bCs/>
        </w:rPr>
        <w:t>恒运昌</w:t>
      </w:r>
      <w:r w:rsidRPr="001F12D1">
        <w:rPr>
          <w:rFonts w:asciiTheme="majorEastAsia" w:eastAsiaTheme="majorEastAsia" w:hAnsiTheme="majorEastAsia" w:hint="eastAsia"/>
        </w:rPr>
        <w:t>本次发行的</w:t>
      </w:r>
      <w:r w:rsidR="00C67F7A" w:rsidRPr="00C67F7A">
        <w:rPr>
          <w:rFonts w:asciiTheme="majorEastAsia" w:eastAsiaTheme="majorEastAsia" w:hAnsiTheme="majorEastAsia" w:hint="eastAsia"/>
        </w:rPr>
        <w:t>主承销商</w:t>
      </w:r>
      <w:r w:rsidR="00CA6AE8" w:rsidRPr="001D68B2">
        <w:rPr>
          <w:rFonts w:asciiTheme="majorEastAsia" w:eastAsiaTheme="majorEastAsia" w:hAnsiTheme="majorEastAsia" w:hint="eastAsia"/>
        </w:rPr>
        <w:t>中信证券股份有限公司</w:t>
      </w:r>
      <w:r w:rsidR="00CA6AE8" w:rsidRPr="001F12D1">
        <w:rPr>
          <w:rFonts w:asciiTheme="majorEastAsia" w:eastAsiaTheme="majorEastAsia" w:hAnsiTheme="majorEastAsia" w:hint="eastAsia"/>
        </w:rPr>
        <w:t>为基金托管人</w:t>
      </w:r>
      <w:r w:rsidRPr="001F12D1">
        <w:rPr>
          <w:rFonts w:asciiTheme="majorEastAsia" w:eastAsiaTheme="majorEastAsia" w:hAnsiTheme="majorEastAsia" w:hint="eastAsia"/>
        </w:rPr>
        <w:t>。</w:t>
      </w:r>
      <w:r w:rsidR="006960AC" w:rsidRPr="006960AC">
        <w:rPr>
          <w:rFonts w:asciiTheme="majorEastAsia" w:eastAsiaTheme="majorEastAsia" w:hAnsiTheme="majorEastAsia" w:hint="eastAsia"/>
          <w:bCs/>
        </w:rPr>
        <w:t>恒运昌</w:t>
      </w:r>
      <w:r w:rsidRPr="00C251FE">
        <w:rPr>
          <w:rFonts w:asciiTheme="majorEastAsia" w:eastAsiaTheme="majorEastAsia" w:hAnsiTheme="majorEastAsia" w:hint="eastAsia"/>
        </w:rPr>
        <w:t>本次发行价格为</w:t>
      </w:r>
      <w:r w:rsidR="006960AC">
        <w:rPr>
          <w:rFonts w:asciiTheme="majorEastAsia" w:eastAsiaTheme="majorEastAsia" w:hAnsiTheme="majorEastAsia"/>
        </w:rPr>
        <w:t>92.18</w:t>
      </w:r>
      <w:r w:rsidRPr="00C251FE">
        <w:rPr>
          <w:rFonts w:asciiTheme="majorEastAsia" w:eastAsiaTheme="majorEastAsia" w:hAnsiTheme="majorEastAsia" w:hint="eastAsia"/>
        </w:rPr>
        <w:t>元</w:t>
      </w:r>
      <w:r w:rsidRPr="00C251FE">
        <w:rPr>
          <w:rFonts w:asciiTheme="majorEastAsia" w:eastAsiaTheme="majorEastAsia" w:hAnsiTheme="majorEastAsia" w:hint="eastAsia"/>
        </w:rPr>
        <w:t>/</w:t>
      </w:r>
      <w:r w:rsidRPr="00C251FE">
        <w:rPr>
          <w:rFonts w:asciiTheme="majorEastAsia" w:eastAsiaTheme="majorEastAsia" w:hAnsiTheme="majorEastAsia" w:hint="eastAsia"/>
        </w:rPr>
        <w:t>股，</w:t>
      </w:r>
      <w:r w:rsidRPr="009F700D">
        <w:rPr>
          <w:rFonts w:asciiTheme="majorEastAsia" w:eastAsiaTheme="majorEastAsia" w:hAnsiTheme="majorEastAsia" w:hint="eastAsia"/>
        </w:rPr>
        <w:t>由</w:t>
      </w:r>
      <w:r w:rsidR="006960AC" w:rsidRPr="006960AC">
        <w:rPr>
          <w:rFonts w:asciiTheme="majorEastAsia" w:eastAsiaTheme="majorEastAsia" w:hAnsiTheme="majorEastAsia" w:hint="eastAsia"/>
        </w:rPr>
        <w:t>发行人和保荐人（主承销商）根据初步询价结果，综合评估</w:t>
      </w:r>
      <w:r w:rsidR="006960AC">
        <w:rPr>
          <w:rFonts w:asciiTheme="majorEastAsia" w:eastAsiaTheme="majorEastAsia" w:hAnsiTheme="majorEastAsia" w:hint="eastAsia"/>
        </w:rPr>
        <w:t>发行人</w:t>
      </w:r>
      <w:r w:rsidR="006960AC" w:rsidRPr="006960AC">
        <w:rPr>
          <w:rFonts w:asciiTheme="majorEastAsia" w:eastAsiaTheme="majorEastAsia" w:hAnsiTheme="majorEastAsia" w:hint="eastAsia"/>
        </w:rPr>
        <w:t>合理投资价值、同行业上市公司估值水平、所属行业二级市场估值水平等方面，充分考虑网下投资</w:t>
      </w:r>
      <w:bookmarkStart w:id="0" w:name="_GoBack"/>
      <w:bookmarkEnd w:id="0"/>
      <w:r w:rsidR="006960AC" w:rsidRPr="006960AC">
        <w:rPr>
          <w:rFonts w:asciiTheme="majorEastAsia" w:eastAsiaTheme="majorEastAsia" w:hAnsiTheme="majorEastAsia" w:hint="eastAsia"/>
        </w:rPr>
        <w:t>者有效申购倍数、市场情况、募集资金需求及承销风险等因素</w:t>
      </w:r>
      <w:r w:rsidR="00954324">
        <w:rPr>
          <w:rFonts w:asciiTheme="majorEastAsia" w:eastAsiaTheme="majorEastAsia" w:hAnsiTheme="majorEastAsia" w:hint="eastAsia"/>
        </w:rPr>
        <w:t>协商</w:t>
      </w:r>
      <w:r w:rsidRPr="00C251FE">
        <w:rPr>
          <w:rFonts w:asciiTheme="majorEastAsia" w:eastAsiaTheme="majorEastAsia" w:hAnsiTheme="majorEastAsia" w:hint="eastAsia"/>
        </w:rPr>
        <w:t>确定。</w:t>
      </w:r>
    </w:p>
    <w:p w:rsidR="00177B3B" w:rsidRPr="001F12D1" w:rsidRDefault="00CC7F42" w:rsidP="00177B3B">
      <w:pPr>
        <w:pStyle w:val="Default"/>
        <w:spacing w:line="360" w:lineRule="auto"/>
        <w:ind w:firstLineChars="210" w:firstLine="504"/>
        <w:rPr>
          <w:rFonts w:asciiTheme="majorEastAsia" w:eastAsiaTheme="majorEastAsia" w:hAnsiTheme="majorEastAsia"/>
        </w:rPr>
      </w:pPr>
      <w:r w:rsidRPr="001F12D1">
        <w:rPr>
          <w:rFonts w:asciiTheme="majorEastAsia" w:eastAsiaTheme="majorEastAsia" w:hAnsiTheme="majorEastAsia" w:hint="eastAsia"/>
        </w:rPr>
        <w:t>现将获配结果披露如下表：</w:t>
      </w:r>
    </w:p>
    <w:p w:rsidR="00177B3B" w:rsidRPr="004C77B0" w:rsidRDefault="00177B3B" w:rsidP="00177B3B">
      <w:pPr>
        <w:widowControl/>
        <w:spacing w:line="360" w:lineRule="auto"/>
        <w:jc w:val="left"/>
        <w:rPr>
          <w:rFonts w:asciiTheme="majorEastAsia" w:eastAsiaTheme="majorEastAsia" w:hAnsiTheme="majorEastAsia"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2"/>
        <w:gridCol w:w="1417"/>
        <w:gridCol w:w="1517"/>
      </w:tblGrid>
      <w:tr w:rsidR="00634B21" w:rsidTr="006D1009">
        <w:trPr>
          <w:trHeight w:val="270"/>
        </w:trPr>
        <w:tc>
          <w:tcPr>
            <w:tcW w:w="32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009" w:rsidRPr="001F12D1" w:rsidRDefault="00CC7F42" w:rsidP="009F700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1F12D1">
              <w:rPr>
                <w:rFonts w:asciiTheme="majorEastAsia" w:eastAsiaTheme="majorEastAsia" w:hAnsiTheme="majorEastAsia" w:cs="Arial" w:hint="eastAsia"/>
                <w:szCs w:val="21"/>
              </w:rPr>
              <w:t>基金名称</w:t>
            </w:r>
          </w:p>
        </w:tc>
        <w:tc>
          <w:tcPr>
            <w:tcW w:w="85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009" w:rsidRPr="001F12D1" w:rsidRDefault="00CC7F42" w:rsidP="009F700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1F12D1">
              <w:rPr>
                <w:rFonts w:asciiTheme="majorEastAsia" w:eastAsiaTheme="majorEastAsia" w:hAnsiTheme="majorEastAsia" w:cs="Arial" w:hint="eastAsia"/>
                <w:szCs w:val="21"/>
              </w:rPr>
              <w:t>获配数量（股）</w:t>
            </w:r>
          </w:p>
        </w:tc>
        <w:tc>
          <w:tcPr>
            <w:tcW w:w="91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1009" w:rsidRPr="001F12D1" w:rsidRDefault="00CC7F42" w:rsidP="009F700D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1F12D1">
              <w:rPr>
                <w:rFonts w:asciiTheme="majorEastAsia" w:eastAsiaTheme="majorEastAsia" w:hAnsiTheme="majorEastAsia" w:cs="Arial" w:hint="eastAsia"/>
                <w:szCs w:val="21"/>
              </w:rPr>
              <w:t>获配金额（元）</w:t>
            </w:r>
          </w:p>
        </w:tc>
      </w:tr>
      <w:tr w:rsidR="00634B21" w:rsidTr="006D1009">
        <w:trPr>
          <w:trHeight w:val="285"/>
        </w:trPr>
        <w:tc>
          <w:tcPr>
            <w:tcW w:w="32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1244" w:rsidRPr="001D68B2" w:rsidRDefault="00CC7F42" w:rsidP="00FC1244">
            <w:pPr>
              <w:jc w:val="center"/>
              <w:rPr>
                <w:rFonts w:asciiTheme="majorEastAsia" w:eastAsiaTheme="majorEastAsia" w:hAnsiTheme="majorEastAsia" w:cs="Arial"/>
              </w:rPr>
            </w:pPr>
            <w:r w:rsidRPr="00D75442">
              <w:rPr>
                <w:rFonts w:asciiTheme="majorEastAsia" w:eastAsiaTheme="majorEastAsia" w:hAnsiTheme="majorEastAsia" w:cs="Arial" w:hint="eastAsia"/>
              </w:rPr>
              <w:t>易方达中证长江保护主题交易型开放式指数证券投资基金</w:t>
            </w:r>
          </w:p>
        </w:tc>
        <w:tc>
          <w:tcPr>
            <w:tcW w:w="85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1244" w:rsidRPr="00075D27" w:rsidRDefault="00CC7F42" w:rsidP="00FC1244">
            <w:pPr>
              <w:jc w:val="right"/>
              <w:rPr>
                <w:rFonts w:asciiTheme="majorEastAsia" w:eastAsiaTheme="majorEastAsia" w:hAnsiTheme="majorEastAsia" w:cs="Arial"/>
                <w:szCs w:val="21"/>
              </w:rPr>
            </w:pPr>
            <w:r w:rsidRPr="006960AC">
              <w:rPr>
                <w:rFonts w:asciiTheme="majorEastAsia" w:eastAsiaTheme="majorEastAsia" w:hAnsiTheme="majorEastAsia" w:cs="Arial"/>
                <w:szCs w:val="21"/>
              </w:rPr>
              <w:t>1,155</w:t>
            </w:r>
          </w:p>
        </w:tc>
        <w:tc>
          <w:tcPr>
            <w:tcW w:w="91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1244" w:rsidRPr="00075D27" w:rsidRDefault="00CC7F42" w:rsidP="00FC1244">
            <w:pPr>
              <w:jc w:val="right"/>
              <w:rPr>
                <w:rFonts w:asciiTheme="majorEastAsia" w:eastAsiaTheme="majorEastAsia" w:hAnsiTheme="majorEastAsia" w:cs="Arial"/>
                <w:szCs w:val="21"/>
              </w:rPr>
            </w:pPr>
            <w:r w:rsidRPr="006960AC">
              <w:rPr>
                <w:rFonts w:asciiTheme="majorEastAsia" w:eastAsiaTheme="majorEastAsia" w:hAnsiTheme="majorEastAsia" w:cs="Arial"/>
                <w:szCs w:val="21"/>
              </w:rPr>
              <w:t>106,467.9</w:t>
            </w:r>
            <w:r>
              <w:rPr>
                <w:rFonts w:asciiTheme="majorEastAsia" w:eastAsiaTheme="majorEastAsia" w:hAnsiTheme="majorEastAsia" w:cs="Arial"/>
                <w:szCs w:val="21"/>
              </w:rPr>
              <w:t>0</w:t>
            </w:r>
          </w:p>
        </w:tc>
      </w:tr>
      <w:tr w:rsidR="00634B21" w:rsidTr="006D1009">
        <w:trPr>
          <w:trHeight w:val="285"/>
        </w:trPr>
        <w:tc>
          <w:tcPr>
            <w:tcW w:w="32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60AC" w:rsidRPr="001D68B2" w:rsidRDefault="00CC7F42" w:rsidP="006960AC">
            <w:pPr>
              <w:jc w:val="center"/>
              <w:rPr>
                <w:rFonts w:asciiTheme="majorEastAsia" w:eastAsiaTheme="majorEastAsia" w:hAnsiTheme="majorEastAsia" w:cs="Arial"/>
              </w:rPr>
            </w:pPr>
            <w:r w:rsidRPr="00D75442">
              <w:rPr>
                <w:rFonts w:asciiTheme="majorEastAsia" w:eastAsiaTheme="majorEastAsia" w:hAnsiTheme="majorEastAsia" w:cs="Arial" w:hint="eastAsia"/>
              </w:rPr>
              <w:t>易方达国证成长</w:t>
            </w:r>
            <w:r w:rsidRPr="00D75442">
              <w:rPr>
                <w:rFonts w:asciiTheme="majorEastAsia" w:eastAsiaTheme="majorEastAsia" w:hAnsiTheme="majorEastAsia" w:cs="Arial" w:hint="eastAsia"/>
              </w:rPr>
              <w:t>100</w:t>
            </w:r>
            <w:r w:rsidRPr="00D75442">
              <w:rPr>
                <w:rFonts w:asciiTheme="majorEastAsia" w:eastAsiaTheme="majorEastAsia" w:hAnsiTheme="majorEastAsia" w:cs="Arial" w:hint="eastAsia"/>
              </w:rPr>
              <w:t>交易型开放式指数证券投资基金</w:t>
            </w:r>
          </w:p>
        </w:tc>
        <w:tc>
          <w:tcPr>
            <w:tcW w:w="85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60AC" w:rsidRPr="00075D27" w:rsidRDefault="00CC7F42" w:rsidP="006960AC">
            <w:pPr>
              <w:jc w:val="right"/>
              <w:rPr>
                <w:rFonts w:asciiTheme="majorEastAsia" w:eastAsiaTheme="majorEastAsia" w:hAnsiTheme="majorEastAsia" w:cs="Arial"/>
                <w:szCs w:val="21"/>
              </w:rPr>
            </w:pPr>
            <w:r w:rsidRPr="006960AC">
              <w:rPr>
                <w:rFonts w:asciiTheme="majorEastAsia" w:eastAsiaTheme="majorEastAsia" w:hAnsiTheme="majorEastAsia" w:cs="Arial"/>
                <w:szCs w:val="21"/>
              </w:rPr>
              <w:t>1,155</w:t>
            </w:r>
          </w:p>
        </w:tc>
        <w:tc>
          <w:tcPr>
            <w:tcW w:w="91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60AC" w:rsidRPr="00075D27" w:rsidRDefault="00CC7F42" w:rsidP="006960AC">
            <w:pPr>
              <w:jc w:val="right"/>
              <w:rPr>
                <w:rFonts w:asciiTheme="majorEastAsia" w:eastAsiaTheme="majorEastAsia" w:hAnsiTheme="majorEastAsia" w:cs="Arial"/>
                <w:szCs w:val="21"/>
              </w:rPr>
            </w:pPr>
            <w:r w:rsidRPr="006960AC">
              <w:rPr>
                <w:rFonts w:asciiTheme="majorEastAsia" w:eastAsiaTheme="majorEastAsia" w:hAnsiTheme="majorEastAsia" w:cs="Arial"/>
                <w:szCs w:val="21"/>
              </w:rPr>
              <w:t>106,467.9</w:t>
            </w:r>
            <w:r>
              <w:rPr>
                <w:rFonts w:asciiTheme="majorEastAsia" w:eastAsiaTheme="majorEastAsia" w:hAnsiTheme="majorEastAsia" w:cs="Arial"/>
                <w:szCs w:val="21"/>
              </w:rPr>
              <w:t>0</w:t>
            </w:r>
          </w:p>
        </w:tc>
      </w:tr>
      <w:tr w:rsidR="00634B21" w:rsidTr="006D1009">
        <w:trPr>
          <w:trHeight w:val="285"/>
        </w:trPr>
        <w:tc>
          <w:tcPr>
            <w:tcW w:w="32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1009" w:rsidRPr="001D68B2" w:rsidRDefault="00CC7F42" w:rsidP="00CA6AE8">
            <w:pPr>
              <w:jc w:val="center"/>
              <w:rPr>
                <w:rFonts w:asciiTheme="majorEastAsia" w:eastAsiaTheme="majorEastAsia" w:hAnsiTheme="majorEastAsia" w:cs="Arial"/>
              </w:rPr>
            </w:pPr>
            <w:r w:rsidRPr="00FC1244">
              <w:rPr>
                <w:rFonts w:asciiTheme="majorEastAsia" w:eastAsiaTheme="majorEastAsia" w:hAnsiTheme="majorEastAsia" w:cs="Arial" w:hint="eastAsia"/>
              </w:rPr>
              <w:t>易方达上证科创板新能源交易型开放式指数证券投资基金</w:t>
            </w:r>
          </w:p>
        </w:tc>
        <w:tc>
          <w:tcPr>
            <w:tcW w:w="85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1009" w:rsidRPr="00075D27" w:rsidRDefault="00CC7F42" w:rsidP="00CA6AE8">
            <w:pPr>
              <w:jc w:val="right"/>
              <w:rPr>
                <w:rFonts w:asciiTheme="majorEastAsia" w:eastAsiaTheme="majorEastAsia" w:hAnsiTheme="majorEastAsia" w:cs="Arial"/>
                <w:szCs w:val="21"/>
              </w:rPr>
            </w:pPr>
            <w:r w:rsidRPr="006960AC">
              <w:rPr>
                <w:rFonts w:asciiTheme="majorEastAsia" w:eastAsiaTheme="majorEastAsia" w:hAnsiTheme="majorEastAsia" w:cs="Arial"/>
                <w:szCs w:val="21"/>
              </w:rPr>
              <w:t>564</w:t>
            </w:r>
          </w:p>
        </w:tc>
        <w:tc>
          <w:tcPr>
            <w:tcW w:w="91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1009" w:rsidRPr="00075D27" w:rsidRDefault="00CC7F42" w:rsidP="00CA6AE8">
            <w:pPr>
              <w:jc w:val="right"/>
              <w:rPr>
                <w:rFonts w:asciiTheme="majorEastAsia" w:eastAsiaTheme="majorEastAsia" w:hAnsiTheme="majorEastAsia" w:cs="Arial"/>
                <w:szCs w:val="21"/>
              </w:rPr>
            </w:pPr>
            <w:r w:rsidRPr="006960AC">
              <w:rPr>
                <w:rFonts w:asciiTheme="majorEastAsia" w:eastAsiaTheme="majorEastAsia" w:hAnsiTheme="majorEastAsia" w:cs="Arial"/>
                <w:szCs w:val="21"/>
              </w:rPr>
              <w:t>51,989.52</w:t>
            </w:r>
          </w:p>
        </w:tc>
      </w:tr>
      <w:tr w:rsidR="00634B21" w:rsidTr="006D1009">
        <w:trPr>
          <w:trHeight w:val="285"/>
        </w:trPr>
        <w:tc>
          <w:tcPr>
            <w:tcW w:w="32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60AC" w:rsidRPr="00FC1244" w:rsidRDefault="00CC7F42" w:rsidP="006960AC">
            <w:pPr>
              <w:jc w:val="center"/>
              <w:rPr>
                <w:rFonts w:asciiTheme="majorEastAsia" w:eastAsiaTheme="majorEastAsia" w:hAnsiTheme="majorEastAsia" w:cs="Arial"/>
              </w:rPr>
            </w:pPr>
            <w:r w:rsidRPr="006960AC">
              <w:rPr>
                <w:rFonts w:asciiTheme="majorEastAsia" w:eastAsiaTheme="majorEastAsia" w:hAnsiTheme="majorEastAsia" w:cs="Arial" w:hint="eastAsia"/>
              </w:rPr>
              <w:t>易方达国证自由现金流交易型开放式指数证券投资基金</w:t>
            </w:r>
          </w:p>
        </w:tc>
        <w:tc>
          <w:tcPr>
            <w:tcW w:w="85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60AC" w:rsidRPr="00075D27" w:rsidRDefault="00CC7F42" w:rsidP="006960AC">
            <w:pPr>
              <w:jc w:val="right"/>
              <w:rPr>
                <w:rFonts w:asciiTheme="majorEastAsia" w:eastAsiaTheme="majorEastAsia" w:hAnsiTheme="majorEastAsia" w:cs="Arial"/>
                <w:szCs w:val="21"/>
              </w:rPr>
            </w:pPr>
            <w:r w:rsidRPr="006960AC">
              <w:rPr>
                <w:rFonts w:asciiTheme="majorEastAsia" w:eastAsiaTheme="majorEastAsia" w:hAnsiTheme="majorEastAsia" w:cs="Arial"/>
                <w:szCs w:val="21"/>
              </w:rPr>
              <w:t>1,155</w:t>
            </w:r>
          </w:p>
        </w:tc>
        <w:tc>
          <w:tcPr>
            <w:tcW w:w="91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60AC" w:rsidRPr="00075D27" w:rsidRDefault="00CC7F42" w:rsidP="006960AC">
            <w:pPr>
              <w:jc w:val="right"/>
              <w:rPr>
                <w:rFonts w:asciiTheme="majorEastAsia" w:eastAsiaTheme="majorEastAsia" w:hAnsiTheme="majorEastAsia" w:cs="Arial"/>
                <w:szCs w:val="21"/>
              </w:rPr>
            </w:pPr>
            <w:r w:rsidRPr="006960AC">
              <w:rPr>
                <w:rFonts w:asciiTheme="majorEastAsia" w:eastAsiaTheme="majorEastAsia" w:hAnsiTheme="majorEastAsia" w:cs="Arial"/>
                <w:szCs w:val="21"/>
              </w:rPr>
              <w:t>106,467.9</w:t>
            </w:r>
            <w:r>
              <w:rPr>
                <w:rFonts w:asciiTheme="majorEastAsia" w:eastAsiaTheme="majorEastAsia" w:hAnsiTheme="majorEastAsia" w:cs="Arial"/>
                <w:szCs w:val="21"/>
              </w:rPr>
              <w:t>0</w:t>
            </w:r>
          </w:p>
        </w:tc>
      </w:tr>
    </w:tbl>
    <w:p w:rsidR="00177B3B" w:rsidRPr="001F12D1" w:rsidRDefault="00177B3B" w:rsidP="00177B3B">
      <w:pPr>
        <w:widowControl/>
        <w:spacing w:line="360" w:lineRule="auto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177B3B" w:rsidRPr="001F12D1" w:rsidRDefault="00CC7F42" w:rsidP="00177B3B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 w:cs="宋体"/>
          <w:kern w:val="0"/>
          <w:sz w:val="24"/>
        </w:rPr>
      </w:pPr>
      <w:r w:rsidRPr="001F12D1">
        <w:rPr>
          <w:rFonts w:asciiTheme="majorEastAsia" w:eastAsiaTheme="majorEastAsia" w:hAnsiTheme="majorEastAsia" w:cs="宋体" w:hint="eastAsia"/>
          <w:kern w:val="0"/>
          <w:sz w:val="24"/>
        </w:rPr>
        <w:t>特此公告。</w:t>
      </w:r>
    </w:p>
    <w:p w:rsidR="00177B3B" w:rsidRPr="001F12D1" w:rsidRDefault="00CC7F42" w:rsidP="00177B3B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/>
          <w:kern w:val="0"/>
          <w:sz w:val="24"/>
        </w:rPr>
      </w:pPr>
      <w:r w:rsidRPr="001F12D1">
        <w:rPr>
          <w:rFonts w:asciiTheme="majorEastAsia" w:eastAsiaTheme="majorEastAsia" w:hAnsiTheme="majorEastAsia"/>
          <w:kern w:val="0"/>
          <w:sz w:val="24"/>
        </w:rPr>
        <w:t> </w:t>
      </w:r>
    </w:p>
    <w:p w:rsidR="00177B3B" w:rsidRPr="001F12D1" w:rsidRDefault="00CC7F42" w:rsidP="00177B3B">
      <w:pPr>
        <w:widowControl/>
        <w:ind w:firstLineChars="200" w:firstLine="480"/>
        <w:jc w:val="right"/>
        <w:rPr>
          <w:rFonts w:asciiTheme="majorEastAsia" w:eastAsiaTheme="majorEastAsia" w:hAnsiTheme="majorEastAsia" w:cs="宋体"/>
          <w:kern w:val="0"/>
          <w:sz w:val="24"/>
        </w:rPr>
      </w:pPr>
      <w:r w:rsidRPr="001F12D1">
        <w:rPr>
          <w:rFonts w:asciiTheme="majorEastAsia" w:eastAsiaTheme="majorEastAsia" w:hAnsiTheme="majorEastAsia"/>
          <w:kern w:val="0"/>
          <w:sz w:val="24"/>
        </w:rPr>
        <w:t xml:space="preserve">    </w:t>
      </w:r>
      <w:r w:rsidRPr="001F12D1">
        <w:rPr>
          <w:rFonts w:asciiTheme="majorEastAsia" w:eastAsiaTheme="majorEastAsia" w:hAnsiTheme="majorEastAsia" w:cs="宋体" w:hint="eastAsia"/>
          <w:kern w:val="0"/>
          <w:sz w:val="24"/>
        </w:rPr>
        <w:t xml:space="preserve">　　　　　　　</w:t>
      </w:r>
    </w:p>
    <w:p w:rsidR="00177B3B" w:rsidRPr="00023646" w:rsidRDefault="00CC7F42" w:rsidP="00177B3B">
      <w:pPr>
        <w:widowControl/>
        <w:ind w:right="723" w:firstLineChars="200" w:firstLine="480"/>
        <w:jc w:val="right"/>
        <w:rPr>
          <w:rFonts w:asciiTheme="majorEastAsia" w:eastAsiaTheme="majorEastAsia" w:hAnsiTheme="majorEastAsia" w:cs="宋体"/>
          <w:kern w:val="0"/>
          <w:sz w:val="24"/>
        </w:rPr>
      </w:pPr>
      <w:r w:rsidRPr="00023646">
        <w:rPr>
          <w:rFonts w:asciiTheme="majorEastAsia" w:eastAsiaTheme="majorEastAsia" w:hAnsiTheme="majorEastAsia" w:cs="宋体" w:hint="eastAsia"/>
          <w:kern w:val="0"/>
          <w:sz w:val="24"/>
        </w:rPr>
        <w:t>易方达基金管理有限公司</w:t>
      </w:r>
    </w:p>
    <w:p w:rsidR="00177B3B" w:rsidRPr="00023646" w:rsidRDefault="00CC7F42" w:rsidP="00177B3B">
      <w:pPr>
        <w:widowControl/>
        <w:wordWrap w:val="0"/>
        <w:ind w:right="964"/>
        <w:jc w:val="right"/>
        <w:rPr>
          <w:rFonts w:asciiTheme="majorEastAsia" w:eastAsiaTheme="majorEastAsia" w:hAnsiTheme="majorEastAsia" w:cs="宋体"/>
          <w:kern w:val="0"/>
          <w:szCs w:val="21"/>
        </w:rPr>
      </w:pPr>
      <w:r w:rsidRPr="00075D27">
        <w:rPr>
          <w:rFonts w:asciiTheme="majorEastAsia" w:eastAsiaTheme="majorEastAsia" w:hAnsiTheme="majorEastAsia" w:cs="宋体" w:hint="eastAsia"/>
          <w:bCs/>
          <w:kern w:val="0"/>
          <w:sz w:val="24"/>
          <w:szCs w:val="21"/>
        </w:rPr>
        <w:t>202</w:t>
      </w:r>
      <w:r w:rsidR="006960AC">
        <w:rPr>
          <w:rFonts w:asciiTheme="majorEastAsia" w:eastAsiaTheme="majorEastAsia" w:hAnsiTheme="majorEastAsia" w:cs="宋体"/>
          <w:bCs/>
          <w:kern w:val="0"/>
          <w:sz w:val="24"/>
          <w:szCs w:val="21"/>
        </w:rPr>
        <w:t>6</w:t>
      </w:r>
      <w:r w:rsidRPr="00075D27">
        <w:rPr>
          <w:rFonts w:asciiTheme="majorEastAsia" w:eastAsiaTheme="majorEastAsia" w:hAnsiTheme="majorEastAsia" w:cs="宋体" w:hint="eastAsia"/>
          <w:bCs/>
          <w:kern w:val="0"/>
          <w:sz w:val="24"/>
          <w:szCs w:val="21"/>
        </w:rPr>
        <w:t>年</w:t>
      </w:r>
      <w:r w:rsidR="008619FC" w:rsidRPr="00075D27">
        <w:rPr>
          <w:rFonts w:asciiTheme="majorEastAsia" w:eastAsiaTheme="majorEastAsia" w:hAnsiTheme="majorEastAsia" w:cs="宋体"/>
          <w:bCs/>
          <w:kern w:val="0"/>
          <w:sz w:val="24"/>
          <w:szCs w:val="21"/>
        </w:rPr>
        <w:t>1</w:t>
      </w:r>
      <w:r w:rsidRPr="00075D27">
        <w:rPr>
          <w:rFonts w:asciiTheme="majorEastAsia" w:eastAsiaTheme="majorEastAsia" w:hAnsiTheme="majorEastAsia" w:cs="宋体" w:hint="eastAsia"/>
          <w:bCs/>
          <w:kern w:val="0"/>
          <w:sz w:val="24"/>
          <w:szCs w:val="21"/>
        </w:rPr>
        <w:t>月</w:t>
      </w:r>
      <w:r w:rsidR="006960AC">
        <w:rPr>
          <w:rFonts w:asciiTheme="majorEastAsia" w:eastAsiaTheme="majorEastAsia" w:hAnsiTheme="majorEastAsia" w:cs="宋体"/>
          <w:bCs/>
          <w:kern w:val="0"/>
          <w:sz w:val="24"/>
          <w:szCs w:val="21"/>
        </w:rPr>
        <w:t>22</w:t>
      </w:r>
      <w:r w:rsidRPr="00075D27">
        <w:rPr>
          <w:rFonts w:asciiTheme="majorEastAsia" w:eastAsiaTheme="majorEastAsia" w:hAnsiTheme="majorEastAsia" w:cs="宋体" w:hint="eastAsia"/>
          <w:bCs/>
          <w:kern w:val="0"/>
          <w:sz w:val="24"/>
          <w:szCs w:val="21"/>
        </w:rPr>
        <w:t>日</w:t>
      </w:r>
    </w:p>
    <w:p w:rsidR="00177B3B" w:rsidRPr="001F12D1" w:rsidRDefault="00177B3B" w:rsidP="00177B3B">
      <w:pPr>
        <w:rPr>
          <w:rFonts w:asciiTheme="majorEastAsia" w:eastAsiaTheme="majorEastAsia" w:hAnsiTheme="majorEastAsia"/>
        </w:rPr>
      </w:pPr>
    </w:p>
    <w:p w:rsidR="00177B3B" w:rsidRPr="001F12D1" w:rsidRDefault="00177B3B" w:rsidP="00177B3B">
      <w:pPr>
        <w:rPr>
          <w:rFonts w:asciiTheme="majorEastAsia" w:eastAsiaTheme="majorEastAsia" w:hAnsiTheme="majorEastAsia"/>
        </w:rPr>
      </w:pPr>
    </w:p>
    <w:p w:rsidR="00F561F7" w:rsidRPr="00177B3B" w:rsidRDefault="00F561F7" w:rsidP="00C85A50"/>
    <w:sectPr w:rsidR="00F561F7" w:rsidRPr="00177B3B" w:rsidSect="006D0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idp.efunds.com.cn/api/v1/backend/docSyncController/downloadAnnFile.json?force=true&amp;fileName=%E6%98%93%E6%96%B9%E8%BE%BE%E5%9F%BA%E9%87%91%E7%AE%A1%E7%90%86%E6%9C%89%E9%99%90%E5%85%AC%E5%8F%B8%E5%85%B3%E4%BA%8E%E6%97%97%E4%B8%8B%E5%9F%BA%E9%87%91%E7%94%B3%E8%B4%AD%E4%B8%AD%E5%9B%BD%E7%A7%BB%E5%8A%A8%E6%9C%89%E9%99%90%E5%85%AC%E5%8F%B8%E9%A6%96%E6%AC%A1%E5%85%AC%E5%BC%80%E5%8F%91%E8%A1%8C%E8%82%A1%E7%A5%A8%E7%9A%84%E5%85%AC%E5%91%8A.docx&amp;fileId=ANN_DOC_11453&amp;t=1640338996799"/>
  </w:docVars>
  <w:rsids>
    <w:rsidRoot w:val="00D40F64"/>
    <w:rsid w:val="00023646"/>
    <w:rsid w:val="00037F8D"/>
    <w:rsid w:val="00075D27"/>
    <w:rsid w:val="00083996"/>
    <w:rsid w:val="000F1B3C"/>
    <w:rsid w:val="00104016"/>
    <w:rsid w:val="00120A2E"/>
    <w:rsid w:val="0012729F"/>
    <w:rsid w:val="00164126"/>
    <w:rsid w:val="00177B3B"/>
    <w:rsid w:val="0018047E"/>
    <w:rsid w:val="001C62C9"/>
    <w:rsid w:val="001D68B2"/>
    <w:rsid w:val="001E31BA"/>
    <w:rsid w:val="001E4F51"/>
    <w:rsid w:val="001F12D1"/>
    <w:rsid w:val="0022203A"/>
    <w:rsid w:val="00225437"/>
    <w:rsid w:val="00282BB5"/>
    <w:rsid w:val="002A359B"/>
    <w:rsid w:val="002B36C1"/>
    <w:rsid w:val="002E42F7"/>
    <w:rsid w:val="002F12C4"/>
    <w:rsid w:val="00300CE1"/>
    <w:rsid w:val="00304C1B"/>
    <w:rsid w:val="00351EB9"/>
    <w:rsid w:val="003A7524"/>
    <w:rsid w:val="003C560F"/>
    <w:rsid w:val="003F0261"/>
    <w:rsid w:val="0041754A"/>
    <w:rsid w:val="0042083E"/>
    <w:rsid w:val="00425E3F"/>
    <w:rsid w:val="00434C61"/>
    <w:rsid w:val="00445FC6"/>
    <w:rsid w:val="004B32FF"/>
    <w:rsid w:val="004C77B0"/>
    <w:rsid w:val="004E5A83"/>
    <w:rsid w:val="004F1B0A"/>
    <w:rsid w:val="005116B8"/>
    <w:rsid w:val="0052196E"/>
    <w:rsid w:val="00583174"/>
    <w:rsid w:val="005972B2"/>
    <w:rsid w:val="005B7224"/>
    <w:rsid w:val="005D572F"/>
    <w:rsid w:val="00617053"/>
    <w:rsid w:val="00632910"/>
    <w:rsid w:val="00634B21"/>
    <w:rsid w:val="00636371"/>
    <w:rsid w:val="00643147"/>
    <w:rsid w:val="00682D73"/>
    <w:rsid w:val="006960AC"/>
    <w:rsid w:val="0069676A"/>
    <w:rsid w:val="006B006F"/>
    <w:rsid w:val="006B6352"/>
    <w:rsid w:val="006C066C"/>
    <w:rsid w:val="006D05F5"/>
    <w:rsid w:val="006D1009"/>
    <w:rsid w:val="006E1A77"/>
    <w:rsid w:val="007124FD"/>
    <w:rsid w:val="007263A6"/>
    <w:rsid w:val="007719BC"/>
    <w:rsid w:val="0077544C"/>
    <w:rsid w:val="007A3C4F"/>
    <w:rsid w:val="008578F7"/>
    <w:rsid w:val="008619FC"/>
    <w:rsid w:val="008C528C"/>
    <w:rsid w:val="00937D43"/>
    <w:rsid w:val="00954324"/>
    <w:rsid w:val="009F5D05"/>
    <w:rsid w:val="009F700D"/>
    <w:rsid w:val="00A24DE8"/>
    <w:rsid w:val="00A414E5"/>
    <w:rsid w:val="00A528BA"/>
    <w:rsid w:val="00AD1CEF"/>
    <w:rsid w:val="00B20F09"/>
    <w:rsid w:val="00B56F95"/>
    <w:rsid w:val="00B605A6"/>
    <w:rsid w:val="00BC0DAA"/>
    <w:rsid w:val="00C251FE"/>
    <w:rsid w:val="00C35CB6"/>
    <w:rsid w:val="00C5071E"/>
    <w:rsid w:val="00C67BB8"/>
    <w:rsid w:val="00C67F7A"/>
    <w:rsid w:val="00C85A50"/>
    <w:rsid w:val="00CA6AE8"/>
    <w:rsid w:val="00CC7F42"/>
    <w:rsid w:val="00D11E8C"/>
    <w:rsid w:val="00D34298"/>
    <w:rsid w:val="00D40F64"/>
    <w:rsid w:val="00D503EF"/>
    <w:rsid w:val="00D75442"/>
    <w:rsid w:val="00D75BCE"/>
    <w:rsid w:val="00D80AD5"/>
    <w:rsid w:val="00DB7585"/>
    <w:rsid w:val="00DF5CDD"/>
    <w:rsid w:val="00E00FAE"/>
    <w:rsid w:val="00E905FC"/>
    <w:rsid w:val="00E93219"/>
    <w:rsid w:val="00EC7FBE"/>
    <w:rsid w:val="00EE1D32"/>
    <w:rsid w:val="00EF58BF"/>
    <w:rsid w:val="00EF791A"/>
    <w:rsid w:val="00F254EC"/>
    <w:rsid w:val="00F431E2"/>
    <w:rsid w:val="00F561F7"/>
    <w:rsid w:val="00F60BA1"/>
    <w:rsid w:val="00F649D0"/>
    <w:rsid w:val="00F72F45"/>
    <w:rsid w:val="00F830F1"/>
    <w:rsid w:val="00FB3A10"/>
    <w:rsid w:val="00FC1244"/>
    <w:rsid w:val="00FC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434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C6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434C61"/>
    <w:rPr>
      <w:sz w:val="18"/>
      <w:szCs w:val="18"/>
    </w:rPr>
  </w:style>
  <w:style w:type="character" w:styleId="a5">
    <w:name w:val="annotation reference"/>
    <w:semiHidden/>
    <w:rsid w:val="00434C61"/>
    <w:rPr>
      <w:rFonts w:cs="Times New Roman"/>
      <w:sz w:val="21"/>
      <w:szCs w:val="21"/>
    </w:rPr>
  </w:style>
  <w:style w:type="paragraph" w:styleId="a6">
    <w:name w:val="annotation text"/>
    <w:basedOn w:val="a"/>
    <w:link w:val="Char1"/>
    <w:semiHidden/>
    <w:rsid w:val="00434C61"/>
    <w:pPr>
      <w:jc w:val="left"/>
    </w:pPr>
    <w:rPr>
      <w:kern w:val="0"/>
      <w:sz w:val="20"/>
      <w:szCs w:val="20"/>
    </w:rPr>
  </w:style>
  <w:style w:type="character" w:customStyle="1" w:styleId="Char1">
    <w:name w:val="批注文字 Char"/>
    <w:link w:val="a6"/>
    <w:semiHidden/>
    <w:rsid w:val="00434C61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434C61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434C61"/>
    <w:rPr>
      <w:rFonts w:ascii="Calibri" w:eastAsia="宋体" w:hAnsi="Calibri" w:cs="Times New Roman"/>
      <w:sz w:val="18"/>
      <w:szCs w:val="18"/>
    </w:rPr>
  </w:style>
  <w:style w:type="character" w:styleId="a8">
    <w:name w:val="Strong"/>
    <w:uiPriority w:val="99"/>
    <w:qFormat/>
    <w:rsid w:val="006B006F"/>
    <w:rPr>
      <w:rFonts w:ascii="Times New Roman" w:hAnsi="Times New Roman" w:cs="Times New Roman" w:hint="default"/>
      <w:b/>
      <w:bCs/>
    </w:rPr>
  </w:style>
  <w:style w:type="paragraph" w:customStyle="1" w:styleId="font14">
    <w:name w:val="font14"/>
    <w:basedOn w:val="a"/>
    <w:uiPriority w:val="99"/>
    <w:rsid w:val="006B006F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19"/>
      <w:szCs w:val="19"/>
    </w:rPr>
  </w:style>
  <w:style w:type="paragraph" w:customStyle="1" w:styleId="Default">
    <w:name w:val="Default"/>
    <w:rsid w:val="006B006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A20B8-A5ED-415C-A39B-AF95FA75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4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2026-01-21T16:05:00Z</dcterms:created>
  <dcterms:modified xsi:type="dcterms:W3CDTF">2026-01-21T16:05:00Z</dcterms:modified>
</cp:coreProperties>
</file>