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26" w:rsidRDefault="00D510F0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公司旗下公开募集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投资基金</w:t>
      </w:r>
    </w:p>
    <w:p w:rsidR="00502526" w:rsidRDefault="00D510F0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502526" w:rsidRDefault="00502526" w:rsidP="00D510F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02526" w:rsidRDefault="00D510F0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>
        <w:rPr>
          <w:rFonts w:ascii="仿宋" w:eastAsia="仿宋" w:hAnsi="仿宋"/>
          <w:color w:val="000000" w:themeColor="text1"/>
          <w:sz w:val="28"/>
          <w:szCs w:val="32"/>
        </w:rPr>
        <w:t>简称</w:t>
      </w:r>
      <w:r>
        <w:rPr>
          <w:rFonts w:ascii="仿宋" w:eastAsia="仿宋" w:hAnsi="仿宋"/>
          <w:color w:val="000000" w:themeColor="text1"/>
          <w:sz w:val="28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/>
          <w:color w:val="000000" w:themeColor="text1"/>
          <w:sz w:val="28"/>
          <w:szCs w:val="32"/>
        </w:rPr>
        <w:t>”</w:t>
      </w:r>
      <w:r>
        <w:rPr>
          <w:rFonts w:ascii="仿宋" w:eastAsia="仿宋" w:hAnsi="仿宋"/>
          <w:color w:val="000000" w:themeColor="text1"/>
          <w:sz w:val="28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董事会及董事保证旗下公开募集证券投资基金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>
        <w:rPr>
          <w:rFonts w:ascii="仿宋" w:eastAsia="仿宋" w:hAnsi="仿宋"/>
          <w:color w:val="000000" w:themeColor="text1"/>
          <w:sz w:val="28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502526" w:rsidRDefault="00D510F0" w:rsidP="00D510F0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旗下南华</w:t>
      </w:r>
      <w:r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>
        <w:rPr>
          <w:rFonts w:ascii="仿宋" w:eastAsia="仿宋" w:hAnsi="仿宋"/>
          <w:color w:val="000000" w:themeColor="text1"/>
          <w:sz w:val="28"/>
          <w:szCs w:val="32"/>
        </w:rPr>
        <w:t>投资基金、南华瑞恒中短债债券型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>
        <w:rPr>
          <w:rFonts w:ascii="仿宋" w:eastAsia="仿宋" w:hAnsi="仿宋"/>
          <w:color w:val="000000" w:themeColor="text1"/>
          <w:sz w:val="28"/>
          <w:szCs w:val="32"/>
        </w:rPr>
        <w:t>投资基金、南华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、南华瑞泰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个月定期开放债券型证券投资基金、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南华瑞利债券型证券投资基金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、南华</w:t>
      </w:r>
      <w:r>
        <w:rPr>
          <w:rFonts w:ascii="仿宋" w:eastAsia="仿宋" w:hAnsi="仿宋"/>
          <w:color w:val="000000" w:themeColor="text1"/>
          <w:sz w:val="28"/>
          <w:szCs w:val="32"/>
        </w:rPr>
        <w:t>丰汇混合型证券投资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基金、南华瑞诚一年定期开放债券型发起式证券投资基金、南华瑞富一年定期开放债券型发起式证券投资基金</w:t>
      </w:r>
      <w:r>
        <w:rPr>
          <w:rFonts w:ascii="仿宋" w:eastAsia="仿宋" w:hAnsi="仿宋"/>
          <w:color w:val="000000" w:themeColor="text1"/>
          <w:sz w:val="28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南华丰元量化选股混合型证券投资基金、南华瑞享纯债债券型证券投资基金、南华中证同业存单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天持有期证券投资基金、南华丰睿量化选股混合型证券投资基金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南华丰利量化选股混合型证券投资基金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及南华科技创新混合型发起式证券投资基金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>
        <w:rPr>
          <w:rFonts w:ascii="仿宋" w:eastAsia="仿宋" w:hAnsi="仿宋"/>
          <w:color w:val="000000" w:themeColor="text1"/>
          <w:sz w:val="28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>
        <w:rPr>
          <w:rFonts w:ascii="仿宋" w:eastAsia="仿宋" w:hAnsi="仿宋"/>
          <w:color w:val="000000" w:themeColor="text1"/>
          <w:sz w:val="28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>
        <w:rPr>
          <w:rFonts w:ascii="仿宋" w:eastAsia="仿宋" w:hAnsi="仿宋"/>
          <w:color w:val="000000" w:themeColor="text1"/>
          <w:sz w:val="28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01</w:t>
      </w:r>
      <w:r>
        <w:rPr>
          <w:rFonts w:ascii="仿宋" w:eastAsia="仿宋" w:hAnsi="仿宋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22</w:t>
      </w:r>
      <w:r>
        <w:rPr>
          <w:rFonts w:ascii="仿宋" w:eastAsia="仿宋" w:hAnsi="仿宋"/>
          <w:color w:val="000000" w:themeColor="text1"/>
          <w:sz w:val="28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在</w:t>
      </w:r>
      <w:r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>
        <w:rPr>
          <w:rFonts w:ascii="仿宋" w:eastAsia="仿宋" w:hAnsi="仿宋"/>
          <w:color w:val="000000" w:themeColor="text1"/>
          <w:sz w:val="28"/>
          <w:szCs w:val="32"/>
        </w:rPr>
        <w:lastRenderedPageBreak/>
        <w:t>(http://www.nanhuafunds.com)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>
        <w:rPr>
          <w:rFonts w:ascii="仿宋" w:eastAsia="仿宋" w:hAnsi="仿宋"/>
          <w:color w:val="000000" w:themeColor="text1"/>
          <w:sz w:val="28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32"/>
        </w:rPr>
        <w:t>）及</w:t>
      </w:r>
      <w:r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南华中证杭州湾区交易型开放式指数证券投资基金）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502526" w:rsidRDefault="00D510F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502526" w:rsidRDefault="00D510F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502526" w:rsidRDefault="0050252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502526" w:rsidRDefault="00D510F0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</w:t>
      </w:r>
    </w:p>
    <w:p w:rsidR="00502526" w:rsidRDefault="00D510F0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2</w:t>
      </w:r>
      <w:r>
        <w:rPr>
          <w:rFonts w:ascii="仿宋" w:eastAsia="仿宋" w:hAnsi="仿宋"/>
          <w:color w:val="000000" w:themeColor="text1"/>
          <w:sz w:val="28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6</w:t>
      </w:r>
      <w:r>
        <w:rPr>
          <w:rFonts w:ascii="仿宋" w:eastAsia="仿宋" w:hAnsi="仿宋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01</w:t>
      </w:r>
      <w:r>
        <w:rPr>
          <w:rFonts w:ascii="仿宋" w:eastAsia="仿宋" w:hAnsi="仿宋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22</w:t>
      </w:r>
      <w:r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502526" w:rsidSect="0050252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26" w:rsidRDefault="00502526" w:rsidP="00502526">
      <w:r>
        <w:separator/>
      </w:r>
    </w:p>
  </w:endnote>
  <w:endnote w:type="continuationSeparator" w:id="0">
    <w:p w:rsidR="00502526" w:rsidRDefault="00502526" w:rsidP="0050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02526" w:rsidRDefault="00502526">
        <w:pPr>
          <w:pStyle w:val="a5"/>
          <w:jc w:val="center"/>
        </w:pPr>
        <w:r>
          <w:fldChar w:fldCharType="begin"/>
        </w:r>
        <w:r w:rsidR="00D510F0">
          <w:instrText>PAGE   \* MERGEFORMAT</w:instrText>
        </w:r>
        <w:r>
          <w:fldChar w:fldCharType="separate"/>
        </w:r>
        <w:r w:rsidR="00D510F0" w:rsidRPr="00D510F0">
          <w:rPr>
            <w:noProof/>
            <w:lang w:val="zh-CN"/>
          </w:rPr>
          <w:t>2</w:t>
        </w:r>
        <w:r>
          <w:fldChar w:fldCharType="end"/>
        </w:r>
      </w:p>
    </w:sdtContent>
  </w:sdt>
  <w:p w:rsidR="00502526" w:rsidRDefault="005025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02526" w:rsidRDefault="00502526">
        <w:pPr>
          <w:pStyle w:val="a5"/>
          <w:jc w:val="center"/>
        </w:pPr>
        <w:r>
          <w:fldChar w:fldCharType="begin"/>
        </w:r>
        <w:r w:rsidR="00D510F0">
          <w:instrText>PAGE   \* MERGEFORMAT</w:instrText>
        </w:r>
        <w:r>
          <w:fldChar w:fldCharType="separate"/>
        </w:r>
        <w:r w:rsidR="00D510F0" w:rsidRPr="00D510F0">
          <w:rPr>
            <w:noProof/>
            <w:lang w:val="zh-CN"/>
          </w:rPr>
          <w:t>1</w:t>
        </w:r>
        <w:r>
          <w:fldChar w:fldCharType="end"/>
        </w:r>
      </w:p>
    </w:sdtContent>
  </w:sdt>
  <w:p w:rsidR="00502526" w:rsidRDefault="005025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26" w:rsidRDefault="00502526" w:rsidP="00502526">
      <w:r>
        <w:separator/>
      </w:r>
    </w:p>
  </w:footnote>
  <w:footnote w:type="continuationSeparator" w:id="0">
    <w:p w:rsidR="00502526" w:rsidRDefault="00502526" w:rsidP="00502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B93"/>
    <w:rsid w:val="000447E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D18EF"/>
    <w:rsid w:val="000E13E9"/>
    <w:rsid w:val="000E7D66"/>
    <w:rsid w:val="000F07E6"/>
    <w:rsid w:val="000F407E"/>
    <w:rsid w:val="000F6458"/>
    <w:rsid w:val="0010073F"/>
    <w:rsid w:val="001039BC"/>
    <w:rsid w:val="001145BF"/>
    <w:rsid w:val="001279BE"/>
    <w:rsid w:val="0013251E"/>
    <w:rsid w:val="001445A9"/>
    <w:rsid w:val="00146307"/>
    <w:rsid w:val="001533B2"/>
    <w:rsid w:val="00155321"/>
    <w:rsid w:val="001623CF"/>
    <w:rsid w:val="00165D5C"/>
    <w:rsid w:val="00166B15"/>
    <w:rsid w:val="00174C8C"/>
    <w:rsid w:val="0017571E"/>
    <w:rsid w:val="00175AED"/>
    <w:rsid w:val="001813F5"/>
    <w:rsid w:val="00190CA8"/>
    <w:rsid w:val="00191702"/>
    <w:rsid w:val="00192262"/>
    <w:rsid w:val="00195631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348"/>
    <w:rsid w:val="00222DFA"/>
    <w:rsid w:val="002258A6"/>
    <w:rsid w:val="00234298"/>
    <w:rsid w:val="002343BD"/>
    <w:rsid w:val="002471D4"/>
    <w:rsid w:val="00253326"/>
    <w:rsid w:val="00255DBF"/>
    <w:rsid w:val="00261CDE"/>
    <w:rsid w:val="0026276F"/>
    <w:rsid w:val="00267158"/>
    <w:rsid w:val="00276CA4"/>
    <w:rsid w:val="002772E1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5EF4"/>
    <w:rsid w:val="002E24D1"/>
    <w:rsid w:val="002E79D9"/>
    <w:rsid w:val="002E7B0A"/>
    <w:rsid w:val="002F1E43"/>
    <w:rsid w:val="002F2B53"/>
    <w:rsid w:val="00303860"/>
    <w:rsid w:val="00311075"/>
    <w:rsid w:val="003117E6"/>
    <w:rsid w:val="0031471A"/>
    <w:rsid w:val="00316368"/>
    <w:rsid w:val="00316676"/>
    <w:rsid w:val="00321109"/>
    <w:rsid w:val="00332619"/>
    <w:rsid w:val="00333802"/>
    <w:rsid w:val="00337BD9"/>
    <w:rsid w:val="00343295"/>
    <w:rsid w:val="00345A75"/>
    <w:rsid w:val="003467B5"/>
    <w:rsid w:val="00355B7C"/>
    <w:rsid w:val="00361065"/>
    <w:rsid w:val="0036248F"/>
    <w:rsid w:val="00370C10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4763"/>
    <w:rsid w:val="003C5A1A"/>
    <w:rsid w:val="003D0424"/>
    <w:rsid w:val="003D32D7"/>
    <w:rsid w:val="003F4E13"/>
    <w:rsid w:val="003F6960"/>
    <w:rsid w:val="0040020D"/>
    <w:rsid w:val="00405ADB"/>
    <w:rsid w:val="0041442D"/>
    <w:rsid w:val="004254EE"/>
    <w:rsid w:val="00430D19"/>
    <w:rsid w:val="004317C5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3AEF"/>
    <w:rsid w:val="00487BF1"/>
    <w:rsid w:val="00491F29"/>
    <w:rsid w:val="00491FCB"/>
    <w:rsid w:val="00497943"/>
    <w:rsid w:val="00497A8B"/>
    <w:rsid w:val="004A0E45"/>
    <w:rsid w:val="004A54A6"/>
    <w:rsid w:val="004B1105"/>
    <w:rsid w:val="004B341A"/>
    <w:rsid w:val="004C3109"/>
    <w:rsid w:val="004C44C4"/>
    <w:rsid w:val="004C625A"/>
    <w:rsid w:val="004C6355"/>
    <w:rsid w:val="004E1D5E"/>
    <w:rsid w:val="004E630B"/>
    <w:rsid w:val="004F7313"/>
    <w:rsid w:val="00502526"/>
    <w:rsid w:val="00515476"/>
    <w:rsid w:val="005158A6"/>
    <w:rsid w:val="0052094C"/>
    <w:rsid w:val="00526E5C"/>
    <w:rsid w:val="00534A41"/>
    <w:rsid w:val="0053650E"/>
    <w:rsid w:val="00542535"/>
    <w:rsid w:val="00544E6E"/>
    <w:rsid w:val="00547910"/>
    <w:rsid w:val="00551033"/>
    <w:rsid w:val="005530E2"/>
    <w:rsid w:val="00560AC4"/>
    <w:rsid w:val="00563FE4"/>
    <w:rsid w:val="00567A02"/>
    <w:rsid w:val="005711D9"/>
    <w:rsid w:val="00572AC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0180"/>
    <w:rsid w:val="005C7C95"/>
    <w:rsid w:val="005D3C24"/>
    <w:rsid w:val="005D4528"/>
    <w:rsid w:val="005D5413"/>
    <w:rsid w:val="005E088E"/>
    <w:rsid w:val="005E0F00"/>
    <w:rsid w:val="005E7E4A"/>
    <w:rsid w:val="005F4D9C"/>
    <w:rsid w:val="005F7E5C"/>
    <w:rsid w:val="00604996"/>
    <w:rsid w:val="00605B67"/>
    <w:rsid w:val="0061293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7F42"/>
    <w:rsid w:val="006B4697"/>
    <w:rsid w:val="006C1D6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B3F"/>
    <w:rsid w:val="00722DD7"/>
    <w:rsid w:val="00725827"/>
    <w:rsid w:val="00725F68"/>
    <w:rsid w:val="0073075C"/>
    <w:rsid w:val="00731115"/>
    <w:rsid w:val="007315E0"/>
    <w:rsid w:val="0074144B"/>
    <w:rsid w:val="00741A3E"/>
    <w:rsid w:val="007443C2"/>
    <w:rsid w:val="00753A39"/>
    <w:rsid w:val="00756CAD"/>
    <w:rsid w:val="007629BB"/>
    <w:rsid w:val="00762A82"/>
    <w:rsid w:val="0076693B"/>
    <w:rsid w:val="007703B8"/>
    <w:rsid w:val="00771227"/>
    <w:rsid w:val="00772D42"/>
    <w:rsid w:val="00775751"/>
    <w:rsid w:val="00781015"/>
    <w:rsid w:val="0078472D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F94"/>
    <w:rsid w:val="0081788D"/>
    <w:rsid w:val="00824755"/>
    <w:rsid w:val="00825398"/>
    <w:rsid w:val="008263AE"/>
    <w:rsid w:val="008318C0"/>
    <w:rsid w:val="00831A29"/>
    <w:rsid w:val="00832B61"/>
    <w:rsid w:val="00835A88"/>
    <w:rsid w:val="008374EB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B0A"/>
    <w:rsid w:val="008B539C"/>
    <w:rsid w:val="008B77D5"/>
    <w:rsid w:val="008C155D"/>
    <w:rsid w:val="008C368D"/>
    <w:rsid w:val="008D4634"/>
    <w:rsid w:val="008E4CD7"/>
    <w:rsid w:val="008E58F7"/>
    <w:rsid w:val="008E6EC1"/>
    <w:rsid w:val="008F6B62"/>
    <w:rsid w:val="00903815"/>
    <w:rsid w:val="00903C0A"/>
    <w:rsid w:val="009062C4"/>
    <w:rsid w:val="0090723B"/>
    <w:rsid w:val="00910193"/>
    <w:rsid w:val="00910C56"/>
    <w:rsid w:val="0092312D"/>
    <w:rsid w:val="00933628"/>
    <w:rsid w:val="00944E63"/>
    <w:rsid w:val="009465EA"/>
    <w:rsid w:val="009506DC"/>
    <w:rsid w:val="00952431"/>
    <w:rsid w:val="009566C4"/>
    <w:rsid w:val="00956DD9"/>
    <w:rsid w:val="009573C6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9B8"/>
    <w:rsid w:val="009A149B"/>
    <w:rsid w:val="009B33C8"/>
    <w:rsid w:val="009B4DD6"/>
    <w:rsid w:val="009B5D57"/>
    <w:rsid w:val="009C15E2"/>
    <w:rsid w:val="009C33BF"/>
    <w:rsid w:val="009C3820"/>
    <w:rsid w:val="009D6FC7"/>
    <w:rsid w:val="009E0931"/>
    <w:rsid w:val="009E35EB"/>
    <w:rsid w:val="009E64F2"/>
    <w:rsid w:val="009E7875"/>
    <w:rsid w:val="009F72D1"/>
    <w:rsid w:val="00A144A6"/>
    <w:rsid w:val="00A21627"/>
    <w:rsid w:val="00A25CB9"/>
    <w:rsid w:val="00A37A94"/>
    <w:rsid w:val="00A41611"/>
    <w:rsid w:val="00A441B7"/>
    <w:rsid w:val="00A447AF"/>
    <w:rsid w:val="00A46430"/>
    <w:rsid w:val="00A54FC3"/>
    <w:rsid w:val="00A5780A"/>
    <w:rsid w:val="00A62B15"/>
    <w:rsid w:val="00A63901"/>
    <w:rsid w:val="00A63C70"/>
    <w:rsid w:val="00A63F21"/>
    <w:rsid w:val="00A67A7D"/>
    <w:rsid w:val="00A7247E"/>
    <w:rsid w:val="00A72BFA"/>
    <w:rsid w:val="00A72FCD"/>
    <w:rsid w:val="00A74844"/>
    <w:rsid w:val="00A81D7B"/>
    <w:rsid w:val="00A87DCB"/>
    <w:rsid w:val="00AB49A1"/>
    <w:rsid w:val="00AC033C"/>
    <w:rsid w:val="00AC1161"/>
    <w:rsid w:val="00AD18DD"/>
    <w:rsid w:val="00AD562B"/>
    <w:rsid w:val="00AE3F47"/>
    <w:rsid w:val="00AE69BF"/>
    <w:rsid w:val="00AF2BFB"/>
    <w:rsid w:val="00AF7347"/>
    <w:rsid w:val="00B014DF"/>
    <w:rsid w:val="00B11B77"/>
    <w:rsid w:val="00B16987"/>
    <w:rsid w:val="00B17EF5"/>
    <w:rsid w:val="00B2068A"/>
    <w:rsid w:val="00B229D4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49A"/>
    <w:rsid w:val="00B91560"/>
    <w:rsid w:val="00B9364B"/>
    <w:rsid w:val="00B95F9A"/>
    <w:rsid w:val="00BA0E21"/>
    <w:rsid w:val="00BA1434"/>
    <w:rsid w:val="00BA3915"/>
    <w:rsid w:val="00BA3AE4"/>
    <w:rsid w:val="00BB04AB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274A"/>
    <w:rsid w:val="00C64316"/>
    <w:rsid w:val="00C67F89"/>
    <w:rsid w:val="00C71F74"/>
    <w:rsid w:val="00C72546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561"/>
    <w:rsid w:val="00CB4DE3"/>
    <w:rsid w:val="00CC2F35"/>
    <w:rsid w:val="00CC40C3"/>
    <w:rsid w:val="00CD3DED"/>
    <w:rsid w:val="00CD4031"/>
    <w:rsid w:val="00CD42C4"/>
    <w:rsid w:val="00CE43F8"/>
    <w:rsid w:val="00CE7C8B"/>
    <w:rsid w:val="00CF01CC"/>
    <w:rsid w:val="00CF6D5C"/>
    <w:rsid w:val="00D10B1F"/>
    <w:rsid w:val="00D11E1F"/>
    <w:rsid w:val="00D14F69"/>
    <w:rsid w:val="00D20C81"/>
    <w:rsid w:val="00D23FDD"/>
    <w:rsid w:val="00D3262F"/>
    <w:rsid w:val="00D361FE"/>
    <w:rsid w:val="00D36E74"/>
    <w:rsid w:val="00D42F13"/>
    <w:rsid w:val="00D43B3D"/>
    <w:rsid w:val="00D5035D"/>
    <w:rsid w:val="00D510F0"/>
    <w:rsid w:val="00D5213E"/>
    <w:rsid w:val="00D52A3F"/>
    <w:rsid w:val="00D535B2"/>
    <w:rsid w:val="00D56E0D"/>
    <w:rsid w:val="00D62A71"/>
    <w:rsid w:val="00D70A3B"/>
    <w:rsid w:val="00D72110"/>
    <w:rsid w:val="00D73989"/>
    <w:rsid w:val="00D919AF"/>
    <w:rsid w:val="00D937BD"/>
    <w:rsid w:val="00DA2D7C"/>
    <w:rsid w:val="00DB6F0A"/>
    <w:rsid w:val="00DD7BAA"/>
    <w:rsid w:val="00DE0FFA"/>
    <w:rsid w:val="00DE6A70"/>
    <w:rsid w:val="00DE7461"/>
    <w:rsid w:val="00DF0539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625"/>
    <w:rsid w:val="00EA467A"/>
    <w:rsid w:val="00EA6F84"/>
    <w:rsid w:val="00EB7931"/>
    <w:rsid w:val="00ED548C"/>
    <w:rsid w:val="00ED7F3F"/>
    <w:rsid w:val="00EF043C"/>
    <w:rsid w:val="00EF3E82"/>
    <w:rsid w:val="00EF49B3"/>
    <w:rsid w:val="00EF56E1"/>
    <w:rsid w:val="00EF73FD"/>
    <w:rsid w:val="00F00561"/>
    <w:rsid w:val="00F01150"/>
    <w:rsid w:val="00F01E3D"/>
    <w:rsid w:val="00F0282C"/>
    <w:rsid w:val="00F04DC2"/>
    <w:rsid w:val="00F066D9"/>
    <w:rsid w:val="00F06C66"/>
    <w:rsid w:val="00F22CE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415"/>
    <w:rsid w:val="00FA653D"/>
    <w:rsid w:val="00FB23EE"/>
    <w:rsid w:val="00FB355F"/>
    <w:rsid w:val="00FC34DF"/>
    <w:rsid w:val="00FD658E"/>
    <w:rsid w:val="00FE0C5A"/>
    <w:rsid w:val="00FE13A2"/>
    <w:rsid w:val="01FB358B"/>
    <w:rsid w:val="05D92727"/>
    <w:rsid w:val="161A3E13"/>
    <w:rsid w:val="636B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0252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025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0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0252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502526"/>
    <w:rPr>
      <w:b/>
      <w:bCs/>
    </w:rPr>
  </w:style>
  <w:style w:type="character" w:styleId="a9">
    <w:name w:val="Hyperlink"/>
    <w:basedOn w:val="a0"/>
    <w:uiPriority w:val="99"/>
    <w:unhideWhenUsed/>
    <w:qFormat/>
    <w:rsid w:val="0050252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0252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0252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025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02526"/>
    <w:rPr>
      <w:sz w:val="18"/>
      <w:szCs w:val="18"/>
    </w:rPr>
  </w:style>
  <w:style w:type="paragraph" w:styleId="ac">
    <w:name w:val="List Paragraph"/>
    <w:basedOn w:val="a"/>
    <w:uiPriority w:val="34"/>
    <w:qFormat/>
    <w:rsid w:val="0050252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0252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02526"/>
  </w:style>
  <w:style w:type="character" w:customStyle="1" w:styleId="Char4">
    <w:name w:val="批注主题 Char"/>
    <w:basedOn w:val="Char"/>
    <w:link w:val="a8"/>
    <w:uiPriority w:val="99"/>
    <w:semiHidden/>
    <w:qFormat/>
    <w:rsid w:val="0050252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025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41FF-81AE-48B8-9C98-5C7ED081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>CNSTOCK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2026-01-21T16:04:00Z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eyJoZGlkIjoiYTNiNTZiZTMwZmE5Y2M5ODg0YmFjNjIyZGZkNmNkMTQiLCJ1c2VySWQiOiIxNzgwNDEwNzc2In0=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40435AD1F88E4012A114E11665039615_13</vt:lpwstr>
  </property>
</Properties>
</file>