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B5" w:rsidRDefault="002F5690" w:rsidP="002F5690">
      <w:pPr>
        <w:ind w:firstLineChars="50" w:firstLine="16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</w:rPr>
        <w:t>中银基金管理有限公司旗下部分基金</w:t>
      </w:r>
    </w:p>
    <w:p w:rsidR="00A86EB5" w:rsidRDefault="002F5690" w:rsidP="002F5690">
      <w:pPr>
        <w:ind w:firstLineChars="50" w:firstLine="161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2025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年</w:t>
      </w:r>
      <w:r>
        <w:rPr>
          <w:rFonts w:ascii="Times New Roman" w:hAnsi="Times New Roman" w:cs="Times New Roman" w:hint="eastAsia"/>
          <w:b/>
          <w:color w:val="000000"/>
          <w:sz w:val="32"/>
          <w:szCs w:val="32"/>
        </w:rPr>
        <w:t>第四季度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报告提示性公告</w:t>
      </w:r>
    </w:p>
    <w:p w:rsidR="00A86EB5" w:rsidRDefault="00A86EB5">
      <w:pPr>
        <w:ind w:firstLineChars="50" w:firstLine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6EB5" w:rsidRDefault="002F5690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本公司董事会及董事保证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基金四季度</w:t>
      </w:r>
      <w:r>
        <w:rPr>
          <w:rFonts w:ascii="Times New Roman" w:hAnsi="Times New Roman" w:cs="Times New Roman"/>
          <w:color w:val="000000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A86EB5" w:rsidRDefault="002F5690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中银基金管理有限公司旗下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：</w:t>
      </w:r>
    </w:p>
    <w:tbl>
      <w:tblPr>
        <w:tblW w:w="6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6005"/>
      </w:tblGrid>
      <w:tr w:rsidR="00A86EB5">
        <w:trPr>
          <w:trHeight w:val="287"/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中银中国精选混合型开放式证券投资基金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中银货币市场证券投资基金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中银持续增长混合型证券投资基金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中银收益混合型证券投资基金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中银动态策略混合型证券投资基金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中银稳健增利债券型证券投资基金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中银行业优选灵活配置混合型证券投资基金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中银中证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A100</w:t>
            </w:r>
            <w:r>
              <w:rPr>
                <w:rFonts w:hint="eastAsia"/>
                <w:bCs/>
                <w:color w:val="000000"/>
                <w:szCs w:val="21"/>
              </w:rPr>
              <w:t>指数增强型证券投资基金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中银蓝筹精选灵活配置混合型证券投资基金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中银价值精选灵活配置混合型证券投资基金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中银稳健双利债券型证券投资基金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中银全球策略证券投资基金</w:t>
            </w:r>
            <w:r>
              <w:rPr>
                <w:rFonts w:hint="eastAsia"/>
                <w:color w:val="000000"/>
                <w:sz w:val="18"/>
                <w:szCs w:val="18"/>
              </w:rPr>
              <w:t>(FOF)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上证国有企业</w:t>
            </w:r>
            <w:r>
              <w:rPr>
                <w:rFonts w:hint="eastAsia"/>
                <w:color w:val="000000"/>
                <w:sz w:val="18"/>
                <w:szCs w:val="18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</w:rPr>
              <w:t>交易型开放式指数证券投资基金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中银转债增强债券型证券投资基金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中银中小盘成长混合型证券投资基金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中银信用增利债券型证券投资基金</w:t>
            </w:r>
            <w:r>
              <w:rPr>
                <w:rFonts w:hint="eastAsia"/>
                <w:color w:val="000000"/>
                <w:sz w:val="18"/>
                <w:szCs w:val="18"/>
              </w:rPr>
              <w:t>(LOF)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中银沪深</w:t>
            </w: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</w:rPr>
              <w:t>等权重指数证券投资基金</w:t>
            </w:r>
            <w:r>
              <w:rPr>
                <w:rFonts w:hint="eastAsia"/>
                <w:color w:val="000000"/>
                <w:sz w:val="18"/>
                <w:szCs w:val="18"/>
              </w:rPr>
              <w:t>(LOF)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中银主题策略混合型证券投资基金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中银稳健策略灵活配置混合型证券投资基金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中银添瑞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中银纯债债券型证券投资基金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22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中银欣享利率债债券型证券投资基金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中银聚享债券型证券投资基金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中银稳健添利债券型发起式证券投资基金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中银消费主题混合型证券投资基金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中银美丽中国混合型证券投资基金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中银新回报灵活配置混合型证券投资基金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中银互利半年定期开放债券型证券投资基金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中银惠利纯债半年定期开放债券型证券投资基金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中银中高等级债券型证券投资基金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中银优秀企业混合型证券投资基金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中银活期宝货币市场基金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中银多策略灵活配置混合型证券投资基金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中银健康生活混合型证券投资基金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中银薪钱包货币市场基金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中银产业债债券型证券投资基金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中银新经济灵活配置混合型证券投资基金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中银安心回报半年定期开放债券型证券投资基金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中银研究精选灵活配置混合型证券投资基金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中银恒利半年定期开放债券型证券投资基金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中银新动力股票型证券投资基金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中银宏观策略灵活配置混合型证券投资基金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中银新趋势灵活配置混合型证券投资基金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中银智能制造股票型证券投资基金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中银国有企业债债券型证券投资基金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中银新财富灵活配置混合型证券投资基金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中银新机遇灵活配置混合型证券投资基金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中银战略新兴产业股票型证券投资基金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中银机构现金管理货币市场基金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50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中银美元债债券型证券投资基金</w:t>
            </w:r>
            <w:r>
              <w:rPr>
                <w:rFonts w:hint="eastAsia"/>
                <w:color w:val="000000"/>
                <w:sz w:val="18"/>
                <w:szCs w:val="18"/>
              </w:rPr>
              <w:t>(QDII)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中银稳进策略灵活配置混合型证券投资基金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中银珍利灵活配置混合型证券投资基金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中银鑫利灵活配置混合型证券投资基金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中银永利半年定期开放债券型证券投资基金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中银季季红定期开放债券型证券投资基金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中银颐利灵活配置混合型证券投资基金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中银睿享定期开放债券型发起式证券投资基金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中银悦享定期开放债券型发起式证券投资基金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中银丰润定期开放债券型发起式证券投资基金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中银量化精选灵活配置混合型证券投资基金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中银广利灵活配置混合型证券投资基金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中银丰庆定期开放债券型证券投资基金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中银富享定期开放债券型发起式证券投资基金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中银如意宝货币市场基金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中银丰实定期开放债券型发起式证券投资基金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中银丰和定期开放债券型发起式证券投资基金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中银金融地产混合型证券投资基金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中银信享定期开放债券型发起式证券投资基金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中银沪深</w:t>
            </w: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</w:rPr>
              <w:t>指数增强型证券投资基金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中银丰进定期开放债券型发起式证券投资基金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中银利享定期开放债券型证券投资基金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中银丰禧定期开放债券型发起式证券投资基金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中银丰荣定期开放债券型发起式证券投资基金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中银智享债券型证券投资基金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中银泰享定期开放债券型发起式证券投资基金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中银景福回报混合型证券投资基金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中银医疗保健灵活配置混合型证券投资基金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>
              <w:rPr>
                <w:rFonts w:hint="eastAsia"/>
                <w:color w:val="000000"/>
                <w:sz w:val="18"/>
                <w:szCs w:val="18"/>
              </w:rPr>
              <w:t>3-5</w:t>
            </w:r>
            <w:r>
              <w:rPr>
                <w:rFonts w:hint="eastAsia"/>
                <w:color w:val="000000"/>
                <w:sz w:val="18"/>
                <w:szCs w:val="18"/>
              </w:rPr>
              <w:t>年期农发行债券指数证券投资基金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中银双息回报混合型证券投资基金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中银安享债券型证券投资基金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中银弘享债券型证券投资基金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中银稳汇短债债券型证券投资基金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中银安康稳健养老目标一年持有期混合型基金中基金（</w:t>
            </w:r>
            <w:r>
              <w:rPr>
                <w:rFonts w:hint="eastAsia"/>
                <w:color w:val="000000"/>
                <w:sz w:val="18"/>
                <w:szCs w:val="18"/>
              </w:rPr>
              <w:t>FOF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中银景元回报混合型证券投资基金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>
              <w:rPr>
                <w:rFonts w:hint="eastAsia"/>
                <w:color w:val="000000"/>
                <w:sz w:val="18"/>
                <w:szCs w:val="18"/>
              </w:rPr>
              <w:t>1-3</w:t>
            </w:r>
            <w:r>
              <w:rPr>
                <w:rFonts w:hint="eastAsia"/>
                <w:color w:val="000000"/>
                <w:sz w:val="18"/>
                <w:szCs w:val="18"/>
              </w:rPr>
              <w:t>年期国开行债券指数证券投资基金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中银福建国有企业债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>
              <w:rPr>
                <w:rFonts w:hint="eastAsia"/>
                <w:color w:val="000000"/>
                <w:sz w:val="18"/>
                <w:szCs w:val="18"/>
              </w:rPr>
              <w:t>1-3</w:t>
            </w:r>
            <w:r>
              <w:rPr>
                <w:rFonts w:hint="eastAsia"/>
                <w:color w:val="000000"/>
                <w:sz w:val="18"/>
                <w:szCs w:val="18"/>
              </w:rPr>
              <w:t>年期农发行债券指数证券投资基金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中银汇享债券型证券投资基金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89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中银民丰回报混合型证券投资基金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中银康享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个月定期开放债券型发起式证券投资基金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中银瑞福浮动净值型发起式货币市场基金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中银招利债券型证券投资基金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中银创新医疗混合型证券投资基金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中银宁享债券型证券投资基金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中银澳享一年定期开放债券型发起式证券投资基金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中银高质量发展机遇混合型证券投资基金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中银同享一年定期开放债券型发起式证券投资基金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中银安康平衡养老目标三年持有期混合型发起式基金中基金</w:t>
            </w:r>
            <w:r>
              <w:rPr>
                <w:rFonts w:hint="eastAsia"/>
                <w:color w:val="000000"/>
                <w:sz w:val="18"/>
                <w:szCs w:val="18"/>
              </w:rPr>
              <w:t>(FOF)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99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中银恒优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个月持有期债券型证券投资基金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中银大健康股票型证券投资基金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中银亚太精选债券型证券投资基金</w:t>
            </w:r>
            <w:r>
              <w:rPr>
                <w:rFonts w:hint="eastAsia"/>
                <w:color w:val="000000"/>
                <w:sz w:val="18"/>
                <w:szCs w:val="18"/>
              </w:rPr>
              <w:t>(QDII)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中银顺兴回报一年持有期混合型证券投资基金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中银添盛</w:t>
            </w: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  <w:r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中银科技创新一年定期开放混合型证券投资基金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中银内核驱动股票型证券投资基金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中银上海金交易型开放式证券投资基金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中银景泰回报混合型证券投资基金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中银上海金交易型开放式证券投资基金联接基金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109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>
              <w:rPr>
                <w:rFonts w:hint="eastAsia"/>
                <w:color w:val="000000"/>
                <w:sz w:val="18"/>
                <w:szCs w:val="18"/>
              </w:rPr>
              <w:t>1-5</w:t>
            </w:r>
            <w:r>
              <w:rPr>
                <w:rFonts w:hint="eastAsia"/>
                <w:color w:val="000000"/>
                <w:sz w:val="18"/>
                <w:szCs w:val="18"/>
              </w:rPr>
              <w:t>年期国开行债券指数证券投资基金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中银成长优选股票型证券投资基金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中银彭博政策性银行债券</w:t>
            </w:r>
            <w:r>
              <w:rPr>
                <w:rFonts w:hint="eastAsia"/>
                <w:color w:val="000000"/>
                <w:sz w:val="18"/>
                <w:szCs w:val="18"/>
              </w:rPr>
              <w:t>1-5</w:t>
            </w:r>
            <w:r>
              <w:rPr>
                <w:rFonts w:hint="eastAsia"/>
                <w:color w:val="000000"/>
                <w:sz w:val="18"/>
                <w:szCs w:val="18"/>
              </w:rPr>
              <w:t>年指数证券投资基金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中银顺泽回报一年持有期混合型证券投资基金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中银港股通优势成长股票型证券投资基金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中银恒泰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个月持有期债券型证券投资基金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中银嘉享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个月定期开放债券型证券投资基金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中银通利债券型证券投资基金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中银臻享债券型证券投资基金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中银鑫新消费成长混合型证券投资基金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119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中银兴利稳健回报灵活配置混合型证券投资基金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中银添禧丰禄稳健养老目标一年持有期混合型基金中基金（</w:t>
            </w:r>
            <w:r>
              <w:rPr>
                <w:rFonts w:hint="eastAsia"/>
                <w:color w:val="000000"/>
                <w:sz w:val="18"/>
                <w:szCs w:val="18"/>
              </w:rPr>
              <w:t>FOF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中银恒嘉</w:t>
            </w: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  <w:r>
              <w:rPr>
                <w:rFonts w:hint="eastAsia"/>
                <w:color w:val="000000"/>
                <w:sz w:val="18"/>
                <w:szCs w:val="18"/>
              </w:rPr>
              <w:t>天滚动持有短债债券型证券投资基金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中银核心精选混合型证券投资基金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中银恒悦</w:t>
            </w:r>
            <w:r>
              <w:rPr>
                <w:rFonts w:hint="eastAsia"/>
                <w:color w:val="000000"/>
                <w:sz w:val="18"/>
                <w:szCs w:val="18"/>
              </w:rPr>
              <w:t>180</w:t>
            </w:r>
            <w:r>
              <w:rPr>
                <w:rFonts w:hint="eastAsia"/>
                <w:color w:val="000000"/>
                <w:sz w:val="18"/>
                <w:szCs w:val="18"/>
              </w:rPr>
              <w:t>天持有期债券型证券投资基金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中银民利一年持有期债券型证券投资基金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中银养老目标日期</w:t>
            </w:r>
            <w:r>
              <w:rPr>
                <w:rFonts w:hint="eastAsia"/>
                <w:color w:val="000000"/>
                <w:sz w:val="18"/>
                <w:szCs w:val="18"/>
              </w:rPr>
              <w:t>2050</w:t>
            </w:r>
            <w:r>
              <w:rPr>
                <w:rFonts w:hint="eastAsia"/>
                <w:color w:val="000000"/>
                <w:sz w:val="18"/>
                <w:szCs w:val="18"/>
              </w:rPr>
              <w:t>五年持有期混合型发起式基金中基金</w:t>
            </w:r>
            <w:r>
              <w:rPr>
                <w:rFonts w:hint="eastAsia"/>
                <w:color w:val="000000"/>
                <w:sz w:val="18"/>
                <w:szCs w:val="18"/>
              </w:rPr>
              <w:t>(FOF)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126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中银沃享一年定期开放债券型发起式证券投资基金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127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中银远见成长混合型证券投资基金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6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中银荣享债券型证券投资基金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129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中银中证同业存单</w:t>
            </w:r>
            <w:r>
              <w:rPr>
                <w:rFonts w:hint="eastAsia"/>
                <w:color w:val="000000"/>
                <w:sz w:val="18"/>
                <w:szCs w:val="18"/>
              </w:rPr>
              <w:t>AAA</w:t>
            </w:r>
            <w:r>
              <w:rPr>
                <w:rFonts w:hint="eastAsia"/>
                <w:color w:val="000000"/>
                <w:sz w:val="18"/>
                <w:szCs w:val="18"/>
              </w:rPr>
              <w:t>指数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天持有期证券投资基金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中银誉享一年定期开放债券型发起式证券投资基金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中银慧泽平衡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个月持有期混合型发起式基金中基金（</w:t>
            </w:r>
            <w:r>
              <w:rPr>
                <w:rFonts w:hint="eastAsia"/>
                <w:color w:val="000000"/>
                <w:sz w:val="18"/>
                <w:szCs w:val="18"/>
              </w:rPr>
              <w:t>FOF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中银慧泽稳健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个月持有期混合型发起式基金中基金（</w:t>
            </w:r>
            <w:r>
              <w:rPr>
                <w:rFonts w:hint="eastAsia"/>
                <w:color w:val="000000"/>
                <w:sz w:val="18"/>
                <w:szCs w:val="18"/>
              </w:rPr>
              <w:t>FOF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中银季季享</w:t>
            </w:r>
            <w:r>
              <w:rPr>
                <w:color w:val="000000"/>
                <w:sz w:val="18"/>
                <w:szCs w:val="18"/>
              </w:rPr>
              <w:t>90</w:t>
            </w:r>
            <w:r>
              <w:rPr>
                <w:rFonts w:hint="eastAsia"/>
                <w:color w:val="000000"/>
                <w:sz w:val="18"/>
                <w:szCs w:val="18"/>
              </w:rPr>
              <w:t>天滚动持有中短债债券型发起式证券投资基金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中银乐享债券型证券投资基金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中银淳享一年定期开放债券型发起式证券投资基金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中银中短债债券型证券投资基金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中银新能源产业股票型证券投资基金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中银卓越成长混合型证券投资基金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139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中银中债</w:t>
            </w:r>
            <w:r>
              <w:rPr>
                <w:rFonts w:hint="eastAsia"/>
                <w:color w:val="000000"/>
                <w:sz w:val="18"/>
                <w:szCs w:val="18"/>
              </w:rPr>
              <w:t>1-5</w:t>
            </w:r>
            <w:r>
              <w:rPr>
                <w:rFonts w:hint="eastAsia"/>
                <w:color w:val="000000"/>
                <w:sz w:val="18"/>
                <w:szCs w:val="18"/>
              </w:rPr>
              <w:t>年进出口行债券指数证券投资基金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140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中银鑫盛一年持有期债券型证券投资基金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141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中银鑫呈一年定期开放债券型发起式证券投资基金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142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中银富利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个月持有期混合型证券投资基金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43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</w:t>
            </w:r>
            <w:r>
              <w:rPr>
                <w:rFonts w:hint="eastAsia"/>
                <w:color w:val="000000"/>
                <w:sz w:val="18"/>
                <w:szCs w:val="18"/>
              </w:rPr>
              <w:t>MSCI</w:t>
            </w: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  <w:r>
              <w:rPr>
                <w:rFonts w:hint="eastAsia"/>
                <w:color w:val="000000"/>
                <w:sz w:val="18"/>
                <w:szCs w:val="18"/>
              </w:rPr>
              <w:t>A50</w:t>
            </w:r>
            <w:r>
              <w:rPr>
                <w:rFonts w:hint="eastAsia"/>
                <w:color w:val="000000"/>
                <w:sz w:val="18"/>
                <w:szCs w:val="18"/>
              </w:rPr>
              <w:t>互联互通指数增强型证券投资基金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44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1000 </w:t>
            </w:r>
            <w:r>
              <w:rPr>
                <w:rFonts w:hint="eastAsia"/>
                <w:color w:val="000000"/>
                <w:sz w:val="18"/>
                <w:szCs w:val="18"/>
              </w:rPr>
              <w:t>指数增强型证券投资基金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45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</w:t>
            </w:r>
            <w:r>
              <w:rPr>
                <w:rFonts w:hint="eastAsia"/>
                <w:color w:val="000000"/>
                <w:sz w:val="18"/>
                <w:szCs w:val="18"/>
              </w:rPr>
              <w:t>500</w:t>
            </w:r>
            <w:r>
              <w:rPr>
                <w:rFonts w:hint="eastAsia"/>
                <w:color w:val="000000"/>
                <w:sz w:val="18"/>
                <w:szCs w:val="18"/>
              </w:rPr>
              <w:t>指数增强型发起式证券投资基金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46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中银港股通医药混合型发起式证券投资基金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47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中银养老目标日期</w:t>
            </w:r>
            <w:r>
              <w:rPr>
                <w:rFonts w:hint="eastAsia"/>
                <w:color w:val="000000"/>
                <w:sz w:val="18"/>
                <w:szCs w:val="18"/>
              </w:rPr>
              <w:t>2035</w:t>
            </w:r>
            <w:r>
              <w:rPr>
                <w:rFonts w:hint="eastAsia"/>
                <w:color w:val="000000"/>
                <w:sz w:val="18"/>
                <w:szCs w:val="18"/>
              </w:rPr>
              <w:t>三年持有期混合型发起式基金中基金（</w:t>
            </w:r>
            <w:r>
              <w:rPr>
                <w:rFonts w:hint="eastAsia"/>
                <w:color w:val="000000"/>
                <w:sz w:val="18"/>
                <w:szCs w:val="18"/>
              </w:rPr>
              <w:t>FOF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48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中银中证央企红利</w:t>
            </w: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</w:rPr>
              <w:t>指数型证券投资基金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49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中银睿泽稳健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 </w:t>
            </w:r>
            <w:r>
              <w:rPr>
                <w:rFonts w:hint="eastAsia"/>
                <w:color w:val="000000"/>
                <w:sz w:val="18"/>
                <w:szCs w:val="18"/>
              </w:rPr>
              <w:t>个月持有期混合型基金中基金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FOF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50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中银数字经济混合型证券投资基金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51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中银月月鑫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30 </w:t>
            </w:r>
            <w:r>
              <w:rPr>
                <w:rFonts w:hint="eastAsia"/>
                <w:color w:val="000000"/>
                <w:sz w:val="18"/>
                <w:szCs w:val="18"/>
              </w:rPr>
              <w:t>天滚动持有债券型证券投资基金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52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中银量化选股混合型发起式证券投资基金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53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中银价值发现混合型发起式证券投资基金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54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</w:t>
            </w:r>
            <w:r>
              <w:rPr>
                <w:rFonts w:hint="eastAsia"/>
                <w:color w:val="000000"/>
                <w:sz w:val="18"/>
                <w:szCs w:val="18"/>
              </w:rPr>
              <w:t>ESG</w:t>
            </w:r>
            <w:r>
              <w:rPr>
                <w:rFonts w:hint="eastAsia"/>
                <w:color w:val="000000"/>
                <w:sz w:val="18"/>
                <w:szCs w:val="18"/>
              </w:rPr>
              <w:t>主题混合型发起式证券投资基金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55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中银周期优选混合型发起式证券投资基金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56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中银上证科创板</w:t>
            </w: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  <w:r>
              <w:rPr>
                <w:rFonts w:hint="eastAsia"/>
                <w:color w:val="000000"/>
                <w:sz w:val="18"/>
                <w:szCs w:val="18"/>
              </w:rPr>
              <w:t>成份交易型开放式指数证券投资基金联接基金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57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中银沪深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300 </w:t>
            </w:r>
            <w:r>
              <w:rPr>
                <w:rFonts w:hint="eastAsia"/>
                <w:color w:val="000000"/>
                <w:sz w:val="18"/>
                <w:szCs w:val="18"/>
              </w:rPr>
              <w:t>指数型证券投资基金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58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中银淳利三个月持有期债券型证券投资基金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59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中银上证科创板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50 </w:t>
            </w:r>
            <w:r>
              <w:rPr>
                <w:rFonts w:hint="eastAsia"/>
                <w:color w:val="000000"/>
                <w:sz w:val="18"/>
                <w:szCs w:val="18"/>
              </w:rPr>
              <w:t>成份交易型开放式指数证券投资基金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60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中银新华中诚信红利价值指数型发起式证券投资基金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t>61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</w:t>
            </w:r>
            <w:r>
              <w:rPr>
                <w:rFonts w:hint="eastAsia"/>
                <w:color w:val="000000"/>
                <w:sz w:val="18"/>
                <w:szCs w:val="18"/>
              </w:rPr>
              <w:t>A500</w:t>
            </w:r>
            <w:r>
              <w:rPr>
                <w:rFonts w:hint="eastAsia"/>
                <w:color w:val="000000"/>
                <w:sz w:val="18"/>
                <w:szCs w:val="18"/>
              </w:rPr>
              <w:t>指数增强型证券投资基金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中银中证全指自由现金流交易型开放式指数证券投资基金</w:t>
            </w:r>
          </w:p>
        </w:tc>
      </w:tr>
      <w:tr w:rsidR="00A86EB5">
        <w:trPr>
          <w:jc w:val="center"/>
        </w:trPr>
        <w:tc>
          <w:tcPr>
            <w:tcW w:w="741" w:type="dxa"/>
            <w:tcBorders>
              <w:bottom w:val="single" w:sz="4" w:space="0" w:color="auto"/>
            </w:tcBorders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中银中外运仓储物流封闭式基础设施证券投资基金</w:t>
            </w:r>
          </w:p>
        </w:tc>
      </w:tr>
      <w:tr w:rsidR="00A86EB5">
        <w:trPr>
          <w:jc w:val="center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中银中证港股通高股息投资指数型证券投资基金</w:t>
            </w:r>
          </w:p>
        </w:tc>
      </w:tr>
      <w:tr w:rsidR="00A86EB5">
        <w:trPr>
          <w:jc w:val="center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中银中证港股通互联网指数型发起式证券投资基金</w:t>
            </w:r>
          </w:p>
        </w:tc>
      </w:tr>
      <w:tr w:rsidR="00A86EB5">
        <w:trPr>
          <w:jc w:val="center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中银中证全指自由现金流交易型开放式指数证券投资基金联接基金</w:t>
            </w:r>
          </w:p>
        </w:tc>
      </w:tr>
      <w:tr w:rsidR="00A86EB5">
        <w:trPr>
          <w:jc w:val="center"/>
        </w:trPr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中银上证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AAA </w:t>
            </w:r>
            <w:r>
              <w:rPr>
                <w:rFonts w:hint="eastAsia"/>
                <w:color w:val="000000"/>
                <w:sz w:val="18"/>
                <w:szCs w:val="18"/>
              </w:rPr>
              <w:t>科技创新公司债交易型开放式指数证券投资基金</w:t>
            </w:r>
          </w:p>
        </w:tc>
      </w:tr>
      <w:tr w:rsidR="00A86EB5">
        <w:trPr>
          <w:jc w:val="center"/>
        </w:trPr>
        <w:tc>
          <w:tcPr>
            <w:tcW w:w="741" w:type="dxa"/>
            <w:tcBorders>
              <w:top w:val="single" w:sz="4" w:space="0" w:color="auto"/>
            </w:tcBorders>
          </w:tcPr>
          <w:p w:rsidR="00A86EB5" w:rsidRDefault="002F5690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EB5" w:rsidRDefault="002F5690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中银中证机器人指数型证券投资基金</w:t>
            </w:r>
          </w:p>
        </w:tc>
      </w:tr>
    </w:tbl>
    <w:p w:rsidR="00A86EB5" w:rsidRDefault="002F5690" w:rsidP="002F5690">
      <w:pPr>
        <w:spacing w:beforeLines="5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的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季度</w:t>
      </w:r>
      <w:r>
        <w:rPr>
          <w:rFonts w:ascii="Times New Roman" w:hAnsi="Times New Roman" w:cs="Times New Roman"/>
          <w:color w:val="000000"/>
          <w:sz w:val="24"/>
          <w:szCs w:val="24"/>
        </w:rPr>
        <w:t>报告全文于</w:t>
      </w:r>
      <w:r>
        <w:rPr>
          <w:rFonts w:ascii="Times New Roman" w:hAnsi="Times New Roman" w:cs="Times New Roman"/>
          <w:color w:val="000000"/>
          <w:sz w:val="24"/>
          <w:szCs w:val="24"/>
        </w:rPr>
        <w:t>2026</w:t>
      </w:r>
      <w:r>
        <w:rPr>
          <w:rFonts w:ascii="Times New Roman" w:hAnsi="Times New Roman" w:cs="Times New Roman"/>
          <w:color w:val="00000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日在本公司网站（</w:t>
      </w:r>
      <w:r>
        <w:rPr>
          <w:rFonts w:ascii="Times New Roman" w:hAnsi="Times New Roman" w:cs="Times New Roman"/>
          <w:color w:val="000000"/>
          <w:sz w:val="24"/>
          <w:szCs w:val="24"/>
        </w:rPr>
        <w:t>http://www.bocim.com</w:t>
      </w:r>
      <w:r>
        <w:rPr>
          <w:rFonts w:ascii="Times New Roman" w:hAnsi="Times New Roman" w:cs="Times New Roman"/>
          <w:color w:val="000000"/>
          <w:sz w:val="24"/>
          <w:szCs w:val="24"/>
        </w:rPr>
        <w:t>）和中国证监会基金电子披露网站（</w:t>
      </w:r>
      <w:r>
        <w:rPr>
          <w:rFonts w:ascii="Times New Roman" w:hAnsi="Times New Roman" w:cs="Times New Roman"/>
          <w:color w:val="000000"/>
          <w:sz w:val="24"/>
          <w:szCs w:val="24"/>
        </w:rPr>
        <w:t>http://eid.csrc.gov.cn/fund</w:t>
      </w:r>
      <w:r>
        <w:rPr>
          <w:rFonts w:ascii="Times New Roman" w:hAnsi="Times New Roman" w:cs="Times New Roman"/>
          <w:color w:val="000000"/>
          <w:sz w:val="24"/>
          <w:szCs w:val="24"/>
        </w:rPr>
        <w:t>）披露，供投资者查阅。如有疑问可拨打本公司客服电话（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4008885566 </w:t>
      </w:r>
      <w:r>
        <w:rPr>
          <w:rFonts w:ascii="Times New Roman" w:hAnsi="Times New Roman" w:cs="Times New Roman"/>
          <w:color w:val="000000"/>
          <w:sz w:val="24"/>
          <w:szCs w:val="24"/>
        </w:rPr>
        <w:t>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021-38834788</w:t>
      </w:r>
      <w:r>
        <w:rPr>
          <w:rFonts w:ascii="Times New Roman" w:hAnsi="Times New Roman" w:cs="Times New Roman"/>
          <w:color w:val="000000"/>
          <w:sz w:val="24"/>
          <w:szCs w:val="24"/>
        </w:rPr>
        <w:t>）咨询。</w:t>
      </w:r>
    </w:p>
    <w:p w:rsidR="00A86EB5" w:rsidRDefault="002F569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A86EB5" w:rsidRDefault="002F5690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特此公告。</w:t>
      </w:r>
    </w:p>
    <w:p w:rsidR="00A86EB5" w:rsidRDefault="00A86EB5">
      <w:pPr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</w:p>
    <w:p w:rsidR="00A86EB5" w:rsidRDefault="00A86EB5">
      <w:pPr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</w:p>
    <w:p w:rsidR="00A86EB5" w:rsidRDefault="002F5690">
      <w:pPr>
        <w:ind w:firstLineChars="250" w:firstLine="6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中银基金管理有限公司</w:t>
      </w:r>
    </w:p>
    <w:p w:rsidR="00A86EB5" w:rsidRDefault="002F5690">
      <w:pPr>
        <w:ind w:firstLineChars="250" w:firstLine="60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2026</w:t>
      </w:r>
      <w:r>
        <w:rPr>
          <w:rFonts w:ascii="Times New Roman" w:hAnsi="Times New Roman" w:cs="Times New Roman"/>
          <w:color w:val="000000"/>
          <w:sz w:val="24"/>
          <w:szCs w:val="24"/>
        </w:rPr>
        <w:t>年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月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>日</w:t>
      </w:r>
    </w:p>
    <w:sectPr w:rsidR="00A86EB5" w:rsidSect="00A86EB5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EB5" w:rsidRDefault="00A86EB5" w:rsidP="00A86EB5">
      <w:r>
        <w:separator/>
      </w:r>
    </w:p>
  </w:endnote>
  <w:endnote w:type="continuationSeparator" w:id="0">
    <w:p w:rsidR="00A86EB5" w:rsidRDefault="00A86EB5" w:rsidP="00A86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Lucida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983331"/>
      <w:docPartList>
        <w:docPartGallery w:val="AutoText"/>
      </w:docPartList>
    </w:sdtPr>
    <w:sdtContent>
      <w:p w:rsidR="00A86EB5" w:rsidRDefault="00A86EB5">
        <w:pPr>
          <w:pStyle w:val="a5"/>
          <w:jc w:val="center"/>
        </w:pPr>
        <w:r>
          <w:fldChar w:fldCharType="begin"/>
        </w:r>
        <w:r w:rsidR="002F5690">
          <w:instrText>PAGE   \* MERGEFORMAT</w:instrText>
        </w:r>
        <w:r>
          <w:fldChar w:fldCharType="separate"/>
        </w:r>
        <w:r w:rsidR="002F5690" w:rsidRPr="002F5690">
          <w:rPr>
            <w:noProof/>
            <w:lang w:val="zh-CN"/>
          </w:rPr>
          <w:t>2</w:t>
        </w:r>
        <w:r>
          <w:fldChar w:fldCharType="end"/>
        </w:r>
      </w:p>
    </w:sdtContent>
  </w:sdt>
  <w:p w:rsidR="00A86EB5" w:rsidRDefault="00A86E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4060748"/>
      <w:docPartList>
        <w:docPartGallery w:val="AutoText"/>
      </w:docPartList>
    </w:sdtPr>
    <w:sdtContent>
      <w:p w:rsidR="00A86EB5" w:rsidRDefault="00A86EB5">
        <w:pPr>
          <w:pStyle w:val="a5"/>
          <w:jc w:val="center"/>
        </w:pPr>
        <w:r>
          <w:fldChar w:fldCharType="begin"/>
        </w:r>
        <w:r w:rsidR="002F5690">
          <w:instrText>PAGE   \* MERGEFORMAT</w:instrText>
        </w:r>
        <w:r>
          <w:fldChar w:fldCharType="separate"/>
        </w:r>
        <w:r w:rsidR="002F5690" w:rsidRPr="002F5690">
          <w:rPr>
            <w:noProof/>
            <w:lang w:val="zh-CN"/>
          </w:rPr>
          <w:t>1</w:t>
        </w:r>
        <w:r>
          <w:fldChar w:fldCharType="end"/>
        </w:r>
      </w:p>
    </w:sdtContent>
  </w:sdt>
  <w:p w:rsidR="00A86EB5" w:rsidRDefault="00A86E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EB5" w:rsidRDefault="00A86EB5" w:rsidP="00A86EB5">
      <w:r>
        <w:separator/>
      </w:r>
    </w:p>
  </w:footnote>
  <w:footnote w:type="continuationSeparator" w:id="0">
    <w:p w:rsidR="00A86EB5" w:rsidRDefault="00A86EB5" w:rsidP="00A86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A86EB5"/>
    <w:rsid w:val="002F5690"/>
    <w:rsid w:val="00A8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6EB5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rsid w:val="00A86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A86EB5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rsid w:val="00A86EB5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A86EB5"/>
    <w:pPr>
      <w:jc w:val="left"/>
    </w:pPr>
  </w:style>
  <w:style w:type="paragraph" w:styleId="a4">
    <w:name w:val="Balloon Text"/>
    <w:basedOn w:val="a"/>
    <w:rsid w:val="00A86EB5"/>
    <w:rPr>
      <w:sz w:val="18"/>
      <w:szCs w:val="18"/>
    </w:rPr>
  </w:style>
  <w:style w:type="paragraph" w:styleId="a5">
    <w:name w:val="footer"/>
    <w:basedOn w:val="a"/>
    <w:rsid w:val="00A86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A86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rsid w:val="00A86EB5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rsid w:val="00A86EB5"/>
    <w:rPr>
      <w:b/>
      <w:bCs/>
    </w:rPr>
  </w:style>
  <w:style w:type="character" w:styleId="a9">
    <w:name w:val="Hyperlink"/>
    <w:basedOn w:val="a0"/>
    <w:rsid w:val="00A86EB5"/>
    <w:rPr>
      <w:color w:val="0000FF"/>
      <w:u w:val="single"/>
    </w:rPr>
  </w:style>
  <w:style w:type="character" w:styleId="aa">
    <w:name w:val="annotation reference"/>
    <w:basedOn w:val="a0"/>
    <w:rsid w:val="00A86EB5"/>
    <w:rPr>
      <w:sz w:val="21"/>
      <w:szCs w:val="21"/>
    </w:rPr>
  </w:style>
  <w:style w:type="character" w:styleId="ab">
    <w:name w:val="footnote reference"/>
    <w:basedOn w:val="a0"/>
    <w:rsid w:val="00A86EB5"/>
    <w:rPr>
      <w:vertAlign w:val="superscript"/>
    </w:rPr>
  </w:style>
  <w:style w:type="paragraph" w:styleId="ac">
    <w:name w:val="List Paragraph"/>
    <w:basedOn w:val="a"/>
    <w:rsid w:val="00A86EB5"/>
    <w:pPr>
      <w:ind w:firstLineChars="200" w:firstLine="200"/>
    </w:pPr>
  </w:style>
  <w:style w:type="paragraph" w:customStyle="1" w:styleId="10">
    <w:name w:val="修订1"/>
    <w:rsid w:val="00A86EB5"/>
    <w:rPr>
      <w:rFonts w:ascii="Calibri" w:hAnsi="Calibri" w:cs="Arial"/>
      <w:kern w:val="2"/>
      <w:sz w:val="21"/>
      <w:szCs w:val="22"/>
    </w:rPr>
  </w:style>
  <w:style w:type="paragraph" w:styleId="11">
    <w:name w:val="toc 1"/>
    <w:basedOn w:val="a"/>
    <w:next w:val="a"/>
    <w:autoRedefine/>
    <w:rsid w:val="00A86EB5"/>
  </w:style>
  <w:style w:type="paragraph" w:styleId="20">
    <w:name w:val="toc 2"/>
    <w:basedOn w:val="a"/>
    <w:next w:val="a"/>
    <w:autoRedefine/>
    <w:rsid w:val="00A86EB5"/>
    <w:pPr>
      <w:ind w:left="420"/>
    </w:pPr>
  </w:style>
  <w:style w:type="paragraph" w:styleId="30">
    <w:name w:val="toc 3"/>
    <w:basedOn w:val="a"/>
    <w:next w:val="a"/>
    <w:autoRedefine/>
    <w:rsid w:val="00A86EB5"/>
    <w:pPr>
      <w:ind w:left="840"/>
    </w:pPr>
  </w:style>
  <w:style w:type="paragraph" w:styleId="4">
    <w:name w:val="toc 4"/>
    <w:basedOn w:val="a"/>
    <w:next w:val="a"/>
    <w:autoRedefine/>
    <w:rsid w:val="00A86EB5"/>
    <w:pPr>
      <w:ind w:left="1260"/>
    </w:pPr>
  </w:style>
  <w:style w:type="paragraph" w:styleId="5">
    <w:name w:val="toc 5"/>
    <w:basedOn w:val="a"/>
    <w:next w:val="a"/>
    <w:autoRedefine/>
    <w:rsid w:val="00A86EB5"/>
    <w:pPr>
      <w:ind w:left="16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3819</Characters>
  <Application>Microsoft Office Word</Application>
  <DocSecurity>4</DocSecurity>
  <Lines>31</Lines>
  <Paragraphs>8</Paragraphs>
  <ScaleCrop>false</ScaleCrop>
  <Company>CNSTOCK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2019-10-23T11:29:00Z</cp:lastPrinted>
  <dcterms:created xsi:type="dcterms:W3CDTF">2026-01-21T16:05:00Z</dcterms:created>
  <dcterms:modified xsi:type="dcterms:W3CDTF">2026-01-21T16:05:00Z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8EDE94C465C14ED686EE7E63A2A8A73A</vt:lpwstr>
  </property>
</Properties>
</file>