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6A9" w:rsidRDefault="008811F6" w:rsidP="008811F6">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博时基金管理有限公司旗下公募基金</w:t>
      </w:r>
      <w:r>
        <w:rPr>
          <w:rFonts w:ascii="仿宋" w:eastAsia="仿宋" w:hAnsi="仿宋" w:hint="eastAsia"/>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hint="eastAsia"/>
          <w:b/>
          <w:color w:val="000000" w:themeColor="text1"/>
          <w:sz w:val="32"/>
          <w:szCs w:val="32"/>
        </w:rPr>
        <w:t>年</w:t>
      </w:r>
      <w:r>
        <w:rPr>
          <w:rFonts w:ascii="仿宋" w:eastAsia="仿宋" w:hAnsi="仿宋" w:hint="eastAsia"/>
          <w:b/>
          <w:color w:val="000000" w:themeColor="text1"/>
          <w:sz w:val="32"/>
          <w:szCs w:val="32"/>
        </w:rPr>
        <w:t>4</w:t>
      </w:r>
      <w:r>
        <w:rPr>
          <w:rFonts w:ascii="仿宋" w:eastAsia="仿宋" w:hAnsi="仿宋" w:hint="eastAsia"/>
          <w:b/>
          <w:color w:val="000000" w:themeColor="text1"/>
          <w:sz w:val="32"/>
          <w:szCs w:val="32"/>
        </w:rPr>
        <w:t>季度报告提示性公告</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本公司董事会及董事保证基金季度报告所载资料不存在虚假记载、误导性陈述或重大遗漏，并对其内容的真实性、准确性和完整性承担个别及连带责任。</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博时安盈债券型证券投资基金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博时岁岁增利一年持有期债券型证券投资基金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博时裕益灵活配置混合型证券投资基金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博时内需增长灵活配置混合型证券投资基金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博时双月薪定期支付债券型证券投资基金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博时裕隆灵活配置混合型证券投资基金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博时现金宝货币市场基金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博时天天增利货币市场基金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博时季季享三个月持有期债券型证券投资基金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博时产业新动力灵活配置混合型发起式证券投资基金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博时互联网主题灵活配置混合型证券投资基金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博时沪港深优质企业灵活配置混合型证券投资基金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博时丝路主题股票型证券投资基金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博时中证淘金大数据</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指数型证券投资基金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博时国企改革主题股票型证券投资基金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博时外服货币市场基金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博时新策略灵活配置混合型证券投资基金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w:t>
      </w:r>
      <w:r>
        <w:rPr>
          <w:rFonts w:ascii="仿宋" w:eastAsia="仿宋" w:hAnsi="仿宋" w:hint="eastAsia"/>
          <w:color w:val="000000" w:themeColor="text1"/>
          <w:sz w:val="32"/>
          <w:szCs w:val="32"/>
        </w:rPr>
        <w:lastRenderedPageBreak/>
        <w:t>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博时裕盈纯债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博时裕瑞纯债债券型证券投资基金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博时裕恒纯债债券</w:t>
      </w:r>
      <w:r>
        <w:rPr>
          <w:rFonts w:ascii="仿宋" w:eastAsia="仿宋" w:hAnsi="仿宋" w:hint="eastAsia"/>
          <w:color w:val="000000" w:themeColor="text1"/>
          <w:sz w:val="32"/>
          <w:szCs w:val="32"/>
        </w:rPr>
        <w:t>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博时裕荣纯债债券型证券投资基金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博时裕泰纯债债券型证券投资基金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博时新收益灵活配置混合型证券投资基金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博时裕丰纯债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博时裕诚纯债债券型证券投资基金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博时外延增长主题灵活配置混合型证券投资基金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博时裕坤纯债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博时裕乾纯债债券型证券投资基金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博时裕达纯债债券型证券投资基金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博时裕康纯债债券型证券投资基金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博时裕腾纯债债券型证券投资基金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博时裕新纯债债券型证券投资基金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博时裕景纯债债券型证券投资基金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博时裕发纯债债券型证券投资基金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博时裕弘纯债债券型证券投资基金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博时裕泉纯债债券型证券投资基金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博时工业</w:t>
      </w:r>
      <w:r>
        <w:rPr>
          <w:rFonts w:ascii="仿宋" w:eastAsia="仿宋" w:hAnsi="仿宋" w:hint="eastAsia"/>
          <w:color w:val="000000" w:themeColor="text1"/>
          <w:sz w:val="32"/>
          <w:szCs w:val="32"/>
        </w:rPr>
        <w:t>4.0</w:t>
      </w:r>
      <w:r>
        <w:rPr>
          <w:rFonts w:ascii="仿宋" w:eastAsia="仿宋" w:hAnsi="仿宋" w:hint="eastAsia"/>
          <w:color w:val="000000" w:themeColor="text1"/>
          <w:sz w:val="32"/>
          <w:szCs w:val="32"/>
        </w:rPr>
        <w:t>主题股票型证券投资基金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博时黄金交易型开放式证券投资基金联接基金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博时安怡</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博时裕利纯债债券型证券投资基金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博时裕通纯债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博时裕创纯债债券型证券投资基金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博时裕盛纯债债券型证券投资基金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博时景兴纯债债券型证券投资基金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博时聚瑞纯债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博时裕顺纯债债券型证券投资基金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博时安仁一年定期开放债券型发起</w:t>
      </w:r>
      <w:r>
        <w:rPr>
          <w:rFonts w:ascii="仿宋" w:eastAsia="仿宋" w:hAnsi="仿宋" w:hint="eastAsia"/>
          <w:color w:val="000000" w:themeColor="text1"/>
          <w:sz w:val="32"/>
          <w:szCs w:val="32"/>
        </w:rPr>
        <w:t>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博时聚盈纯债债券型证券投资基金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博时聚润纯债债券型证券投资基金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博时合利货币市场基金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博时裕昂纯债债券型证券投资基金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博时鑫源灵活配置混合型证券投资基金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博时富宁纯债债券型证券投资基金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博时聚源纯债债券型证券投资基金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博时合鑫货币市场基金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博时富发纯债债券型证券投资基金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博时智臻纯债债券型证券投资基金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博时富祥纯债债券型证券投资基金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博时聚利纯债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博时利发纯债债券型证券投资基金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博时悦楚纯债债券型证券投资基金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博时乐臻定期开放混合型证券投资基金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博时安诚</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博时臻选纯债债券型证券投资基金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博时富益纯债债券型证券投资基金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博时丰达纯债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博时安弘一年定期开放债券型发起式证券投资基金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博时富鑫纯债债券型证券投资基金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博时民丰纯债债券型证券投资基金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博时富华纯债债券型证券投资基金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博时富诚纯债债券型证券投资基金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博时慧选纯债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博时兴盛货币市场基金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博时沪港深价值优选灵活配置混合型证券投资基金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博时裕鹏纯债债券型证券投资基金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博时民泽纯债债券型证券投资基金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博时合惠货币市场基金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博时富嘉纯债债券型证券投资基金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博时富瑞纯债债券型证券投资基金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博时兴荣货币市场基金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博时富元纯债债券型证券投资基金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博时广利纯债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博时汇享纯债债券型证券投资基金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博时逆向投资混合型证券投资基金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博时汇智回报灵活配置混合型证券投资基金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博时华盈纯债债券型证券投资基金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博时富和纯债债券型证券投资基金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博时量化平衡混合型证券投资基金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博时新兴消费主题混合型证券投资基金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博时富腾纯债债券型证券投资基金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博时战略新兴产业混合型证券投资基金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博时丰庆纯债债券型证券投资基金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博时军工主题股票型证券投资基金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博时合晶货币市场基金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指数增强型证券投资基金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博时厚泽回报灵活配置混合型证券投资基金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博时富业纯债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博时创新驱动灵活配置混合型证券投资基金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博时富乾纯债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博时量化多策略股票型证券投资基金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博时富兴纯债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博时量化价值股票型证券投资基金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博时荣享回报灵活配置定期开放混合型证券投资基金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博时中证央企结构调整交易型开放式指数证券投资基金联接基金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博时富永纯债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年政策性金融债指数证券投资基金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博时富源纯债债券型证券投资基金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博时汇悦回报混合型证券投资基金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5-10</w:t>
      </w:r>
      <w:r>
        <w:rPr>
          <w:rFonts w:ascii="仿宋" w:eastAsia="仿宋" w:hAnsi="仿宋" w:hint="eastAsia"/>
          <w:color w:val="000000" w:themeColor="text1"/>
          <w:sz w:val="32"/>
          <w:szCs w:val="32"/>
        </w:rPr>
        <w:t>年农发行债券指数证券投资基金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博时富融纯债债券型证券投资基金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博时颐泽稳健养老目标一年持有期混合型基金中基金（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年国开行债券指数证券投资基金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年国开行债券指数证券投资基金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博时富丰纯债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博时富淳纯债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博时富乐纯债债券型证券投资基金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博时颐泽平衡养老目标三年持有期混合型发起式基金中基金（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博时富汇纯债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博时中证央企创新驱动交易型开放式指数证券投资基金联接基金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年政策性金融债指数证券投资基金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博时富悦纯债债券型证券投资基金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博时富顺纯债债券型证券投资基金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博时稳欣</w:t>
      </w:r>
      <w:r>
        <w:rPr>
          <w:rFonts w:ascii="仿宋" w:eastAsia="仿宋" w:hAnsi="仿宋" w:hint="eastAsia"/>
          <w:color w:val="000000" w:themeColor="text1"/>
          <w:sz w:val="32"/>
          <w:szCs w:val="32"/>
        </w:rPr>
        <w:t>39</w:t>
      </w:r>
      <w:r>
        <w:rPr>
          <w:rFonts w:ascii="仿宋" w:eastAsia="仿宋" w:hAnsi="仿宋" w:hint="eastAsia"/>
          <w:color w:val="000000" w:themeColor="text1"/>
          <w:sz w:val="32"/>
          <w:szCs w:val="32"/>
        </w:rPr>
        <w:t>个月定期开放债券型证券投资基金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w:t>
      </w:r>
      <w:r>
        <w:rPr>
          <w:rFonts w:ascii="仿宋" w:eastAsia="仿宋" w:hAnsi="仿宋" w:hint="eastAsia"/>
          <w:color w:val="000000" w:themeColor="text1"/>
          <w:sz w:val="32"/>
          <w:szCs w:val="32"/>
        </w:rPr>
        <w:t>富添纯债债券型证券投资基金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交易型开放式指数证券投资基金发起式联接基金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博时富信纯债债券型证券投资基金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博时富进纯债一年定期开放债券型发起式证券投资基金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博时稳悦</w:t>
      </w:r>
      <w:r>
        <w:rPr>
          <w:rFonts w:ascii="仿宋" w:eastAsia="仿宋" w:hAnsi="仿宋" w:hint="eastAsia"/>
          <w:color w:val="000000" w:themeColor="text1"/>
          <w:sz w:val="32"/>
          <w:szCs w:val="32"/>
        </w:rPr>
        <w:t>63</w:t>
      </w:r>
      <w:r>
        <w:rPr>
          <w:rFonts w:ascii="仿宋" w:eastAsia="仿宋" w:hAnsi="仿宋" w:hint="eastAsia"/>
          <w:color w:val="000000" w:themeColor="text1"/>
          <w:sz w:val="32"/>
          <w:szCs w:val="32"/>
        </w:rPr>
        <w:t>个月定期开放债券型证券投资基金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博时富洋纯债一年定期开放债券型发起式证券投资基金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博时产业新趋势灵活配置混合型证券投资基金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博时成长优选灵活配置混合型证券投资基金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博时科技创新混合型证券投资基金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博时富灿纯债一年定期开放债券型发起式证券投资基金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博时荣丰回报灵活配置混合型证券投资基金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博时信用优选债券型证券投资基金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博时恒裕</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博时季季乐三个月持有期债券型证券投资基金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博时健康成长主题双周定期可赎回混合型证券投资基金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博时富盛纯债一年定期开放债券型发起式证券投资基金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博时研究精选一年持有期灵活配置混合型证券投资基金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博时女性消费主题混合型证券投资基金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博时恒盛一年持有期混合型证券投资基金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博时研究臻选三年持有期灵活配置混合型证券投资基金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博时价值臻选两年持有期灵活配置混合型证券投资基金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博时荣泰灵活配置混合型证券投资基金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博时双季享六个月持有期债券型证券投资基金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博时消费创新混合型证券投资基</w:t>
      </w:r>
      <w:r>
        <w:rPr>
          <w:rFonts w:ascii="仿宋" w:eastAsia="仿宋" w:hAnsi="仿宋" w:hint="eastAsia"/>
          <w:color w:val="000000" w:themeColor="text1"/>
          <w:sz w:val="32"/>
          <w:szCs w:val="32"/>
        </w:rPr>
        <w:t>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博时荣华灵活配置混合型证券投资基金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博时产业精选灵活配置混合型证券投资基金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博时恒进</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博时高端装备混合型证券投资基金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博时恒旭一年持有期混合型证券投资基金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指数增强发起式证券投资基金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博时成长领航灵活配置混合型证券投资基金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博时双季鑫</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博时创新经济混合型证券投资基金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博时汇兴回报一年持有期灵活配置混合型证券投资基金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博时恒泽混合型证券投资基金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博时港股通领先趋势混合型证券投资基金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博时汇融回报一年持有期混合型证券投资基金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博时战略新材料主题混合型证券投资基金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博时恒元</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博时创新精选混合型证券投资基金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博时恒悦</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博时产业慧选混合型证券投资基金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博时成长精选混合型证券投资基金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博时产业优选灵活配置混合型证券投资基金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博时周期优选混合型证券投资基金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博时恒泰债券型证券投资基金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博时先进制造混合型证券投资基金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博时汇誉回报灵活配置混合型证券投资基金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博时新能源汽车主题混合型证券投资基金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博时数字经济混合型证券投资基金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博时健康生活混</w:t>
      </w:r>
      <w:r>
        <w:rPr>
          <w:rFonts w:ascii="仿宋" w:eastAsia="仿宋" w:hAnsi="仿宋" w:hint="eastAsia"/>
          <w:color w:val="000000" w:themeColor="text1"/>
          <w:sz w:val="32"/>
          <w:szCs w:val="32"/>
        </w:rPr>
        <w:t>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博时研究慧选混合型证券投资基金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博时乐享混合型证券投资基金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博时月月享</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天持有期短债债券型发起式证券投资基金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博时成长优势混合型证券投资基金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博时恒玺一年持有期混合型证券投资基金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博时汇荣回报灵活配置混合型证券投资基金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博时半导体主题混合型证券投资基金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年国开行债券交易型开放式指数证券投资基金联接基金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博时移动互联主题混合型证券投资基金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博时双月享</w:t>
      </w:r>
      <w:r>
        <w:rPr>
          <w:rFonts w:ascii="仿宋" w:eastAsia="仿宋" w:hAnsi="仿宋" w:hint="eastAsia"/>
          <w:color w:val="000000" w:themeColor="text1"/>
          <w:sz w:val="32"/>
          <w:szCs w:val="32"/>
        </w:rPr>
        <w:t>60</w:t>
      </w:r>
      <w:r>
        <w:rPr>
          <w:rFonts w:ascii="仿宋" w:eastAsia="仿宋" w:hAnsi="仿宋" w:hint="eastAsia"/>
          <w:color w:val="000000" w:themeColor="text1"/>
          <w:sz w:val="32"/>
          <w:szCs w:val="32"/>
        </w:rPr>
        <w:t>天滚动持有债券型证券投资基金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博时新能源主题混合型证券投资基金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博时博盈稳健</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博时恒盈稳健一年</w:t>
      </w:r>
      <w:r>
        <w:rPr>
          <w:rFonts w:ascii="仿宋" w:eastAsia="仿宋" w:hAnsi="仿宋" w:hint="eastAsia"/>
          <w:color w:val="000000" w:themeColor="text1"/>
          <w:sz w:val="32"/>
          <w:szCs w:val="32"/>
        </w:rPr>
        <w:t>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博时核心资产精选混合型证券投资基金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博时凤凰领航混合型证券投资基金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博时智选量化多因子股票型证券投资基金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博时稳益</w:t>
      </w:r>
      <w:r>
        <w:rPr>
          <w:rFonts w:ascii="仿宋" w:eastAsia="仿宋" w:hAnsi="仿宋" w:hint="eastAsia"/>
          <w:color w:val="000000" w:themeColor="text1"/>
          <w:sz w:val="32"/>
          <w:szCs w:val="32"/>
        </w:rPr>
        <w:t>9</w:t>
      </w:r>
      <w:r>
        <w:rPr>
          <w:rFonts w:ascii="仿宋" w:eastAsia="仿宋" w:hAnsi="仿宋" w:hint="eastAsia"/>
          <w:color w:val="000000" w:themeColor="text1"/>
          <w:sz w:val="32"/>
          <w:szCs w:val="32"/>
        </w:rPr>
        <w:t>个月持有期混合型证券投资基金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博时优质鑫选一年持有期混合型证券投资基金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博时时代消费混合型证券投资基金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博时富恒纯债一年定期开放债券型发起式证券投资基金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博时富璟纯债一年定期开放债券型证券投资基金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博时成长回报混合型证券投资基金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博时品质生活混合型证券投资基金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博时浦惠一年持有期混合型证券投资基金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博时专精特新主题混合型证券投资基金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博时恒生医疗保健交易型开放式指数证券投资基金发起式联接基金</w:t>
      </w:r>
      <w:r>
        <w:rPr>
          <w:rFonts w:ascii="仿宋" w:eastAsia="仿宋" w:hAnsi="仿宋" w:hint="eastAsia"/>
          <w:color w:val="000000" w:themeColor="text1"/>
          <w:sz w:val="32"/>
          <w:szCs w:val="32"/>
        </w:rPr>
        <w:t>(QDII)</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博时恒生科技交易型开放式指数证券投资基金发起式联接基金（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博时恒鑫稳健一年持有期混合型证券投资基金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博时成长臻选混合型证券投资基金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博时恒生港股通高股息率交易型开放式指数证券投资基金发起式联接基金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博时回报严选混合型证券投资基金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博时时代领航混合型证券投资基金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博时恒乐债券型证券投资基金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博时研究回报混合型证券投资基金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博时远见回报混合型证券投资基金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博时恒益稳健一年持有期混合型证券投资基金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博时均衡回报混合型证券投资基金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w:t>
      </w:r>
      <w:r>
        <w:rPr>
          <w:rFonts w:ascii="仿宋" w:eastAsia="仿宋" w:hAnsi="仿宋" w:hint="eastAsia"/>
          <w:color w:val="000000" w:themeColor="text1"/>
          <w:sz w:val="32"/>
          <w:szCs w:val="32"/>
        </w:rPr>
        <w:t>时双季乐六个月持有期债券型证券投资基金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博时富鸿金融债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博时四月享</w:t>
      </w:r>
      <w:r>
        <w:rPr>
          <w:rFonts w:ascii="仿宋" w:eastAsia="仿宋" w:hAnsi="仿宋" w:hint="eastAsia"/>
          <w:color w:val="000000" w:themeColor="text1"/>
          <w:sz w:val="32"/>
          <w:szCs w:val="32"/>
        </w:rPr>
        <w:t>120</w:t>
      </w:r>
      <w:r>
        <w:rPr>
          <w:rFonts w:ascii="仿宋" w:eastAsia="仿宋" w:hAnsi="仿宋" w:hint="eastAsia"/>
          <w:color w:val="000000" w:themeColor="text1"/>
          <w:sz w:val="32"/>
          <w:szCs w:val="32"/>
        </w:rPr>
        <w:t>天持有期债券型证券投资基金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博时优享回报混合型证券投资基金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博时月月乐同业存单</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博时优质精选混合型证券投资基金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博时富尊纯债一年定期开放债券型发起式证券投资基金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博时中证光伏产业指数证券投资基金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博时纳斯达克</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交易型开放式指数证券投资基金发起式联接基金（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博时稳健优选三个月持有期混合型基金中基金（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博时恒耀债券型证券投资基金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博时富泽金融债债券型证券投资基金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指数增强型证券投资基金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博时均衡优选混合型证券投资基金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博时五月佳</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个月持有期混合型发起式基金中基金</w:t>
      </w:r>
      <w:r>
        <w:rPr>
          <w:rFonts w:ascii="仿宋" w:eastAsia="仿宋" w:hAnsi="仿宋" w:hint="eastAsia"/>
          <w:color w:val="000000" w:themeColor="text1"/>
          <w:sz w:val="32"/>
          <w:szCs w:val="32"/>
        </w:rPr>
        <w:t>(FOF)</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博时安悦短债债券型证券投资基金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博时中证全指电力公用事业交易型开放式指数证券投资基金发起式联接基金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博时富盈一年定期开放债券型发起式证券投资基金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博时信享一年持有期混合型证券投资基金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博时恒享债券型证券投资基金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7-10</w:t>
      </w:r>
      <w:r>
        <w:rPr>
          <w:rFonts w:ascii="仿宋" w:eastAsia="仿宋" w:hAnsi="仿宋" w:hint="eastAsia"/>
          <w:color w:val="000000" w:themeColor="text1"/>
          <w:sz w:val="32"/>
          <w:szCs w:val="32"/>
        </w:rPr>
        <w:t>年政策性金融债指数证券投资基金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博时中证机器人指数型发起式证券投资基金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博时北证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成份指数型发起式证券投资基金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w:t>
      </w:r>
      <w:r>
        <w:rPr>
          <w:rFonts w:ascii="仿宋" w:eastAsia="仿宋" w:hAnsi="仿宋" w:hint="eastAsia"/>
          <w:color w:val="000000" w:themeColor="text1"/>
          <w:sz w:val="32"/>
          <w:szCs w:val="32"/>
        </w:rPr>
        <w:t>ES</w:t>
      </w:r>
      <w:r>
        <w:rPr>
          <w:rFonts w:ascii="仿宋" w:eastAsia="仿宋" w:hAnsi="仿宋" w:hint="eastAsia"/>
          <w:color w:val="000000" w:themeColor="text1"/>
          <w:sz w:val="32"/>
          <w:szCs w:val="32"/>
        </w:rPr>
        <w:t>G</w:t>
      </w:r>
      <w:r>
        <w:rPr>
          <w:rFonts w:ascii="仿宋" w:eastAsia="仿宋" w:hAnsi="仿宋" w:hint="eastAsia"/>
          <w:color w:val="000000" w:themeColor="text1"/>
          <w:sz w:val="32"/>
          <w:szCs w:val="32"/>
        </w:rPr>
        <w:t>量化选股混合型证券投资基金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博时中证有色金属矿业主题指数证券投资基金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成份指数型发起式证券投资基金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博时厚泽匠选一年持有期混合型证券投资基金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博时稳健增利债券型证券投资基金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博时集兴配置优选</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博时中证医疗指数型发起式证券投资基金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博时臻选楚汇三个月持有期债券型基金中基金（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博时富耀纯债一年定期开放债券型发起式证券投资基金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博时标普石油天然气勘探及生产精选行业指数型发起式证券投资基金（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博时双季益六个月持有期债券型证券投资基金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博时中证新能源汽车交易型开放式指数证券投资基金发起式联接基金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博时匠心优选混合型证券投资基金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博时卓越优选混合型证券投资基金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博时双月乐</w:t>
      </w:r>
      <w:r>
        <w:rPr>
          <w:rFonts w:ascii="仿宋" w:eastAsia="仿宋" w:hAnsi="仿宋" w:hint="eastAsia"/>
          <w:color w:val="000000" w:themeColor="text1"/>
          <w:sz w:val="32"/>
          <w:szCs w:val="32"/>
        </w:rPr>
        <w:t>60</w:t>
      </w:r>
      <w:r>
        <w:rPr>
          <w:rFonts w:ascii="仿宋" w:eastAsia="仿宋" w:hAnsi="仿宋" w:hint="eastAsia"/>
          <w:color w:val="000000" w:themeColor="text1"/>
          <w:sz w:val="32"/>
          <w:szCs w:val="32"/>
        </w:rPr>
        <w:t>天持有期债券型证券投资基金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博时中证软件服务指数型发起式证券投资基金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博时稳合一年持有期混合型证券投资基金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指数型发起式证券投资基金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博时中证新能源交易型开放式指数证券投资基金发起式联接基金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博时中高等级信用债债券型证券投资基金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博时惠泽混合型发起式证券投资基金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博时中证传媒指数型发起式证</w:t>
      </w:r>
      <w:r>
        <w:rPr>
          <w:rFonts w:ascii="仿宋" w:eastAsia="仿宋" w:hAnsi="仿宋" w:hint="eastAsia"/>
          <w:color w:val="000000" w:themeColor="text1"/>
          <w:sz w:val="32"/>
          <w:szCs w:val="32"/>
        </w:rPr>
        <w:t>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博时锦源利率债债券型证券投资基金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博时中证基建工程指数型发起式证券投资基金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博时卓越成长混合型证券投资基金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博时国证粮食产业指数型发起式证券投资基金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博时中证全指通信设备指数型发起式证券投资基金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博时国证消费电子主题指数型发起式证券投资基金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博时中证汽车零部件主题指数型发起式证券投资基金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博时中证红利交易型开放式指数证券投资基金发起式联接基金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w:t>
      </w:r>
      <w:r>
        <w:rPr>
          <w:rFonts w:ascii="仿宋" w:eastAsia="仿宋" w:hAnsi="仿宋" w:hint="eastAsia"/>
          <w:color w:val="000000" w:themeColor="text1"/>
          <w:sz w:val="32"/>
          <w:szCs w:val="32"/>
        </w:rPr>
        <w:t>交易型开放式指数证券投资基金发起式联接基金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博时中证信息技术应用创新产业指数型发起式证券投资基金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博时科技驱动混合型证券投资基金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博时季季兴</w:t>
      </w:r>
      <w:r>
        <w:rPr>
          <w:rFonts w:ascii="仿宋" w:eastAsia="仿宋" w:hAnsi="仿宋" w:hint="eastAsia"/>
          <w:color w:val="000000" w:themeColor="text1"/>
          <w:sz w:val="32"/>
          <w:szCs w:val="32"/>
        </w:rPr>
        <w:t>90</w:t>
      </w:r>
      <w:r>
        <w:rPr>
          <w:rFonts w:ascii="仿宋" w:eastAsia="仿宋" w:hAnsi="仿宋" w:hint="eastAsia"/>
          <w:color w:val="000000" w:themeColor="text1"/>
          <w:sz w:val="32"/>
          <w:szCs w:val="32"/>
        </w:rPr>
        <w:t>天滚动持有债券型证券投资基金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博时国证龙头家电交易型开放式指数证券投资基金发起式联接基金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博时稳健恒利债券型证券投资基金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博时中证油气资源交易型开放式指数证券投资基金发起式联接基金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博时中证国新央企现代能源交易型开放式指数证券投资基金发起式联接基金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交易型开放式指数证券投资基金发起式联接基金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A100</w:t>
      </w:r>
      <w:r>
        <w:rPr>
          <w:rFonts w:ascii="仿宋" w:eastAsia="仿宋" w:hAnsi="仿宋" w:hint="eastAsia"/>
          <w:color w:val="000000" w:themeColor="text1"/>
          <w:sz w:val="32"/>
          <w:szCs w:val="32"/>
        </w:rPr>
        <w:t>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博时月月兴</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博时上证科创板芯片交易型开放式指数证券投资基金发起式联接基金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博时上证科创板人工智能交易型开放式指数证券投资基金发起式联接基金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博时中证金融科技主题交易型开放式指数证券投资基金联接基金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博时四月兴</w:t>
      </w:r>
      <w:r>
        <w:rPr>
          <w:rFonts w:ascii="仿宋" w:eastAsia="仿宋" w:hAnsi="仿宋" w:hint="eastAsia"/>
          <w:color w:val="000000" w:themeColor="text1"/>
          <w:sz w:val="32"/>
          <w:szCs w:val="32"/>
        </w:rPr>
        <w:t>120</w:t>
      </w:r>
      <w:r>
        <w:rPr>
          <w:rFonts w:ascii="仿宋" w:eastAsia="仿宋" w:hAnsi="仿宋" w:hint="eastAsia"/>
          <w:color w:val="000000" w:themeColor="text1"/>
          <w:sz w:val="32"/>
          <w:szCs w:val="32"/>
        </w:rPr>
        <w:t>天持有期债券型证券投资基金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指数增强型证券投资基金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博时上证科创板综合交易型开放式指数证券投资基金联接基金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博时上证综合指数增强型证券投资基金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博时上证科创板综合价格指数增强型证券投资基金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指数型证券投资基金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博时卓睿成长股票型证券投资基金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博时国证大盘价值交易型开放式指数证券投资基金联接基金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博时中证全指自由现金流交易型开放式指数证券投资基金联接基金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指数增强型证券投资基金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博时创业板指数增强型证券投资基金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博时价值增长证券投资基金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博时裕富沪深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博时现金收益证券投资基金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博时精选混合型证券投资基金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博时稳定价值债券投资基金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博时平衡配置混合型证券投资基金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博时第三产业成长混合型证券投资基金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博时新兴成长混合型证券投资基金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博时特许价值混合型证券投资基金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博时信用债券投资基金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博时策略灵活配置混合型证券投资基金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博时上证超级大盘交易型开放式指数证券投资基金联接基金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博时创业成长混合型证券投资基金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博时大中华亚太精选股票证券投资基金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博时宏观回报债券型证券投资基金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博时行业轮动混合型证券投资基金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博时转债增强债券型证券投资基金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博时抗通胀增强回报证券投资基金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博时回报灵活配置混合型证券投资基金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博时天颐债券型证券投资基金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博时上证自然资源交易型开放式指数证券投资基金联接基金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博时医疗</w:t>
      </w:r>
      <w:r>
        <w:rPr>
          <w:rFonts w:ascii="仿宋" w:eastAsia="仿宋" w:hAnsi="仿宋" w:hint="eastAsia"/>
          <w:color w:val="000000" w:themeColor="text1"/>
          <w:sz w:val="32"/>
          <w:szCs w:val="32"/>
        </w:rPr>
        <w:t>保健行业混合型证券投资基金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博时信用债纯债债券型证券投资基金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博时亚洲票息收益债券型证券投资基金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博时价值增长贰号证券投资基金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博时国证大盘成长交易型开放式指数证券投资基金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博时中证全指证券公司交易型开放式指数证券投资基金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博时创业板综合交易型开放式指数证券投资基金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博时国证大盘价值交易型开放式指数证券投资基金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博时深证基准做市信用债交易型开放式指数证券投资基金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w:t>
      </w:r>
      <w:r>
        <w:rPr>
          <w:rFonts w:ascii="仿宋" w:eastAsia="仿宋" w:hAnsi="仿宋" w:hint="eastAsia"/>
          <w:color w:val="000000" w:themeColor="text1"/>
          <w:sz w:val="32"/>
          <w:szCs w:val="32"/>
        </w:rPr>
        <w:t>2000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2000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博时中证港股通互联网交易型开放式指数证券投资基金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博时中证半导体产业交易型开放式指数证券投资基金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博时中证成渝地区双城经济圈成份交易型开放式指数证券投资基金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年国开行债券交易型开放式指数证券投资基金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博时中证主要消费交易型开放式指数证券投资基金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增强策略交易型开放式指数证券投资基金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博时国证龙头家电交易型开放式指数证券投资基金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博时恒生科技交易型开放式指数证券投资基金</w:t>
      </w:r>
      <w:r>
        <w:rPr>
          <w:rFonts w:ascii="仿宋" w:eastAsia="仿宋" w:hAnsi="仿宋" w:hint="eastAsia"/>
          <w:color w:val="000000" w:themeColor="text1"/>
          <w:sz w:val="32"/>
          <w:szCs w:val="32"/>
        </w:rPr>
        <w:t>(QDII)</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博时中证湖北新旧动能转换交易型开放式指数证券投资基金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5G</w:t>
      </w:r>
      <w:r>
        <w:rPr>
          <w:rFonts w:ascii="仿宋" w:eastAsia="仿宋" w:hAnsi="仿宋" w:hint="eastAsia"/>
          <w:color w:val="000000" w:themeColor="text1"/>
          <w:sz w:val="32"/>
          <w:szCs w:val="32"/>
        </w:rPr>
        <w:t>产业</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博时中证新能源汽车交易型开放式指数证券投资基金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博时中证医药</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博时黄金交易型开放式证券投资基金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博时主题行业混合型证券投资基金（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博时卓越品牌混合型证券投资基金（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 xml:space="preserve"> </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博时稳健回报债券型证券投资基金（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博时安丰</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博时中证全指证券公司交易型开放式指数证券投资基金联接基金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银行指数证券投资基金（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博时睿远事件驱动灵活配置混合型证券投资基金（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博时优势企业灵活配置混合型证券投资基金（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博时研究优选灵活配置混合型证券投资基金（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博时创业板两年定期开放混合型证券投资基金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博时招商蛇口产业园封闭式基础设施证券投资基金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博时科创主题灵活配置混合型证券投资基金（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博时安康</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博时科创板三年定期开放混合型证券投资基金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博时津开科工产业园封闭式基础设施证券投资基金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上证超级大盘交易型开放式指数证券投资基金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上证自然资源交易型开放式指数证券投资基金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年期国债交易型开放式指数证券投资基金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博时中证可转债及可交换债券交易型开放式指数证券投资基金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博时保证金实时交易型货币市场基金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博时中证央企结构调整交易型开放式指数证券投资基金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博时恒生医疗保健交易型开放式指数证券投资基金（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博时中证全球中国教育主题交易型开放式指数证券投资基金</w:t>
      </w:r>
      <w:r>
        <w:rPr>
          <w:rFonts w:ascii="仿宋" w:eastAsia="仿宋" w:hAnsi="仿宋" w:hint="eastAsia"/>
          <w:color w:val="000000" w:themeColor="text1"/>
          <w:sz w:val="32"/>
          <w:szCs w:val="32"/>
        </w:rPr>
        <w:t>(QDII)</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博时纳斯达克</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博时恒生港</w:t>
      </w:r>
      <w:r>
        <w:rPr>
          <w:rFonts w:ascii="仿宋" w:eastAsia="仿宋" w:hAnsi="仿宋" w:hint="eastAsia"/>
          <w:color w:val="000000" w:themeColor="text1"/>
          <w:sz w:val="32"/>
          <w:szCs w:val="32"/>
        </w:rPr>
        <w:t>股通高股息率交易型开放式指数证券投资基金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博时中证可持续发展</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博时中证央企创新驱动交易型开放式指数证券投资基金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博时中证智能消费主题交易型开放式指数证券投资基金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博时中证金融科技主题交易型开放式指数证券投资基金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博时恒生港股通创新药精选交易型开放式指数证券投资基金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科技创新公司债交易型开放式指数证券投资基金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博时中证全指电力公用事业交易型开放式指数证券投资基金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博时中证油气资源交易型开放式指数证券投资基金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A100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增强策略交易型开放式指数证券投资基金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博时中证国新央企现代能源交易型开放式指数证券投资基金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博时中证全指自由现金流交易型开放式指数证券投资基金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博时上证科创板新材料交易型开放式指数证券投资基金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博时中证科创创业</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博时上证科创板人工智能交易型开放式指数证券投资基金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博时上证科创板芯片交易型开放式指数证券投资基金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博时上证科创板综合交易型开放式指数证券投资基金</w:t>
      </w:r>
    </w:p>
    <w:p w:rsidR="008546A9" w:rsidRDefault="008811F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的季度报告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w:t>
      </w:r>
      <w:r>
        <w:rPr>
          <w:rFonts w:ascii="仿宋" w:eastAsia="仿宋" w:hAnsi="仿宋" w:hint="eastAsia"/>
          <w:color w:val="000000" w:themeColor="text1"/>
          <w:sz w:val="32"/>
          <w:szCs w:val="32"/>
        </w:rPr>
        <w:t>26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22</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7" w:history="1">
        <w:r>
          <w:rPr>
            <w:rStyle w:val="a9"/>
            <w:rFonts w:ascii="仿宋" w:eastAsia="仿宋" w:hAnsi="仿宋"/>
            <w:sz w:val="32"/>
            <w:szCs w:val="32"/>
          </w:rPr>
          <w:t>http</w:t>
        </w:r>
        <w:r>
          <w:rPr>
            <w:rStyle w:val="a9"/>
            <w:rFonts w:ascii="仿宋" w:eastAsia="仿宋" w:hAnsi="仿宋" w:hint="eastAsia"/>
            <w:sz w:val="32"/>
            <w:szCs w:val="32"/>
          </w:rPr>
          <w:t>s</w:t>
        </w:r>
        <w:r>
          <w:rPr>
            <w:rStyle w:val="a9"/>
            <w:rFonts w:ascii="仿宋" w:eastAsia="仿宋" w:hAnsi="仿宋"/>
            <w:sz w:val="32"/>
            <w:szCs w:val="32"/>
          </w:rPr>
          <w:t>://www.bosera.com</w:t>
        </w:r>
      </w:hyperlink>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8" w:history="1">
        <w:r>
          <w:rPr>
            <w:rStyle w:val="a9"/>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95105568</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8546A9" w:rsidRDefault="008811F6">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w:t>
      </w:r>
      <w:bookmarkStart w:id="0" w:name="_GoBack"/>
      <w:bookmarkEnd w:id="0"/>
      <w:r>
        <w:rPr>
          <w:rFonts w:ascii="仿宋" w:eastAsia="仿宋" w:hAnsi="仿宋" w:hint="eastAsia"/>
          <w:color w:val="000000" w:themeColor="text1"/>
          <w:sz w:val="32"/>
          <w:szCs w:val="32"/>
        </w:rPr>
        <w:t>理人承诺以诚实信用、勤勉尽责的原则管理和运用基金资产，但不保证基金一定盈利，也不保证最低收益。请充分了解基金的风险收益特征，审慎做出投资决定。</w:t>
      </w:r>
    </w:p>
    <w:p w:rsidR="008546A9" w:rsidRDefault="008811F6">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8546A9" w:rsidRDefault="008811F6">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p>
    <w:p w:rsidR="008546A9" w:rsidRDefault="008546A9">
      <w:pPr>
        <w:spacing w:line="540" w:lineRule="exact"/>
        <w:ind w:firstLineChars="250" w:firstLine="800"/>
        <w:jc w:val="right"/>
        <w:rPr>
          <w:rFonts w:ascii="仿宋" w:eastAsia="仿宋" w:hAnsi="仿宋"/>
          <w:color w:val="000000" w:themeColor="text1"/>
          <w:sz w:val="32"/>
          <w:szCs w:val="32"/>
        </w:rPr>
      </w:pPr>
    </w:p>
    <w:p w:rsidR="008546A9" w:rsidRDefault="008811F6">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博时基金管理</w:t>
      </w:r>
      <w:r>
        <w:rPr>
          <w:rFonts w:ascii="仿宋" w:eastAsia="仿宋" w:hAnsi="仿宋" w:hint="eastAsia"/>
          <w:color w:val="000000" w:themeColor="text1"/>
          <w:sz w:val="32"/>
          <w:szCs w:val="32"/>
        </w:rPr>
        <w:t>有限</w:t>
      </w:r>
      <w:r>
        <w:rPr>
          <w:rFonts w:ascii="仿宋" w:eastAsia="仿宋" w:hAnsi="仿宋"/>
          <w:color w:val="000000" w:themeColor="text1"/>
          <w:sz w:val="32"/>
          <w:szCs w:val="32"/>
        </w:rPr>
        <w:t>公司</w:t>
      </w:r>
    </w:p>
    <w:p w:rsidR="008546A9" w:rsidRDefault="008811F6">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1</w:t>
      </w:r>
      <w:r>
        <w:rPr>
          <w:rFonts w:ascii="仿宋" w:eastAsia="仿宋" w:hAnsi="仿宋"/>
          <w:color w:val="000000" w:themeColor="text1"/>
          <w:sz w:val="32"/>
          <w:szCs w:val="32"/>
        </w:rPr>
        <w:t>月</w:t>
      </w:r>
      <w:r>
        <w:rPr>
          <w:rFonts w:ascii="仿宋" w:eastAsia="仿宋" w:hAnsi="仿宋" w:hint="eastAsia"/>
          <w:color w:val="000000" w:themeColor="text1"/>
          <w:sz w:val="32"/>
          <w:szCs w:val="32"/>
        </w:rPr>
        <w:t>22</w:t>
      </w:r>
      <w:r>
        <w:rPr>
          <w:rFonts w:ascii="仿宋" w:eastAsia="仿宋" w:hAnsi="仿宋"/>
          <w:color w:val="000000" w:themeColor="text1"/>
          <w:sz w:val="32"/>
          <w:szCs w:val="32"/>
        </w:rPr>
        <w:t>日</w:t>
      </w:r>
    </w:p>
    <w:sectPr w:rsidR="008546A9" w:rsidSect="008546A9">
      <w:headerReference w:type="default" r:id="rId9"/>
      <w:footerReference w:type="default" r:id="rId10"/>
      <w:footerReference w:type="first" r:id="rId11"/>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6A9" w:rsidRDefault="008546A9" w:rsidP="008546A9">
      <w:r>
        <w:separator/>
      </w:r>
    </w:p>
  </w:endnote>
  <w:endnote w:type="continuationSeparator" w:id="0">
    <w:p w:rsidR="008546A9" w:rsidRDefault="008546A9" w:rsidP="00854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8546A9" w:rsidRDefault="008546A9">
        <w:pPr>
          <w:pStyle w:val="a5"/>
          <w:jc w:val="center"/>
        </w:pPr>
        <w:r>
          <w:fldChar w:fldCharType="begin"/>
        </w:r>
        <w:r w:rsidR="008811F6">
          <w:instrText>PAGE   \* MERGEFORMAT</w:instrText>
        </w:r>
        <w:r>
          <w:fldChar w:fldCharType="separate"/>
        </w:r>
        <w:r w:rsidR="008811F6" w:rsidRPr="008811F6">
          <w:rPr>
            <w:noProof/>
            <w:lang w:val="zh-CN"/>
          </w:rPr>
          <w:t>2</w:t>
        </w:r>
        <w:r>
          <w:fldChar w:fldCharType="end"/>
        </w:r>
      </w:p>
    </w:sdtContent>
  </w:sdt>
  <w:p w:rsidR="008546A9" w:rsidRDefault="008546A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8546A9" w:rsidRDefault="008546A9">
        <w:pPr>
          <w:pStyle w:val="a5"/>
          <w:jc w:val="center"/>
        </w:pPr>
        <w:r>
          <w:fldChar w:fldCharType="begin"/>
        </w:r>
        <w:r w:rsidR="008811F6">
          <w:instrText>PAGE   \* MERGEFORMAT</w:instrText>
        </w:r>
        <w:r>
          <w:fldChar w:fldCharType="separate"/>
        </w:r>
        <w:r w:rsidR="008811F6" w:rsidRPr="008811F6">
          <w:rPr>
            <w:noProof/>
            <w:lang w:val="zh-CN"/>
          </w:rPr>
          <w:t>1</w:t>
        </w:r>
        <w:r>
          <w:fldChar w:fldCharType="end"/>
        </w:r>
      </w:p>
    </w:sdtContent>
  </w:sdt>
  <w:p w:rsidR="008546A9" w:rsidRDefault="008546A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6A9" w:rsidRDefault="008546A9" w:rsidP="008546A9">
      <w:r>
        <w:separator/>
      </w:r>
    </w:p>
  </w:footnote>
  <w:footnote w:type="continuationSeparator" w:id="0">
    <w:p w:rsidR="008546A9" w:rsidRDefault="008546A9" w:rsidP="008546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6A9" w:rsidRDefault="008546A9">
    <w:pPr>
      <w:pStyle w:val="a6"/>
    </w:pPr>
  </w:p>
  <w:p w:rsidR="008546A9" w:rsidRDefault="008546A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01760"/>
    <w:rsid w:val="00010044"/>
    <w:rsid w:val="00022ABD"/>
    <w:rsid w:val="00025D40"/>
    <w:rsid w:val="000300E5"/>
    <w:rsid w:val="0003246C"/>
    <w:rsid w:val="00033010"/>
    <w:rsid w:val="00033204"/>
    <w:rsid w:val="000475F0"/>
    <w:rsid w:val="000539F6"/>
    <w:rsid w:val="00056EE0"/>
    <w:rsid w:val="00057323"/>
    <w:rsid w:val="000759FD"/>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612"/>
    <w:rsid w:val="00166B15"/>
    <w:rsid w:val="00172A27"/>
    <w:rsid w:val="00174C8C"/>
    <w:rsid w:val="0017571E"/>
    <w:rsid w:val="00175AED"/>
    <w:rsid w:val="00191702"/>
    <w:rsid w:val="00192262"/>
    <w:rsid w:val="001A593B"/>
    <w:rsid w:val="001C6943"/>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AEF"/>
    <w:rsid w:val="00355B7C"/>
    <w:rsid w:val="00361065"/>
    <w:rsid w:val="0036248F"/>
    <w:rsid w:val="00382BCB"/>
    <w:rsid w:val="00391944"/>
    <w:rsid w:val="00393949"/>
    <w:rsid w:val="003948AF"/>
    <w:rsid w:val="00394BBC"/>
    <w:rsid w:val="003A4AC6"/>
    <w:rsid w:val="003B46C9"/>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4B6B"/>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09A9"/>
    <w:rsid w:val="00655229"/>
    <w:rsid w:val="00656B0C"/>
    <w:rsid w:val="0066309A"/>
    <w:rsid w:val="0066627D"/>
    <w:rsid w:val="006832A2"/>
    <w:rsid w:val="00684A20"/>
    <w:rsid w:val="00685C26"/>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77E1"/>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D5109"/>
    <w:rsid w:val="007E3EED"/>
    <w:rsid w:val="007F136D"/>
    <w:rsid w:val="007F60CB"/>
    <w:rsid w:val="0080104E"/>
    <w:rsid w:val="00801AAB"/>
    <w:rsid w:val="0080773A"/>
    <w:rsid w:val="0081788D"/>
    <w:rsid w:val="00825398"/>
    <w:rsid w:val="008263AE"/>
    <w:rsid w:val="008318C0"/>
    <w:rsid w:val="00831A29"/>
    <w:rsid w:val="00832B61"/>
    <w:rsid w:val="00835A88"/>
    <w:rsid w:val="00847A69"/>
    <w:rsid w:val="008546A9"/>
    <w:rsid w:val="008619E1"/>
    <w:rsid w:val="00866E5A"/>
    <w:rsid w:val="008721DF"/>
    <w:rsid w:val="008738A9"/>
    <w:rsid w:val="00876EC6"/>
    <w:rsid w:val="008811F6"/>
    <w:rsid w:val="00881C77"/>
    <w:rsid w:val="00882FB0"/>
    <w:rsid w:val="008839E0"/>
    <w:rsid w:val="00887017"/>
    <w:rsid w:val="00891007"/>
    <w:rsid w:val="00894B81"/>
    <w:rsid w:val="008A1AFA"/>
    <w:rsid w:val="008A2CE2"/>
    <w:rsid w:val="008A3460"/>
    <w:rsid w:val="008A77F1"/>
    <w:rsid w:val="008B539C"/>
    <w:rsid w:val="008B77D5"/>
    <w:rsid w:val="008C155D"/>
    <w:rsid w:val="008D1059"/>
    <w:rsid w:val="008D4634"/>
    <w:rsid w:val="008E4CD7"/>
    <w:rsid w:val="008E58F7"/>
    <w:rsid w:val="008E6EC1"/>
    <w:rsid w:val="00903815"/>
    <w:rsid w:val="00903C0A"/>
    <w:rsid w:val="009062C4"/>
    <w:rsid w:val="0090723B"/>
    <w:rsid w:val="00910193"/>
    <w:rsid w:val="0092312D"/>
    <w:rsid w:val="00933628"/>
    <w:rsid w:val="009465EA"/>
    <w:rsid w:val="0094712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433A"/>
    <w:rsid w:val="009E64F2"/>
    <w:rsid w:val="009E7875"/>
    <w:rsid w:val="009F72D1"/>
    <w:rsid w:val="00A144A6"/>
    <w:rsid w:val="00A171B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641D"/>
    <w:rsid w:val="00A87DCB"/>
    <w:rsid w:val="00A93A22"/>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388"/>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02EA"/>
    <w:rsid w:val="00CB2CEE"/>
    <w:rsid w:val="00CB4DE3"/>
    <w:rsid w:val="00CC2F35"/>
    <w:rsid w:val="00CC40C3"/>
    <w:rsid w:val="00CD00C4"/>
    <w:rsid w:val="00CD42C4"/>
    <w:rsid w:val="00CE43F8"/>
    <w:rsid w:val="00CE7C8B"/>
    <w:rsid w:val="00CF01CC"/>
    <w:rsid w:val="00CF6D5C"/>
    <w:rsid w:val="00D073A7"/>
    <w:rsid w:val="00D10B1F"/>
    <w:rsid w:val="00D11E1F"/>
    <w:rsid w:val="00D20C81"/>
    <w:rsid w:val="00D25E39"/>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E6D0E"/>
    <w:rsid w:val="00DF3DF3"/>
    <w:rsid w:val="00DF5AA8"/>
    <w:rsid w:val="00E11D7D"/>
    <w:rsid w:val="00E1254C"/>
    <w:rsid w:val="00E1493F"/>
    <w:rsid w:val="00E16895"/>
    <w:rsid w:val="00E32614"/>
    <w:rsid w:val="00E33250"/>
    <w:rsid w:val="00E3526B"/>
    <w:rsid w:val="00E5059C"/>
    <w:rsid w:val="00E54C06"/>
    <w:rsid w:val="00E5664A"/>
    <w:rsid w:val="00E7407A"/>
    <w:rsid w:val="00E81A0A"/>
    <w:rsid w:val="00E964F7"/>
    <w:rsid w:val="00EA6F84"/>
    <w:rsid w:val="00EB0FFB"/>
    <w:rsid w:val="00EB5F37"/>
    <w:rsid w:val="00EB7931"/>
    <w:rsid w:val="00ED548C"/>
    <w:rsid w:val="00ED7F3F"/>
    <w:rsid w:val="00EE629E"/>
    <w:rsid w:val="00EF043C"/>
    <w:rsid w:val="00EF49B3"/>
    <w:rsid w:val="00EF56E1"/>
    <w:rsid w:val="00EF73FD"/>
    <w:rsid w:val="00F00561"/>
    <w:rsid w:val="00F01150"/>
    <w:rsid w:val="00F01E3D"/>
    <w:rsid w:val="00F04DC2"/>
    <w:rsid w:val="00F066D9"/>
    <w:rsid w:val="00F25F52"/>
    <w:rsid w:val="00F469D5"/>
    <w:rsid w:val="00F47FEE"/>
    <w:rsid w:val="00F527B3"/>
    <w:rsid w:val="00F55431"/>
    <w:rsid w:val="00F632AF"/>
    <w:rsid w:val="00F6382D"/>
    <w:rsid w:val="00F63F55"/>
    <w:rsid w:val="00F66378"/>
    <w:rsid w:val="00F71C51"/>
    <w:rsid w:val="00F77F4B"/>
    <w:rsid w:val="00F80D7B"/>
    <w:rsid w:val="00F9100C"/>
    <w:rsid w:val="00FA0934"/>
    <w:rsid w:val="00FA653D"/>
    <w:rsid w:val="00FB23EE"/>
    <w:rsid w:val="00FC34DF"/>
    <w:rsid w:val="00FC366A"/>
    <w:rsid w:val="00FD658E"/>
    <w:rsid w:val="00FE0C5A"/>
    <w:rsid w:val="00FE13A2"/>
    <w:rsid w:val="0A5174C7"/>
    <w:rsid w:val="1B4C0E3C"/>
    <w:rsid w:val="1C8B34B4"/>
    <w:rsid w:val="26122549"/>
    <w:rsid w:val="29F566E0"/>
    <w:rsid w:val="2B0744D8"/>
    <w:rsid w:val="2EEC516F"/>
    <w:rsid w:val="32182BA4"/>
    <w:rsid w:val="3CFD1217"/>
    <w:rsid w:val="411A728E"/>
    <w:rsid w:val="4D3E0C1D"/>
    <w:rsid w:val="6F037A49"/>
    <w:rsid w:val="70A8438D"/>
    <w:rsid w:val="70BA6CD6"/>
    <w:rsid w:val="75E45FA4"/>
    <w:rsid w:val="760706E5"/>
    <w:rsid w:val="76951F31"/>
    <w:rsid w:val="784A7CDC"/>
    <w:rsid w:val="79991A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6A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546A9"/>
    <w:pPr>
      <w:jc w:val="left"/>
    </w:pPr>
  </w:style>
  <w:style w:type="paragraph" w:styleId="a4">
    <w:name w:val="Balloon Text"/>
    <w:basedOn w:val="a"/>
    <w:link w:val="Char0"/>
    <w:uiPriority w:val="99"/>
    <w:semiHidden/>
    <w:unhideWhenUsed/>
    <w:qFormat/>
    <w:rsid w:val="008546A9"/>
    <w:rPr>
      <w:sz w:val="18"/>
      <w:szCs w:val="18"/>
    </w:rPr>
  </w:style>
  <w:style w:type="paragraph" w:styleId="a5">
    <w:name w:val="footer"/>
    <w:basedOn w:val="a"/>
    <w:link w:val="Char1"/>
    <w:uiPriority w:val="99"/>
    <w:unhideWhenUsed/>
    <w:qFormat/>
    <w:rsid w:val="008546A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546A9"/>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8546A9"/>
    <w:pPr>
      <w:snapToGrid w:val="0"/>
      <w:jc w:val="left"/>
    </w:pPr>
    <w:rPr>
      <w:sz w:val="18"/>
      <w:szCs w:val="18"/>
    </w:rPr>
  </w:style>
  <w:style w:type="paragraph" w:styleId="a8">
    <w:name w:val="annotation subject"/>
    <w:basedOn w:val="a3"/>
    <w:next w:val="a3"/>
    <w:link w:val="Char4"/>
    <w:uiPriority w:val="99"/>
    <w:semiHidden/>
    <w:unhideWhenUsed/>
    <w:qFormat/>
    <w:rsid w:val="008546A9"/>
    <w:rPr>
      <w:b/>
      <w:bCs/>
    </w:rPr>
  </w:style>
  <w:style w:type="character" w:styleId="a9">
    <w:name w:val="Hyperlink"/>
    <w:basedOn w:val="a0"/>
    <w:uiPriority w:val="99"/>
    <w:unhideWhenUsed/>
    <w:qFormat/>
    <w:rsid w:val="008546A9"/>
    <w:rPr>
      <w:color w:val="0000FF" w:themeColor="hyperlink"/>
      <w:u w:val="single"/>
    </w:rPr>
  </w:style>
  <w:style w:type="character" w:styleId="aa">
    <w:name w:val="annotation reference"/>
    <w:basedOn w:val="a0"/>
    <w:uiPriority w:val="99"/>
    <w:semiHidden/>
    <w:unhideWhenUsed/>
    <w:qFormat/>
    <w:rsid w:val="008546A9"/>
    <w:rPr>
      <w:sz w:val="21"/>
      <w:szCs w:val="21"/>
    </w:rPr>
  </w:style>
  <w:style w:type="character" w:styleId="ab">
    <w:name w:val="footnote reference"/>
    <w:basedOn w:val="a0"/>
    <w:uiPriority w:val="99"/>
    <w:semiHidden/>
    <w:unhideWhenUsed/>
    <w:qFormat/>
    <w:rsid w:val="008546A9"/>
    <w:rPr>
      <w:vertAlign w:val="superscript"/>
    </w:rPr>
  </w:style>
  <w:style w:type="character" w:customStyle="1" w:styleId="Char2">
    <w:name w:val="页眉 Char"/>
    <w:basedOn w:val="a0"/>
    <w:link w:val="a6"/>
    <w:uiPriority w:val="99"/>
    <w:qFormat/>
    <w:rsid w:val="008546A9"/>
    <w:rPr>
      <w:sz w:val="18"/>
      <w:szCs w:val="18"/>
    </w:rPr>
  </w:style>
  <w:style w:type="character" w:customStyle="1" w:styleId="Char1">
    <w:name w:val="页脚 Char"/>
    <w:basedOn w:val="a0"/>
    <w:link w:val="a5"/>
    <w:uiPriority w:val="99"/>
    <w:qFormat/>
    <w:rsid w:val="008546A9"/>
    <w:rPr>
      <w:sz w:val="18"/>
      <w:szCs w:val="18"/>
    </w:rPr>
  </w:style>
  <w:style w:type="paragraph" w:styleId="ac">
    <w:name w:val="List Paragraph"/>
    <w:basedOn w:val="a"/>
    <w:uiPriority w:val="34"/>
    <w:qFormat/>
    <w:rsid w:val="008546A9"/>
    <w:pPr>
      <w:ind w:firstLineChars="200" w:firstLine="420"/>
    </w:pPr>
  </w:style>
  <w:style w:type="character" w:customStyle="1" w:styleId="Char0">
    <w:name w:val="批注框文本 Char"/>
    <w:basedOn w:val="a0"/>
    <w:link w:val="a4"/>
    <w:uiPriority w:val="99"/>
    <w:semiHidden/>
    <w:qFormat/>
    <w:rsid w:val="008546A9"/>
    <w:rPr>
      <w:sz w:val="18"/>
      <w:szCs w:val="18"/>
    </w:rPr>
  </w:style>
  <w:style w:type="character" w:customStyle="1" w:styleId="Char">
    <w:name w:val="批注文字 Char"/>
    <w:basedOn w:val="a0"/>
    <w:link w:val="a3"/>
    <w:uiPriority w:val="99"/>
    <w:semiHidden/>
    <w:qFormat/>
    <w:rsid w:val="008546A9"/>
  </w:style>
  <w:style w:type="character" w:customStyle="1" w:styleId="Char4">
    <w:name w:val="批注主题 Char"/>
    <w:basedOn w:val="Char"/>
    <w:link w:val="a8"/>
    <w:uiPriority w:val="99"/>
    <w:semiHidden/>
    <w:qFormat/>
    <w:rsid w:val="008546A9"/>
    <w:rPr>
      <w:b/>
      <w:bCs/>
    </w:rPr>
  </w:style>
  <w:style w:type="character" w:customStyle="1" w:styleId="Char3">
    <w:name w:val="脚注文本 Char"/>
    <w:basedOn w:val="a0"/>
    <w:link w:val="a7"/>
    <w:uiPriority w:val="99"/>
    <w:semiHidden/>
    <w:qFormat/>
    <w:rsid w:val="008546A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r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92B78-EEC2-44FC-92EF-E935519C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1306</Words>
  <Characters>7446</Characters>
  <Application>Microsoft Office Word</Application>
  <DocSecurity>4</DocSecurity>
  <Lines>62</Lines>
  <Paragraphs>17</Paragraphs>
  <ScaleCrop>false</ScaleCrop>
  <Company>CNSTOCK</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2026-01-21T16:06:00Z</dcterms:created>
  <dcterms:modified xsi:type="dcterms:W3CDTF">2026-01-21T16:06:00Z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ECC9789C06F2482FAC4AF199CD29F613_13</vt:lpwstr>
  </property>
</Properties>
</file>